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ascii="华文中宋" w:hAnsi="华文中宋" w:eastAsia="华文中宋"/>
          <w:sz w:val="36"/>
          <w:szCs w:val="36"/>
        </w:rPr>
        <w:t>20</w:t>
      </w:r>
      <w:r>
        <w:rPr>
          <w:rFonts w:hint="eastAsia" w:ascii="华文中宋" w:hAnsi="华文中宋" w:eastAsia="华文中宋"/>
          <w:sz w:val="36"/>
          <w:szCs w:val="36"/>
        </w:rPr>
        <w:t>17</w:t>
      </w:r>
      <w:r>
        <w:rPr>
          <w:rFonts w:ascii="华文中宋" w:hAnsi="华文中宋" w:eastAsia="华文中宋"/>
          <w:sz w:val="36"/>
          <w:szCs w:val="36"/>
        </w:rPr>
        <w:t>年</w:t>
      </w:r>
      <w:r>
        <w:rPr>
          <w:rFonts w:hint="eastAsia" w:ascii="华文中宋" w:hAnsi="华文中宋" w:eastAsia="华文中宋"/>
          <w:sz w:val="36"/>
          <w:szCs w:val="36"/>
        </w:rPr>
        <w:t>贵州省绿色</w:t>
      </w:r>
      <w:r>
        <w:rPr>
          <w:rFonts w:ascii="华文中宋" w:hAnsi="华文中宋" w:eastAsia="华文中宋"/>
          <w:sz w:val="36"/>
          <w:szCs w:val="36"/>
        </w:rPr>
        <w:t>高产</w:t>
      </w:r>
      <w:r>
        <w:rPr>
          <w:rFonts w:hint="eastAsia" w:ascii="华文中宋" w:hAnsi="华文中宋" w:eastAsia="华文中宋"/>
          <w:sz w:val="36"/>
          <w:szCs w:val="36"/>
        </w:rPr>
        <w:t>高效创建</w:t>
      </w:r>
    </w:p>
    <w:p>
      <w:pPr>
        <w:spacing w:line="360" w:lineRule="auto"/>
        <w:jc w:val="center"/>
        <w:rPr>
          <w:rFonts w:ascii="华文中宋" w:hAnsi="华文中宋" w:eastAsia="华文中宋"/>
          <w:sz w:val="36"/>
          <w:szCs w:val="36"/>
        </w:rPr>
      </w:pPr>
      <w:r>
        <w:rPr>
          <w:rFonts w:hint="eastAsia" w:ascii="华文中宋" w:hAnsi="华文中宋" w:eastAsia="华文中宋"/>
          <w:sz w:val="36"/>
          <w:szCs w:val="36"/>
        </w:rPr>
        <w:t>薏苡技术指导意见</w:t>
      </w:r>
    </w:p>
    <w:p>
      <w:pPr>
        <w:spacing w:line="360" w:lineRule="auto"/>
        <w:jc w:val="center"/>
        <w:rPr>
          <w:rFonts w:ascii="楷体_GB2312" w:hAnsi="黑体" w:eastAsia="楷体_GB2312"/>
          <w:b/>
          <w:sz w:val="32"/>
        </w:rPr>
      </w:pPr>
      <w:r>
        <w:rPr>
          <w:rFonts w:hint="eastAsia" w:ascii="楷体_GB2312" w:hAnsi="黑体" w:eastAsia="楷体_GB2312"/>
          <w:b/>
          <w:sz w:val="32"/>
        </w:rPr>
        <w:t>（贵州省绿色高产高效创建活动技术指导小组）</w:t>
      </w:r>
    </w:p>
    <w:p>
      <w:pPr>
        <w:adjustRightInd w:val="0"/>
        <w:spacing w:line="564" w:lineRule="exact"/>
        <w:ind w:firstLine="482" w:firstLineChars="200"/>
        <w:rPr>
          <w:rFonts w:ascii="黑体" w:hAnsi="宋体" w:eastAsia="黑体"/>
          <w:b/>
          <w:color w:val="000000"/>
          <w:sz w:val="24"/>
        </w:rPr>
      </w:pPr>
    </w:p>
    <w:p>
      <w:pPr>
        <w:pStyle w:val="5"/>
        <w:spacing w:line="564" w:lineRule="exact"/>
        <w:rPr>
          <w:bCs/>
          <w:szCs w:val="32"/>
        </w:rPr>
      </w:pPr>
      <w:r>
        <w:rPr>
          <w:rFonts w:hint="eastAsia"/>
          <w:bCs/>
          <w:szCs w:val="32"/>
        </w:rPr>
        <w:t>一、产量与效益目标</w:t>
      </w:r>
    </w:p>
    <w:p>
      <w:pPr>
        <w:widowControl/>
        <w:adjustRightInd w:val="0"/>
        <w:snapToGrid w:val="0"/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薏苡</w:t>
      </w:r>
      <w:r>
        <w:rPr>
          <w:rFonts w:hAnsi="仿宋" w:eastAsia="仿宋"/>
          <w:color w:val="000000"/>
          <w:kern w:val="0"/>
          <w:sz w:val="32"/>
          <w:szCs w:val="32"/>
        </w:rPr>
        <w:t>平均亩产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较上年增产5%</w:t>
      </w:r>
      <w:r>
        <w:rPr>
          <w:rFonts w:hAnsi="仿宋" w:eastAsia="仿宋"/>
          <w:color w:val="000000"/>
          <w:kern w:val="0"/>
          <w:sz w:val="32"/>
          <w:szCs w:val="32"/>
        </w:rPr>
        <w:t>以上，节本增效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10%以上</w:t>
      </w:r>
      <w:r>
        <w:rPr>
          <w:rFonts w:hint="eastAsia" w:eastAsia="仿宋_GB2312"/>
          <w:sz w:val="32"/>
          <w:szCs w:val="32"/>
        </w:rPr>
        <w:t>。各县均带动全县相应作物节本增效2%以上，带动周边区域均衡发展。</w:t>
      </w:r>
    </w:p>
    <w:p>
      <w:pPr>
        <w:pStyle w:val="5"/>
        <w:spacing w:line="564" w:lineRule="exact"/>
        <w:rPr>
          <w:bCs/>
          <w:szCs w:val="32"/>
        </w:rPr>
      </w:pPr>
      <w:r>
        <w:rPr>
          <w:rFonts w:hint="eastAsia"/>
          <w:bCs/>
          <w:szCs w:val="32"/>
        </w:rPr>
        <w:t>二、技术要求</w:t>
      </w:r>
    </w:p>
    <w:p>
      <w:pPr>
        <w:widowControl/>
        <w:adjustRightInd w:val="0"/>
        <w:snapToGrid w:val="0"/>
        <w:spacing w:line="564" w:lineRule="exact"/>
        <w:ind w:firstLine="640" w:firstLineChars="200"/>
        <w:rPr>
          <w:rFonts w:hAnsi="仿宋" w:eastAsia="仿宋"/>
          <w:color w:val="000000"/>
          <w:kern w:val="0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 xml:space="preserve">1、 </w:t>
      </w:r>
      <w:r>
        <w:rPr>
          <w:rFonts w:hAnsi="仿宋" w:eastAsia="仿宋"/>
          <w:color w:val="000000"/>
          <w:kern w:val="0"/>
          <w:sz w:val="32"/>
          <w:szCs w:val="32"/>
        </w:rPr>
        <w:t>绿色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高</w:t>
      </w:r>
      <w:r>
        <w:rPr>
          <w:rFonts w:hAnsi="仿宋" w:eastAsia="仿宋"/>
          <w:color w:val="000000"/>
          <w:kern w:val="0"/>
          <w:sz w:val="32"/>
          <w:szCs w:val="32"/>
        </w:rPr>
        <w:t>产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高效</w:t>
      </w:r>
      <w:r>
        <w:rPr>
          <w:rFonts w:hAnsi="仿宋" w:eastAsia="仿宋"/>
          <w:color w:val="000000"/>
          <w:kern w:val="0"/>
          <w:sz w:val="32"/>
          <w:szCs w:val="32"/>
        </w:rPr>
        <w:t>模式应用率、优质良种覆盖率、规范化栽培技术覆盖率、无公害栽培技术覆盖率、绿色防控技术覆盖率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、</w:t>
      </w:r>
      <w:r>
        <w:rPr>
          <w:rFonts w:hAnsi="仿宋" w:eastAsia="仿宋"/>
          <w:color w:val="000000"/>
          <w:kern w:val="0"/>
          <w:sz w:val="32"/>
          <w:szCs w:val="32"/>
        </w:rPr>
        <w:t>配方肥覆盖率均达</w:t>
      </w:r>
      <w:r>
        <w:rPr>
          <w:rFonts w:eastAsia="仿宋"/>
          <w:color w:val="000000"/>
          <w:kern w:val="0"/>
          <w:sz w:val="32"/>
          <w:szCs w:val="32"/>
        </w:rPr>
        <w:t>100%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。</w:t>
      </w:r>
    </w:p>
    <w:p>
      <w:pPr>
        <w:pStyle w:val="7"/>
        <w:widowControl/>
        <w:numPr>
          <w:ilvl w:val="0"/>
          <w:numId w:val="1"/>
        </w:numPr>
        <w:adjustRightInd w:val="0"/>
        <w:spacing w:line="564" w:lineRule="exact"/>
        <w:ind w:firstLineChars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实行间套轮作等绿色高效耕作制覆盖率50%以上。</w:t>
      </w:r>
    </w:p>
    <w:p>
      <w:pPr>
        <w:pStyle w:val="7"/>
        <w:widowControl/>
        <w:numPr>
          <w:ilvl w:val="0"/>
          <w:numId w:val="1"/>
        </w:numPr>
        <w:adjustRightInd w:val="0"/>
        <w:spacing w:line="564" w:lineRule="exact"/>
        <w:ind w:firstLineChars="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因地制宜推广少（免）耕制，薏苡直播、有机肥或</w:t>
      </w:r>
    </w:p>
    <w:p>
      <w:pPr>
        <w:widowControl/>
        <w:adjustRightInd w:val="0"/>
        <w:spacing w:line="564" w:lineRule="exac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缓控释肥施用、膜侧集雨节水栽培、有机栽培等技术有较大的示范面积。</w:t>
      </w:r>
    </w:p>
    <w:p>
      <w:pPr>
        <w:widowControl/>
        <w:adjustRightInd w:val="0"/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4、 化肥和化学农药使用量减少5%以上，产品质量全面达到无公害农产品标准。</w:t>
      </w:r>
    </w:p>
    <w:p>
      <w:pPr>
        <w:widowControl/>
        <w:adjustRightInd w:val="0"/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5、 耕种收综合机械化水平提高5%以上。</w:t>
      </w:r>
    </w:p>
    <w:p>
      <w:pPr>
        <w:widowControl/>
        <w:adjustRightInd w:val="0"/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6、 每县开展薏苡绿色高产高效技术试验研究5个以上，集成示范1项以上高产高效、资源节约、生态环保技术模式。</w:t>
      </w:r>
    </w:p>
    <w:p>
      <w:pPr>
        <w:pStyle w:val="5"/>
        <w:spacing w:line="564" w:lineRule="exact"/>
        <w:ind w:firstLine="643"/>
        <w:rPr>
          <w:b/>
          <w:szCs w:val="32"/>
        </w:rPr>
      </w:pPr>
      <w:r>
        <w:rPr>
          <w:rFonts w:hint="eastAsia"/>
          <w:b/>
          <w:szCs w:val="32"/>
        </w:rPr>
        <w:t>三、技术策略与措施</w:t>
      </w:r>
    </w:p>
    <w:p>
      <w:pPr>
        <w:adjustRightInd w:val="0"/>
        <w:spacing w:line="564" w:lineRule="exact"/>
        <w:ind w:firstLine="643" w:firstLineChars="200"/>
        <w:rPr>
          <w:rStyle w:val="3"/>
          <w:rFonts w:ascii="楷体_GB2312" w:eastAsia="楷体_GB2312"/>
          <w:sz w:val="32"/>
          <w:szCs w:val="32"/>
        </w:rPr>
      </w:pPr>
      <w:r>
        <w:rPr>
          <w:rStyle w:val="3"/>
          <w:rFonts w:hint="eastAsia" w:ascii="楷体_GB2312" w:eastAsia="楷体_GB2312"/>
          <w:sz w:val="32"/>
          <w:szCs w:val="32"/>
          <w:lang w:val="en-US" w:eastAsia="zh-CN"/>
        </w:rPr>
        <w:t>1、</w:t>
      </w:r>
      <w:r>
        <w:rPr>
          <w:rStyle w:val="3"/>
          <w:rFonts w:hint="eastAsia" w:ascii="楷体_GB2312" w:eastAsia="楷体_GB2312"/>
          <w:sz w:val="32"/>
          <w:szCs w:val="32"/>
        </w:rPr>
        <w:t>技术策略</w:t>
      </w:r>
    </w:p>
    <w:p>
      <w:pPr>
        <w:widowControl/>
        <w:adjustRightInd w:val="0"/>
        <w:snapToGrid w:val="0"/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坚持“</w:t>
      </w:r>
      <w:r>
        <w:rPr>
          <w:rFonts w:eastAsia="仿宋_GB2312"/>
          <w:sz w:val="32"/>
          <w:szCs w:val="32"/>
        </w:rPr>
        <w:t>高产优质、节本增效、资源节约、环境友好</w:t>
      </w:r>
      <w:r>
        <w:rPr>
          <w:rFonts w:hint="eastAsia" w:eastAsia="仿宋_GB2312"/>
          <w:sz w:val="32"/>
          <w:szCs w:val="32"/>
        </w:rPr>
        <w:t>”的原则，全面应用优质、抗病的薏苡品种，广泛集成薏苡先进栽培技术成果，积极开展试验研究，组装当地薏苡绿色高产高效技术体系，抓住关键、突出重点，提高品种和各项技术的覆盖率，实现高产高效。</w:t>
      </w:r>
    </w:p>
    <w:p>
      <w:pPr>
        <w:adjustRightInd w:val="0"/>
        <w:spacing w:line="564" w:lineRule="exact"/>
        <w:ind w:firstLine="643" w:firstLineChars="200"/>
        <w:rPr>
          <w:rStyle w:val="3"/>
          <w:rFonts w:ascii="楷体_GB2312" w:eastAsia="楷体_GB2312"/>
          <w:sz w:val="32"/>
          <w:szCs w:val="32"/>
        </w:rPr>
      </w:pPr>
      <w:r>
        <w:rPr>
          <w:rStyle w:val="3"/>
          <w:rFonts w:hint="eastAsia" w:ascii="楷体_GB2312" w:eastAsia="楷体_GB2312"/>
          <w:sz w:val="32"/>
          <w:szCs w:val="32"/>
          <w:lang w:val="en-US" w:eastAsia="zh-CN"/>
        </w:rPr>
        <w:t>2、</w:t>
      </w:r>
      <w:r>
        <w:rPr>
          <w:rStyle w:val="3"/>
          <w:rFonts w:hint="eastAsia" w:ascii="楷体_GB2312" w:eastAsia="楷体_GB2312"/>
          <w:sz w:val="32"/>
          <w:szCs w:val="32"/>
        </w:rPr>
        <w:t>关键技术措施</w:t>
      </w:r>
    </w:p>
    <w:p>
      <w:pPr>
        <w:adjustRightInd w:val="0"/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全面落实好“四个统一”，即统一使用优质品种、规范化栽培、配方肥、病虫害绿色防控等关键技术；以市场需求为导向，组装高产栽培技术，选用优质、抗病的薏苡品种，适时播种、间套轮作、合理密植、病虫害绿色防控。突出抓好薏苡苗期管理，套种作物衔接，少（免）耕、直播、施用有机肥或缓控释肥、适当应用植物生长调节剂，提高薏苡单产和品质。围绕节肥、节药、节水、节本，示范推广薏苡机播机收和病虫害绿色防控等关键技术，促进增产、节本、提质、增效。重点抓好：</w:t>
      </w:r>
    </w:p>
    <w:p>
      <w:pPr>
        <w:spacing w:line="564" w:lineRule="exact"/>
        <w:ind w:firstLine="643" w:firstLineChars="200"/>
        <w:rPr>
          <w:rFonts w:ascii="仿宋_GB2312" w:hAnsi="黑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</w:rPr>
        <w:t>1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</w:rPr>
        <w:t>集成应用绿色增产技术及高效耕作制</w:t>
      </w:r>
    </w:p>
    <w:p>
      <w:pPr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因地制宜实行间套轮作、少（免）耕、直播等绿色高效耕作制，探索绿色高效间套轮作新模式。</w:t>
      </w:r>
      <w:r>
        <w:rPr>
          <w:rFonts w:eastAsia="仿宋_GB2312"/>
          <w:sz w:val="32"/>
          <w:szCs w:val="32"/>
        </w:rPr>
        <w:t>集成应用膜侧</w:t>
      </w:r>
      <w:r>
        <w:rPr>
          <w:rFonts w:hint="eastAsia" w:eastAsia="仿宋_GB2312"/>
          <w:sz w:val="32"/>
          <w:szCs w:val="32"/>
        </w:rPr>
        <w:t>集雨节水</w:t>
      </w:r>
      <w:r>
        <w:rPr>
          <w:rFonts w:eastAsia="仿宋_GB2312"/>
          <w:sz w:val="32"/>
          <w:szCs w:val="32"/>
        </w:rPr>
        <w:t>栽培、配方肥、绿色防控等技术。</w:t>
      </w:r>
    </w:p>
    <w:p>
      <w:pPr>
        <w:spacing w:line="564" w:lineRule="exact"/>
        <w:ind w:firstLine="643" w:firstLineChars="200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  <w:lang w:eastAsia="zh-CN"/>
        </w:rPr>
        <w:t>（</w:t>
      </w:r>
      <w:r>
        <w:rPr>
          <w:rFonts w:eastAsia="仿宋_GB2312"/>
          <w:b/>
          <w:bCs/>
          <w:color w:val="000000"/>
          <w:sz w:val="32"/>
          <w:szCs w:val="32"/>
        </w:rPr>
        <w:t>2</w:t>
      </w:r>
      <w:r>
        <w:rPr>
          <w:rFonts w:hint="eastAsia" w:eastAsia="仿宋_GB2312"/>
          <w:b/>
          <w:bCs/>
          <w:color w:val="000000"/>
          <w:sz w:val="32"/>
          <w:szCs w:val="32"/>
          <w:lang w:eastAsia="zh-CN"/>
        </w:rPr>
        <w:t>）</w:t>
      </w:r>
      <w:r>
        <w:rPr>
          <w:rFonts w:eastAsia="仿宋_GB2312"/>
          <w:b/>
          <w:bCs/>
          <w:color w:val="000000"/>
          <w:sz w:val="32"/>
          <w:szCs w:val="32"/>
        </w:rPr>
        <w:t>选好技术模式</w:t>
      </w:r>
    </w:p>
    <w:p>
      <w:pPr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一</w:t>
      </w:r>
      <w:r>
        <w:rPr>
          <w:rFonts w:hint="eastAsia" w:eastAsia="仿宋_GB2312"/>
          <w:sz w:val="32"/>
          <w:szCs w:val="32"/>
        </w:rPr>
        <w:t>是薏苡轻简化栽培技术模式=优质品种+机直播+缓控释肥施用+绿色防控+机收；二是薏苡高产栽培技术模式=优质品种+直播（或育苗移栽）+宽窄行起垄+配方肥+绿色防控；三是薏苡绿色栽培技术模式=优质品种</w:t>
      </w:r>
      <w:r>
        <w:rPr>
          <w:rFonts w:eastAsia="仿宋_GB2312"/>
          <w:sz w:val="32"/>
          <w:szCs w:val="32"/>
        </w:rPr>
        <w:t>/</w:t>
      </w:r>
      <w:r>
        <w:rPr>
          <w:rFonts w:hint="eastAsia" w:eastAsia="仿宋_GB2312"/>
          <w:sz w:val="32"/>
          <w:szCs w:val="32"/>
        </w:rPr>
        <w:t>早熟豆+直播（或育苗移栽）+有机肥深施+绿色防控；四是薏苡有机栽培技术模式=有机认证地块+有机认证薏苡专用种子+育苗移栽+合理密植+有机肥深施+有机防控。</w:t>
      </w:r>
    </w:p>
    <w:p>
      <w:pPr>
        <w:spacing w:line="564" w:lineRule="exact"/>
        <w:ind w:firstLine="643" w:firstLineChars="200"/>
        <w:rPr>
          <w:rFonts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color w:val="000000"/>
          <w:sz w:val="32"/>
          <w:szCs w:val="32"/>
          <w:lang w:eastAsia="zh-CN"/>
        </w:rPr>
        <w:t>（</w:t>
      </w:r>
      <w:r>
        <w:rPr>
          <w:rFonts w:eastAsia="仿宋_GB2312"/>
          <w:b/>
          <w:bCs/>
          <w:color w:val="000000"/>
          <w:sz w:val="32"/>
          <w:szCs w:val="32"/>
        </w:rPr>
        <w:t>3</w:t>
      </w:r>
      <w:r>
        <w:rPr>
          <w:rFonts w:hint="eastAsia" w:eastAsia="仿宋_GB2312"/>
          <w:b/>
          <w:bCs/>
          <w:color w:val="000000"/>
          <w:sz w:val="32"/>
          <w:szCs w:val="32"/>
          <w:lang w:eastAsia="zh-CN"/>
        </w:rPr>
        <w:t>）</w:t>
      </w:r>
      <w:r>
        <w:rPr>
          <w:rFonts w:eastAsia="仿宋_GB2312"/>
          <w:b/>
          <w:bCs/>
          <w:color w:val="000000"/>
          <w:sz w:val="32"/>
          <w:szCs w:val="32"/>
        </w:rPr>
        <w:t>全面推广优质品种</w:t>
      </w:r>
    </w:p>
    <w:p>
      <w:pPr>
        <w:adjustRightInd w:val="0"/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推荐选用高产、抗病的优质薏苡品种，如兴仁小白壳薏苡、黔薏苡2号、贵薏苡1号等。</w:t>
      </w:r>
    </w:p>
    <w:p>
      <w:pPr>
        <w:spacing w:line="564" w:lineRule="exact"/>
        <w:ind w:firstLine="643" w:firstLineChars="200"/>
        <w:rPr>
          <w:rFonts w:ascii="仿宋_GB2312" w:hAnsi="黑体" w:eastAsia="仿宋_GB2312"/>
          <w:b/>
          <w:bCs/>
          <w:color w:val="000000"/>
          <w:sz w:val="32"/>
          <w:szCs w:val="32"/>
        </w:rPr>
      </w:pPr>
      <w:r>
        <w:rPr>
          <w:rFonts w:hint="eastAsia" w:ascii="仿宋_GB2312" w:hAnsi="黑体" w:eastAsia="仿宋_GB2312"/>
          <w:b/>
          <w:bCs/>
          <w:color w:val="000000"/>
          <w:sz w:val="32"/>
          <w:szCs w:val="32"/>
          <w:lang w:eastAsia="zh-CN"/>
        </w:rPr>
        <w:t>（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</w:rPr>
        <w:t>4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  <w:lang w:eastAsia="zh-CN"/>
        </w:rPr>
        <w:t>）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</w:rPr>
        <w:t>全面实行规范化栽培技术</w:t>
      </w:r>
    </w:p>
    <w:p>
      <w:pPr>
        <w:adjustRightInd w:val="0"/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项目区选择育苗移栽或是直播技术，根据品种特性、气候、海拔等综合因素确定密度，可选择等行距或宽窄行种植。</w:t>
      </w:r>
    </w:p>
    <w:p>
      <w:pPr>
        <w:widowControl/>
        <w:adjustRightInd w:val="0"/>
        <w:snapToGrid w:val="0"/>
        <w:spacing w:line="564" w:lineRule="exact"/>
        <w:ind w:firstLine="643" w:firstLineChars="200"/>
        <w:rPr>
          <w:rFonts w:ascii="仿宋_GB2312" w:hAnsi="黑体"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sz w:val="32"/>
          <w:szCs w:val="32"/>
          <w:lang w:eastAsia="zh-CN"/>
        </w:rPr>
        <w:t>（</w:t>
      </w:r>
      <w:r>
        <w:rPr>
          <w:rFonts w:hint="eastAsia" w:eastAsia="仿宋_GB2312"/>
          <w:b/>
          <w:sz w:val="32"/>
          <w:szCs w:val="32"/>
        </w:rPr>
        <w:t>5</w:t>
      </w:r>
      <w:r>
        <w:rPr>
          <w:rFonts w:hint="eastAsia" w:eastAsia="仿宋_GB2312"/>
          <w:b/>
          <w:sz w:val="32"/>
          <w:szCs w:val="32"/>
          <w:lang w:eastAsia="zh-CN"/>
        </w:rPr>
        <w:t>）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</w:rPr>
        <w:t>全面推广绿色施肥技术</w:t>
      </w:r>
    </w:p>
    <w:p>
      <w:pPr>
        <w:widowControl/>
        <w:adjustRightInd w:val="0"/>
        <w:snapToGrid w:val="0"/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项目区要狠抓绿色施肥技术的推广，薏苡配方肥覆盖率要达100%以上。同时，要积极推广绿肥聚垄、秸秆还田、缓控释肥、有机肥深施等新技术，化肥使用量减少5%以上。</w:t>
      </w:r>
    </w:p>
    <w:p>
      <w:pPr>
        <w:widowControl/>
        <w:adjustRightInd w:val="0"/>
        <w:snapToGrid w:val="0"/>
        <w:spacing w:line="564" w:lineRule="exact"/>
        <w:ind w:firstLine="643" w:firstLineChars="200"/>
        <w:rPr>
          <w:rFonts w:ascii="仿宋_GB2312" w:hAnsi="黑体"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sz w:val="32"/>
          <w:szCs w:val="32"/>
          <w:lang w:eastAsia="zh-CN"/>
        </w:rPr>
        <w:t>（</w:t>
      </w:r>
      <w:r>
        <w:rPr>
          <w:rFonts w:hint="eastAsia" w:eastAsia="仿宋_GB2312"/>
          <w:b/>
          <w:sz w:val="32"/>
          <w:szCs w:val="32"/>
        </w:rPr>
        <w:t>6</w:t>
      </w:r>
      <w:r>
        <w:rPr>
          <w:rFonts w:hint="eastAsia" w:eastAsia="仿宋_GB2312"/>
          <w:b/>
          <w:sz w:val="32"/>
          <w:szCs w:val="32"/>
          <w:lang w:eastAsia="zh-CN"/>
        </w:rPr>
        <w:t>）</w:t>
      </w:r>
      <w:r>
        <w:rPr>
          <w:rFonts w:hint="eastAsia" w:ascii="仿宋_GB2312" w:hAnsi="黑体" w:eastAsia="仿宋_GB2312"/>
          <w:b/>
          <w:bCs/>
          <w:color w:val="000000"/>
          <w:sz w:val="32"/>
          <w:szCs w:val="32"/>
        </w:rPr>
        <w:t>全面推广病虫草鼠害绿色防控技术</w:t>
      </w:r>
    </w:p>
    <w:p>
      <w:pPr>
        <w:widowControl/>
        <w:adjustRightInd w:val="0"/>
        <w:snapToGrid w:val="0"/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一是要全面推广薏苡病虫草鼠害绿色防控技术，覆盖率达到100%以上。二是要大力推进专业化统防统治。</w:t>
      </w:r>
    </w:p>
    <w:p>
      <w:pPr>
        <w:widowControl/>
        <w:adjustRightInd w:val="0"/>
        <w:snapToGrid w:val="0"/>
        <w:spacing w:line="564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有条件的项目区可以采用水肥一体化设施，达到节水、节肥、节药的目的。</w:t>
      </w:r>
    </w:p>
    <w:p>
      <w:pPr>
        <w:widowControl/>
        <w:adjustRightInd w:val="0"/>
        <w:snapToGrid w:val="0"/>
        <w:spacing w:line="564" w:lineRule="exact"/>
        <w:ind w:firstLine="643" w:firstLineChars="200"/>
        <w:rPr>
          <w:rFonts w:ascii="仿宋_GB2312" w:hAnsi="黑体" w:eastAsia="仿宋_GB2312"/>
          <w:b/>
          <w:bCs/>
          <w:color w:val="000000"/>
          <w:sz w:val="32"/>
          <w:szCs w:val="32"/>
        </w:rPr>
      </w:pPr>
      <w:r>
        <w:rPr>
          <w:rFonts w:hint="eastAsia" w:eastAsia="仿宋_GB2312"/>
          <w:b/>
          <w:bCs/>
          <w:sz w:val="32"/>
          <w:szCs w:val="32"/>
          <w:lang w:eastAsia="zh-CN"/>
        </w:rPr>
        <w:t>（</w:t>
      </w:r>
      <w:r>
        <w:rPr>
          <w:rFonts w:hint="eastAsia" w:eastAsia="仿宋_GB2312"/>
          <w:b/>
          <w:bCs/>
          <w:sz w:val="32"/>
          <w:szCs w:val="32"/>
        </w:rPr>
        <w:t>7</w:t>
      </w:r>
      <w:r>
        <w:rPr>
          <w:rFonts w:hint="eastAsia" w:eastAsia="仿宋_GB2312"/>
          <w:b/>
          <w:bCs/>
          <w:sz w:val="32"/>
          <w:szCs w:val="32"/>
          <w:lang w:eastAsia="zh-CN"/>
        </w:rPr>
        <w:t>）</w:t>
      </w:r>
      <w:bookmarkStart w:id="0" w:name="_GoBack"/>
      <w:bookmarkEnd w:id="0"/>
      <w:r>
        <w:rPr>
          <w:rFonts w:hint="eastAsia" w:ascii="仿宋_GB2312" w:hAnsi="黑体" w:eastAsia="仿宋_GB2312"/>
          <w:b/>
          <w:bCs/>
          <w:color w:val="000000"/>
          <w:sz w:val="32"/>
          <w:szCs w:val="32"/>
        </w:rPr>
        <w:t>开展绿色高产高效技术模式攻关及新技术试验研究</w:t>
      </w:r>
    </w:p>
    <w:p>
      <w:pPr>
        <w:spacing w:line="620" w:lineRule="exact"/>
        <w:ind w:firstLine="640" w:firstLineChars="200"/>
        <w:rPr>
          <w:rFonts w:ascii="仿宋_GB2312" w:hAnsi="宋体" w:eastAsia="仿宋_GB2312"/>
          <w:sz w:val="32"/>
          <w:szCs w:val="32"/>
        </w:rPr>
      </w:pPr>
      <w:r>
        <w:rPr>
          <w:rFonts w:hint="eastAsia" w:hAnsi="仿宋" w:eastAsia="仿宋"/>
          <w:color w:val="000000"/>
          <w:kern w:val="0"/>
          <w:sz w:val="32"/>
          <w:szCs w:val="32"/>
        </w:rPr>
        <w:t>围绕薏苡保优栽培、轻简化栽培、有机栽培技术瓶颈，开展薏苡</w:t>
      </w:r>
      <w:r>
        <w:rPr>
          <w:rFonts w:hint="eastAsia" w:eastAsia="仿宋_GB2312"/>
          <w:sz w:val="32"/>
          <w:szCs w:val="32"/>
        </w:rPr>
        <w:t>优质品种筛选、适宜播期、适宜播种量、免耕直播、机耕机播、合理密植、间套轮作、膜侧集雨节水栽培、配方施肥、缓控释肥筛选、化学调控、水肥一体化、病虫害绿色防控病虫害防治及适期采收（包含机收）</w:t>
      </w:r>
      <w:r>
        <w:rPr>
          <w:rFonts w:hint="eastAsia" w:hAnsi="仿宋" w:eastAsia="仿宋"/>
          <w:color w:val="000000"/>
          <w:kern w:val="0"/>
          <w:sz w:val="32"/>
          <w:szCs w:val="32"/>
        </w:rPr>
        <w:t>等技术攻关研究，</w:t>
      </w:r>
      <w:r>
        <w:rPr>
          <w:rFonts w:hint="eastAsia" w:eastAsia="仿宋_GB2312"/>
          <w:sz w:val="32"/>
          <w:szCs w:val="32"/>
        </w:rPr>
        <w:t>丰富完善薏苡绿色高产高效技术储备。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83675A"/>
    <w:multiLevelType w:val="multilevel"/>
    <w:tmpl w:val="5183675A"/>
    <w:lvl w:ilvl="0" w:tentative="0">
      <w:start w:val="2"/>
      <w:numFmt w:val="decimal"/>
      <w:lvlText w:val="%1、"/>
      <w:lvlJc w:val="left"/>
      <w:pPr>
        <w:ind w:left="136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480" w:hanging="420"/>
      </w:pPr>
    </w:lvl>
    <w:lvl w:ilvl="2" w:tentative="0">
      <w:start w:val="1"/>
      <w:numFmt w:val="lowerRoman"/>
      <w:lvlText w:val="%3."/>
      <w:lvlJc w:val="right"/>
      <w:pPr>
        <w:ind w:left="1900" w:hanging="420"/>
      </w:pPr>
    </w:lvl>
    <w:lvl w:ilvl="3" w:tentative="0">
      <w:start w:val="1"/>
      <w:numFmt w:val="decimal"/>
      <w:lvlText w:val="%4."/>
      <w:lvlJc w:val="left"/>
      <w:pPr>
        <w:ind w:left="2320" w:hanging="420"/>
      </w:pPr>
    </w:lvl>
    <w:lvl w:ilvl="4" w:tentative="0">
      <w:start w:val="1"/>
      <w:numFmt w:val="lowerLetter"/>
      <w:lvlText w:val="%5)"/>
      <w:lvlJc w:val="left"/>
      <w:pPr>
        <w:ind w:left="2740" w:hanging="420"/>
      </w:pPr>
    </w:lvl>
    <w:lvl w:ilvl="5" w:tentative="0">
      <w:start w:val="1"/>
      <w:numFmt w:val="lowerRoman"/>
      <w:lvlText w:val="%6."/>
      <w:lvlJc w:val="right"/>
      <w:pPr>
        <w:ind w:left="3160" w:hanging="420"/>
      </w:pPr>
    </w:lvl>
    <w:lvl w:ilvl="6" w:tentative="0">
      <w:start w:val="1"/>
      <w:numFmt w:val="decimal"/>
      <w:lvlText w:val="%7."/>
      <w:lvlJc w:val="left"/>
      <w:pPr>
        <w:ind w:left="3580" w:hanging="420"/>
      </w:pPr>
    </w:lvl>
    <w:lvl w:ilvl="7" w:tentative="0">
      <w:start w:val="1"/>
      <w:numFmt w:val="lowerLetter"/>
      <w:lvlText w:val="%8)"/>
      <w:lvlJc w:val="left"/>
      <w:pPr>
        <w:ind w:left="4000" w:hanging="420"/>
      </w:pPr>
    </w:lvl>
    <w:lvl w:ilvl="8" w:tentative="0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757B7"/>
    <w:rsid w:val="00007931"/>
    <w:rsid w:val="00024751"/>
    <w:rsid w:val="00077D00"/>
    <w:rsid w:val="001D570F"/>
    <w:rsid w:val="002E1F2A"/>
    <w:rsid w:val="004352DF"/>
    <w:rsid w:val="004A1083"/>
    <w:rsid w:val="00577B69"/>
    <w:rsid w:val="006708D6"/>
    <w:rsid w:val="00785171"/>
    <w:rsid w:val="00921C8D"/>
    <w:rsid w:val="00C757B7"/>
    <w:rsid w:val="00C817A0"/>
    <w:rsid w:val="369B3A0F"/>
    <w:rsid w:val="5CBD1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Strong"/>
    <w:qFormat/>
    <w:uiPriority w:val="0"/>
    <w:rPr>
      <w:b/>
      <w:bCs/>
    </w:rPr>
  </w:style>
  <w:style w:type="paragraph" w:customStyle="1" w:styleId="5">
    <w:name w:val="样式2"/>
    <w:basedOn w:val="1"/>
    <w:link w:val="6"/>
    <w:qFormat/>
    <w:uiPriority w:val="0"/>
    <w:pPr>
      <w:spacing w:line="540" w:lineRule="exact"/>
      <w:ind w:firstLine="640" w:firstLineChars="200"/>
    </w:pPr>
    <w:rPr>
      <w:rFonts w:ascii="黑体" w:hAnsi="黑体" w:eastAsia="黑体"/>
      <w:sz w:val="32"/>
    </w:rPr>
  </w:style>
  <w:style w:type="character" w:customStyle="1" w:styleId="6">
    <w:name w:val="样式2 Char"/>
    <w:link w:val="5"/>
    <w:uiPriority w:val="0"/>
    <w:rPr>
      <w:rFonts w:ascii="黑体" w:hAnsi="黑体" w:eastAsia="黑体" w:cs="Times New Roman"/>
      <w:sz w:val="32"/>
      <w:szCs w:val="24"/>
    </w:rPr>
  </w:style>
  <w:style w:type="paragraph" w:customStyle="1" w:styleId="7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Company</Company>
  <Pages>4</Pages>
  <Words>224</Words>
  <Characters>1277</Characters>
  <Lines>10</Lines>
  <Paragraphs>2</Paragraphs>
  <TotalTime>0</TotalTime>
  <ScaleCrop>false</ScaleCrop>
  <LinksUpToDate>false</LinksUpToDate>
  <CharactersWithSpaces>1499</CharactersWithSpaces>
  <Application>WPS Office_10.1.0.6554_F1E327BC-269C-435d-A152-05C5408002CA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2017-05-17T02:14:00Z</dcterms:created>
  <dc:creator>Lenovo</dc:creator>
  <cp:lastModifiedBy>HP</cp:lastModifiedBy>
  <dcterms:modified xsi:type="dcterms:W3CDTF">2017-07-19T01:36:58Z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