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/>
          <w:b w:val="0"/>
          <w:bCs w:val="0"/>
          <w:sz w:val="36"/>
          <w:szCs w:val="36"/>
        </w:rPr>
      </w:pPr>
      <w:r>
        <w:rPr>
          <w:rFonts w:ascii="华文中宋" w:hAnsi="华文中宋" w:eastAsia="华文中宋"/>
          <w:b w:val="0"/>
          <w:bCs w:val="0"/>
          <w:sz w:val="36"/>
          <w:szCs w:val="36"/>
        </w:rPr>
        <w:t>20</w:t>
      </w:r>
      <w:r>
        <w:rPr>
          <w:rFonts w:hint="eastAsia" w:ascii="华文中宋" w:hAnsi="华文中宋" w:eastAsia="华文中宋"/>
          <w:b w:val="0"/>
          <w:bCs w:val="0"/>
          <w:sz w:val="36"/>
          <w:szCs w:val="36"/>
        </w:rPr>
        <w:t>17</w:t>
      </w:r>
      <w:r>
        <w:rPr>
          <w:rFonts w:ascii="华文中宋" w:hAnsi="华文中宋" w:eastAsia="华文中宋"/>
          <w:b w:val="0"/>
          <w:bCs w:val="0"/>
          <w:sz w:val="36"/>
          <w:szCs w:val="36"/>
        </w:rPr>
        <w:t>年</w:t>
      </w:r>
      <w:r>
        <w:rPr>
          <w:rFonts w:hint="eastAsia" w:ascii="华文中宋" w:hAnsi="华文中宋" w:eastAsia="华文中宋"/>
          <w:b w:val="0"/>
          <w:bCs w:val="0"/>
          <w:sz w:val="36"/>
          <w:szCs w:val="36"/>
        </w:rPr>
        <w:t>贵州省绿色</w:t>
      </w:r>
      <w:r>
        <w:rPr>
          <w:rFonts w:ascii="华文中宋" w:hAnsi="华文中宋" w:eastAsia="华文中宋"/>
          <w:b w:val="0"/>
          <w:bCs w:val="0"/>
          <w:sz w:val="36"/>
          <w:szCs w:val="36"/>
        </w:rPr>
        <w:t>高产</w:t>
      </w:r>
      <w:r>
        <w:rPr>
          <w:rFonts w:hint="eastAsia" w:ascii="华文中宋" w:hAnsi="华文中宋" w:eastAsia="华文中宋"/>
          <w:b w:val="0"/>
          <w:bCs w:val="0"/>
          <w:sz w:val="36"/>
          <w:szCs w:val="36"/>
        </w:rPr>
        <w:t>高效创建</w:t>
      </w:r>
    </w:p>
    <w:p>
      <w:pPr>
        <w:spacing w:line="360" w:lineRule="auto"/>
        <w:jc w:val="center"/>
        <w:rPr>
          <w:rFonts w:ascii="华文中宋" w:hAnsi="华文中宋" w:eastAsia="华文中宋"/>
          <w:b w:val="0"/>
          <w:bCs w:val="0"/>
          <w:sz w:val="36"/>
          <w:szCs w:val="36"/>
        </w:rPr>
      </w:pPr>
      <w:r>
        <w:rPr>
          <w:rFonts w:hint="eastAsia" w:ascii="华文中宋" w:hAnsi="华文中宋" w:eastAsia="华文中宋"/>
          <w:b w:val="0"/>
          <w:bCs w:val="0"/>
          <w:sz w:val="36"/>
          <w:szCs w:val="36"/>
        </w:rPr>
        <w:t>马铃薯技术指导意见</w:t>
      </w:r>
    </w:p>
    <w:p>
      <w:pPr>
        <w:spacing w:line="360" w:lineRule="auto"/>
        <w:jc w:val="center"/>
        <w:rPr>
          <w:rFonts w:hint="eastAsia" w:ascii="楷体_GB2312" w:hAnsi="黑体" w:eastAsia="楷体_GB2312"/>
          <w:b/>
          <w:sz w:val="32"/>
        </w:rPr>
      </w:pPr>
      <w:r>
        <w:rPr>
          <w:rFonts w:hint="eastAsia" w:ascii="楷体_GB2312" w:hAnsi="黑体" w:eastAsia="楷体_GB2312"/>
          <w:b/>
          <w:sz w:val="32"/>
        </w:rPr>
        <w:t>（贵州省绿色高产高效创建活动技术指导小组）</w:t>
      </w:r>
    </w:p>
    <w:p>
      <w:pPr>
        <w:adjustRightInd w:val="0"/>
        <w:spacing w:line="360" w:lineRule="auto"/>
        <w:ind w:firstLine="602" w:firstLineChars="200"/>
        <w:rPr>
          <w:rStyle w:val="5"/>
          <w:rFonts w:hint="eastAsia" w:ascii="楷体_GB2312" w:eastAsia="楷体_GB2312"/>
          <w:sz w:val="30"/>
          <w:szCs w:val="30"/>
        </w:rPr>
      </w:pPr>
      <w:r>
        <w:rPr>
          <w:rStyle w:val="5"/>
          <w:rFonts w:hint="eastAsia" w:ascii="楷体_GB2312" w:eastAsia="楷体_GB2312"/>
          <w:sz w:val="30"/>
          <w:szCs w:val="30"/>
        </w:rPr>
        <w:t>一、产量与效益目标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马铃薯项目区平均亩产较上年增产5%，节本增效5%以上，带动全县节本增效2%以上。</w:t>
      </w:r>
      <w:bookmarkStart w:id="0" w:name="_GoBack"/>
      <w:bookmarkEnd w:id="0"/>
    </w:p>
    <w:p>
      <w:pPr>
        <w:adjustRightInd w:val="0"/>
        <w:spacing w:line="360" w:lineRule="auto"/>
        <w:ind w:firstLine="602" w:firstLineChars="200"/>
        <w:rPr>
          <w:rStyle w:val="5"/>
          <w:rFonts w:hint="eastAsia" w:ascii="楷体_GB2312" w:eastAsia="楷体_GB2312"/>
          <w:sz w:val="30"/>
          <w:szCs w:val="30"/>
        </w:rPr>
      </w:pPr>
      <w:r>
        <w:rPr>
          <w:rStyle w:val="5"/>
          <w:rFonts w:hint="eastAsia" w:ascii="楷体_GB2312" w:eastAsia="楷体_GB2312"/>
          <w:sz w:val="30"/>
          <w:szCs w:val="30"/>
        </w:rPr>
        <w:t>二、技术要求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1、优质良种脱毒种薯覆盖率、规范化栽培技术覆盖率、无公害栽培技术覆盖率、绿色防控技术覆盖率、配方肥覆盖率均达100%。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2、实行间套轮作等绿色高效耕作制覆盖率50%以上；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3、脱毒小整薯播种栽培技术覆盖率20%以上；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4、新品种、缓控释肥施用等技术有较大示范面积；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5、化肥和化学农药使用量减少5%以上；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6、耕种收综合机械化水平提高5%以上；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7、开展绿色增产增效技术试验研究5个以上。</w:t>
      </w:r>
    </w:p>
    <w:p>
      <w:pPr>
        <w:adjustRightInd w:val="0"/>
        <w:spacing w:line="360" w:lineRule="auto"/>
        <w:ind w:firstLine="602" w:firstLineChars="200"/>
        <w:rPr>
          <w:rStyle w:val="5"/>
          <w:rFonts w:hint="eastAsia" w:ascii="楷体_GB2312" w:eastAsia="楷体_GB2312"/>
          <w:sz w:val="30"/>
          <w:szCs w:val="30"/>
        </w:rPr>
      </w:pPr>
      <w:r>
        <w:rPr>
          <w:rStyle w:val="5"/>
          <w:rFonts w:hint="eastAsia" w:ascii="楷体_GB2312" w:eastAsia="楷体_GB2312"/>
          <w:sz w:val="30"/>
          <w:szCs w:val="30"/>
        </w:rPr>
        <w:t>三、综合指标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1、集成示范1项马铃薯高产高效、资源节约、生态环保技术模式。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2、围绕“一县一品”，培育2个马铃薯知名品牌。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3、培育马铃薯种植大户、家庭农场、农民合作社、农业企业等新型经营主体50个以上。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4、开展马铃薯休闲观光、农事体验、文化传承1项以上。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5、开展马铃薯绿色高产高效技术试验研究5个以上；培训农民技术骨干和科技示范户500人（户）以上，培训农民2万人以上。</w:t>
      </w:r>
    </w:p>
    <w:p>
      <w:pPr>
        <w:adjustRightInd w:val="0"/>
        <w:spacing w:line="360" w:lineRule="auto"/>
        <w:ind w:firstLine="602" w:firstLineChars="200"/>
        <w:rPr>
          <w:rStyle w:val="5"/>
          <w:rFonts w:hint="eastAsia" w:ascii="楷体_GB2312" w:eastAsia="楷体_GB2312"/>
          <w:sz w:val="30"/>
          <w:szCs w:val="30"/>
        </w:rPr>
      </w:pPr>
      <w:r>
        <w:rPr>
          <w:rStyle w:val="5"/>
          <w:rFonts w:hint="eastAsia" w:ascii="楷体_GB2312" w:eastAsia="楷体_GB2312"/>
          <w:sz w:val="30"/>
          <w:szCs w:val="30"/>
          <w:lang w:eastAsia="zh-CN"/>
        </w:rPr>
        <w:t>四</w:t>
      </w:r>
      <w:r>
        <w:rPr>
          <w:rStyle w:val="5"/>
          <w:rFonts w:hint="eastAsia" w:ascii="楷体_GB2312" w:eastAsia="楷体_GB2312"/>
          <w:sz w:val="30"/>
          <w:szCs w:val="30"/>
        </w:rPr>
        <w:t>、技术策略与措施</w:t>
      </w:r>
    </w:p>
    <w:p>
      <w:pPr>
        <w:adjustRightInd w:val="0"/>
        <w:spacing w:line="360" w:lineRule="auto"/>
        <w:ind w:firstLine="602" w:firstLineChars="200"/>
        <w:rPr>
          <w:rStyle w:val="5"/>
          <w:rFonts w:hint="eastAsia" w:ascii="楷体_GB2312" w:eastAsia="楷体_GB2312"/>
          <w:sz w:val="30"/>
          <w:szCs w:val="30"/>
        </w:rPr>
      </w:pPr>
      <w:r>
        <w:rPr>
          <w:rStyle w:val="5"/>
          <w:rFonts w:hint="eastAsia" w:ascii="楷体_GB2312" w:eastAsia="楷体_GB2312"/>
          <w:sz w:val="30"/>
          <w:szCs w:val="30"/>
        </w:rPr>
        <w:t>（一）技术策略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坚持“高产优质、节本增效、资源节约、环境友好”的原则，围绕种植业结构调整，全面应用优质品种，广泛集成马铃薯先进栽培技术成果，积极开展试验研究，组装当地马铃薯高产高效产增效技术体系，抓住关键、突出重点，提高优良马铃薯品种和各项技术的覆盖率，实现绿色高产高效。</w:t>
      </w:r>
    </w:p>
    <w:p>
      <w:pPr>
        <w:adjustRightInd w:val="0"/>
        <w:spacing w:line="360" w:lineRule="auto"/>
        <w:ind w:firstLine="602" w:firstLineChars="200"/>
        <w:rPr>
          <w:rStyle w:val="5"/>
          <w:rFonts w:hint="eastAsia" w:ascii="楷体_GB2312" w:eastAsia="楷体_GB2312"/>
          <w:sz w:val="30"/>
          <w:szCs w:val="30"/>
          <w:lang w:eastAsia="zh-CN"/>
        </w:rPr>
      </w:pPr>
      <w:r>
        <w:rPr>
          <w:rStyle w:val="5"/>
          <w:rFonts w:hint="eastAsia" w:ascii="楷体_GB2312" w:eastAsia="楷体_GB2312"/>
          <w:sz w:val="30"/>
          <w:szCs w:val="30"/>
          <w:lang w:eastAsia="zh-CN"/>
        </w:rPr>
        <w:t>（二）关键技术措施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全面实行“五个统一”：统一使用优良品种、合格脱毒种薯、规范化起垄栽培、配方肥施用、晚疫病绿色防控等五大关键技术。突出抓好小整薯播种、机械化生产等轻型、高效栽培技术，实行规范化生产，提高单产和商品率。围绕节肥、节药、节水、节种、省工，示范推广马铃薯机播机收和晚疫病防控等关键技术，促进增产、节本、提质增效。重点抓好：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1、集成应用绿色增产技术及高效耕作制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因地制宜实行机耕、机播，合理应用薯/豆、薯//玉、薯-肥等高效种植模式，探索新的绿色增效间套轮作模式。集成应用规范化起垄栽培、合理密度、配方施肥、地膜覆盖、绿色防控等技术。推广全程机械化生产等绿色生产技术，耕种收综合机械化水平较上年提高5%以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2、全面推广优良品种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选择优良品种，主推品种可选用青薯9号、威芋5号、黔芋8号等，全面推广脱毒种薯，小整薯播种达20%以上。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3、全面实行无公害栽培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组装配套以农业机械为载体的绿色生态环保、资源高效利用、生产效能提升技术模式。探索肥药减量控害技术，应用新型高效农药和马铃薯专用缓控释肥，实现化肥和化学农药使用量减少5%以上。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4、全面推广病虫草鼠害绿色防控技术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一是要全面推广马铃薯病虫草鼠害绿色防控技术，覆盖率达到100%以上，重点加大晚疫病的预报监测。二是要大力推进专业化统防统治。三是要加大植保绿色防控力度及新农药药械等绿色防控技术。四是要加强田间管理，减少杂草及鼠患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5、开展绿色增产增效技术模式攻关及新技术试验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eastAsia="仿宋_GB2312"/>
          <w:sz w:val="30"/>
          <w:szCs w:val="30"/>
        </w:rPr>
      </w:pPr>
      <w:r>
        <w:rPr>
          <w:rFonts w:hint="eastAsia" w:eastAsia="仿宋_GB2312"/>
          <w:sz w:val="30"/>
          <w:szCs w:val="30"/>
        </w:rPr>
        <w:t>针对制约马铃薯生产的资源、技术、效益瓶颈，开展适宜马铃薯主粮化的新品种筛选、农机改进研发、高产高效技术试验和联合攻关。突破资源瓶颈，筛选脱毒、优质、高产、高抗、专用品种，减少肥药投入，缓解资源环境压力。突破技术瓶颈，着力攻克晚疫病防治、深耕抗旱、高起垄合理密度、肥药减量增效、破膜引苗等。突破效益瓶颈，推广节本降耗、轻简高效、间套轮作、机器换人等技术，丰富技术贮备，提高种植收益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Calibri Light">
    <w:altName w:val="Calibri"/>
    <w:panose1 w:val="020F0302020204030204"/>
    <w:charset w:val="00"/>
    <w:family w:val="swiss"/>
    <w:pitch w:val="default"/>
    <w:sig w:usb0="00000000" w:usb1="00000000" w:usb2="00000000" w:usb3="00000000" w:csb0="0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57446B9"/>
    <w:rsid w:val="000011E0"/>
    <w:rsid w:val="0005045F"/>
    <w:rsid w:val="00077A3F"/>
    <w:rsid w:val="000936AA"/>
    <w:rsid w:val="000F3588"/>
    <w:rsid w:val="0012452A"/>
    <w:rsid w:val="00173894"/>
    <w:rsid w:val="001D7629"/>
    <w:rsid w:val="00211B5C"/>
    <w:rsid w:val="00216968"/>
    <w:rsid w:val="002966C1"/>
    <w:rsid w:val="002A5868"/>
    <w:rsid w:val="002B1A88"/>
    <w:rsid w:val="002E690C"/>
    <w:rsid w:val="003A66F6"/>
    <w:rsid w:val="00476532"/>
    <w:rsid w:val="00482E89"/>
    <w:rsid w:val="00490C52"/>
    <w:rsid w:val="004C748D"/>
    <w:rsid w:val="0051743B"/>
    <w:rsid w:val="00525785"/>
    <w:rsid w:val="00536521"/>
    <w:rsid w:val="005720C8"/>
    <w:rsid w:val="00576F35"/>
    <w:rsid w:val="005A761E"/>
    <w:rsid w:val="006844DC"/>
    <w:rsid w:val="006D794E"/>
    <w:rsid w:val="00724748"/>
    <w:rsid w:val="00754F34"/>
    <w:rsid w:val="00755012"/>
    <w:rsid w:val="00762F09"/>
    <w:rsid w:val="007A400E"/>
    <w:rsid w:val="007E7577"/>
    <w:rsid w:val="008145EC"/>
    <w:rsid w:val="0083668B"/>
    <w:rsid w:val="00862A97"/>
    <w:rsid w:val="00884480"/>
    <w:rsid w:val="00893FAE"/>
    <w:rsid w:val="008C0A68"/>
    <w:rsid w:val="008E4E70"/>
    <w:rsid w:val="0095638D"/>
    <w:rsid w:val="00964B16"/>
    <w:rsid w:val="00982A16"/>
    <w:rsid w:val="00A0676F"/>
    <w:rsid w:val="00A06D27"/>
    <w:rsid w:val="00A143CA"/>
    <w:rsid w:val="00A5492A"/>
    <w:rsid w:val="00A61D47"/>
    <w:rsid w:val="00A77F6C"/>
    <w:rsid w:val="00A93C89"/>
    <w:rsid w:val="00AC2AFE"/>
    <w:rsid w:val="00AD4D18"/>
    <w:rsid w:val="00AE2949"/>
    <w:rsid w:val="00B059D6"/>
    <w:rsid w:val="00B1040D"/>
    <w:rsid w:val="00B349B2"/>
    <w:rsid w:val="00B56186"/>
    <w:rsid w:val="00B93EF3"/>
    <w:rsid w:val="00BD6356"/>
    <w:rsid w:val="00BF2FB0"/>
    <w:rsid w:val="00C22E16"/>
    <w:rsid w:val="00C407E1"/>
    <w:rsid w:val="00C571CD"/>
    <w:rsid w:val="00C66CC3"/>
    <w:rsid w:val="00CB7476"/>
    <w:rsid w:val="00CC43F9"/>
    <w:rsid w:val="00CD4470"/>
    <w:rsid w:val="00CE1F7F"/>
    <w:rsid w:val="00D20EE0"/>
    <w:rsid w:val="00D9766F"/>
    <w:rsid w:val="00DE593D"/>
    <w:rsid w:val="00E16486"/>
    <w:rsid w:val="00E210C7"/>
    <w:rsid w:val="00E84473"/>
    <w:rsid w:val="00EC51BB"/>
    <w:rsid w:val="00F36675"/>
    <w:rsid w:val="00F3767C"/>
    <w:rsid w:val="00F40A61"/>
    <w:rsid w:val="00FB7B68"/>
    <w:rsid w:val="00FC6773"/>
    <w:rsid w:val="00FE228A"/>
    <w:rsid w:val="00FF3698"/>
    <w:rsid w:val="00FF62BF"/>
    <w:rsid w:val="08756115"/>
    <w:rsid w:val="18812621"/>
    <w:rsid w:val="204D474A"/>
    <w:rsid w:val="4A10646F"/>
    <w:rsid w:val="557446B9"/>
    <w:rsid w:val="5F5A1432"/>
    <w:rsid w:val="703D583D"/>
    <w:rsid w:val="766511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5">
    <w:name w:val="Strong"/>
    <w:basedOn w:val="4"/>
    <w:qFormat/>
    <w:uiPriority w:val="0"/>
    <w:rPr>
      <w:b/>
      <w:bCs/>
    </w:rPr>
  </w:style>
  <w:style w:type="character" w:customStyle="1" w:styleId="7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4"/>
    <w:link w:val="2"/>
    <w:qFormat/>
    <w:uiPriority w:val="0"/>
    <w:rPr>
      <w:kern w:val="2"/>
      <w:sz w:val="18"/>
      <w:szCs w:val="18"/>
    </w:rPr>
  </w:style>
  <w:style w:type="paragraph" w:customStyle="1" w:styleId="9">
    <w:name w:val="样式2"/>
    <w:basedOn w:val="1"/>
    <w:link w:val="10"/>
    <w:qFormat/>
    <w:uiPriority w:val="0"/>
    <w:pPr>
      <w:spacing w:line="540" w:lineRule="exact"/>
      <w:ind w:firstLine="640" w:firstLineChars="200"/>
    </w:pPr>
    <w:rPr>
      <w:rFonts w:ascii="黑体" w:hAnsi="黑体" w:eastAsia="黑体" w:cs="Times New Roman"/>
      <w:sz w:val="32"/>
    </w:rPr>
  </w:style>
  <w:style w:type="character" w:customStyle="1" w:styleId="10">
    <w:name w:val="样式2 Char"/>
    <w:link w:val="9"/>
    <w:qFormat/>
    <w:uiPriority w:val="0"/>
    <w:rPr>
      <w:rFonts w:ascii="黑体" w:hAnsi="黑体" w:eastAsia="黑体" w:cs="Times New Roman"/>
      <w:kern w:val="2"/>
      <w:sz w:val="32"/>
      <w:szCs w:val="24"/>
    </w:rPr>
  </w:style>
  <w:style w:type="paragraph" w:customStyle="1" w:styleId="11">
    <w:name w:val="Char"/>
    <w:basedOn w:val="1"/>
    <w:uiPriority w:val="0"/>
    <w:pPr>
      <w:widowControl/>
      <w:spacing w:line="500" w:lineRule="exact"/>
      <w:ind w:firstLine="200" w:firstLineChars="200"/>
    </w:pPr>
    <w:rPr>
      <w:rFonts w:ascii="Times New Roman" w:hAnsi="Times New Roman" w:eastAsia="仿宋_GB2312" w:cs="Times New Roman"/>
      <w:sz w:val="28"/>
      <w:szCs w:val="28"/>
      <w:lang w:eastAsia="en-US"/>
    </w:rPr>
  </w:style>
  <w:style w:type="paragraph" w:customStyle="1" w:styleId="12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3</Pages>
  <Words>216</Words>
  <Characters>1237</Characters>
  <Lines>10</Lines>
  <Paragraphs>2</Paragraphs>
  <ScaleCrop>false</ScaleCrop>
  <LinksUpToDate>false</LinksUpToDate>
  <CharactersWithSpaces>1451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2016-09-02T02:53:00Z</dcterms:created>
  <dc:creator>Administrator</dc:creator>
  <cp:lastModifiedBy>HP</cp:lastModifiedBy>
  <cp:lastPrinted>2017-08-07T07:31:28Z</cp:lastPrinted>
  <dcterms:modified xsi:type="dcterms:W3CDTF">2017-08-07T07:32:12Z</dcterms:modified>
  <cp:revision>109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