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E8DCE">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14:paraId="644E84EF">
      <w:pPr>
        <w:ind w:firstLine="420"/>
        <w:jc w:val="center"/>
        <w:rPr>
          <w:rFonts w:ascii="方正小标宋简体" w:hAnsi="方正小标宋简体" w:eastAsia="方正小标宋简体" w:cs="方正小标宋简体"/>
          <w:sz w:val="36"/>
          <w:szCs w:val="36"/>
        </w:rPr>
      </w:pPr>
    </w:p>
    <w:p w14:paraId="26227FD1">
      <w:pPr>
        <w:ind w:firstLine="42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开展打击私屠滥宰和非法处置病死畜禽等</w:t>
      </w:r>
    </w:p>
    <w:p w14:paraId="5BCEFDCE">
      <w:pPr>
        <w:ind w:firstLine="420"/>
        <w:jc w:val="center"/>
      </w:pPr>
      <w:r>
        <w:rPr>
          <w:rFonts w:hint="eastAsia" w:ascii="方正小标宋简体" w:hAnsi="方正小标宋简体" w:eastAsia="方正小标宋简体" w:cs="方正小标宋简体"/>
          <w:sz w:val="36"/>
          <w:szCs w:val="36"/>
        </w:rPr>
        <w:t>违法犯罪行为专项整治行动方案</w:t>
      </w:r>
    </w:p>
    <w:p w14:paraId="7DA8EB4F">
      <w:pPr>
        <w:ind w:left="420" w:leftChars="200"/>
        <w:jc w:val="left"/>
        <w:rPr>
          <w:rFonts w:ascii="黑体" w:hAnsi="黑体" w:eastAsia="黑体"/>
          <w:sz w:val="32"/>
          <w:szCs w:val="32"/>
        </w:rPr>
      </w:pPr>
    </w:p>
    <w:p w14:paraId="5DCE6FE7">
      <w:pPr>
        <w:ind w:left="420" w:leftChars="200"/>
        <w:jc w:val="left"/>
        <w:rPr>
          <w:rFonts w:ascii="黑体" w:hAnsi="黑体" w:eastAsia="黑体"/>
          <w:sz w:val="32"/>
          <w:szCs w:val="32"/>
        </w:rPr>
      </w:pPr>
      <w:r>
        <w:rPr>
          <w:rFonts w:hint="eastAsia" w:ascii="黑体" w:hAnsi="黑体" w:eastAsia="黑体"/>
          <w:sz w:val="32"/>
          <w:szCs w:val="32"/>
        </w:rPr>
        <w:t>一、指导思想</w:t>
      </w:r>
    </w:p>
    <w:p w14:paraId="2F071179">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党的十八届六中全会精神为指引，贯彻《中华人民共和国刑法》《中华人民共和国食品安全法》《中华人民共和国动物防疫法》《最高人民法院、最高人民检察院关于办理危害食品安全刑事案件适用法律若干问题的解释》《贵州省食品安全条例》和《贵州省牲畜屠宰条例》等法律法规，落实2017年国务院食品安全重点工作安排“严厉打击食品安全违法犯罪”以及国务院食品安全委员会有关会议精神，坚决遏制和严厉打击私屠滥宰等违法犯罪行为，确保广大人民群众“舌尖上的安全”，保障社会主义市场经济秩序，为党的十九大的胜利召开创造良好的社会环境。</w:t>
      </w:r>
    </w:p>
    <w:p w14:paraId="12643399">
      <w:pPr>
        <w:ind w:left="420" w:leftChars="200"/>
        <w:jc w:val="left"/>
        <w:rPr>
          <w:rFonts w:ascii="黑体" w:hAnsi="黑体" w:eastAsia="黑体"/>
          <w:sz w:val="32"/>
          <w:szCs w:val="32"/>
        </w:rPr>
      </w:pPr>
      <w:r>
        <w:rPr>
          <w:rFonts w:hint="eastAsia" w:ascii="黑体" w:hAnsi="黑体" w:eastAsia="黑体"/>
          <w:sz w:val="32"/>
          <w:szCs w:val="32"/>
        </w:rPr>
        <w:t>二、任务目标</w:t>
      </w:r>
    </w:p>
    <w:p w14:paraId="1E9E5731">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各级农牧、公安部门联合开展打击私屠滥宰和非法处置病死畜禽等违法犯罪行为专项整治行动，严查严治“收贮运”环节，彻底端掉私屠滥宰“黑窝点”，进一步整顿规范屠宰场所秩序，有效遏制和震慑违法犯罪行为，使突出问题得到有效缓解和解决，巩固建立联合执法长效机制，确保屠宰环节畜禽产品质量安全。</w:t>
      </w:r>
    </w:p>
    <w:p w14:paraId="5E33909E">
      <w:pPr>
        <w:numPr>
          <w:ilvl w:val="0"/>
          <w:numId w:val="1"/>
        </w:numPr>
        <w:ind w:left="420" w:leftChars="200"/>
        <w:jc w:val="left"/>
        <w:rPr>
          <w:rFonts w:ascii="黑体" w:hAnsi="黑体" w:eastAsia="黑体"/>
          <w:sz w:val="32"/>
          <w:szCs w:val="32"/>
        </w:rPr>
      </w:pPr>
      <w:r>
        <w:rPr>
          <w:rFonts w:hint="eastAsia" w:ascii="黑体" w:hAnsi="黑体" w:eastAsia="黑体"/>
          <w:sz w:val="32"/>
          <w:szCs w:val="32"/>
        </w:rPr>
        <w:t>主要内容</w:t>
      </w:r>
    </w:p>
    <w:p w14:paraId="3152B0DF">
      <w:pPr>
        <w:ind w:firstLine="420"/>
        <w:rPr>
          <w:rFonts w:ascii="楷体_GB2312" w:hAnsi="楷体_GB2312" w:eastAsia="楷体_GB2312" w:cs="楷体_GB2312"/>
          <w:sz w:val="32"/>
          <w:szCs w:val="32"/>
        </w:rPr>
      </w:pPr>
      <w:r>
        <w:rPr>
          <w:rFonts w:hint="eastAsia" w:ascii="楷体_GB2312" w:hAnsi="楷体_GB2312" w:eastAsia="楷体_GB2312" w:cs="楷体_GB2312"/>
          <w:sz w:val="32"/>
          <w:szCs w:val="32"/>
        </w:rPr>
        <w:t>（一）严查严打三个“黑窝点”</w:t>
      </w:r>
    </w:p>
    <w:p w14:paraId="323FA582">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即“私屠滥宰”、“注水或注入其他物质”、“制售病死病害畜肉及其制品”，采取“飞行检查”等多种方式深入调查摸排城乡结合部、私屠滥宰专业村（户）和肉食品加工集中区域等屠宰违法犯罪活动易发区域和多发地区，对重点环节和关键节点集中排查，加大对规模大、集中、执法困难的“黑窝点”的联合整治力度，加大对偏远地区巡查，彻底铲除“黑窝点”的滋生空间。追头溯源，对长期从事违法犯罪屠宰和经营活动</w:t>
      </w:r>
      <w:r>
        <w:rPr>
          <w:rFonts w:hint="eastAsia" w:ascii="Times New Roman" w:hAnsi="Times New Roman" w:eastAsia="仿宋_GB2312" w:cs="Times New Roman"/>
          <w:sz w:val="32"/>
          <w:szCs w:val="32"/>
          <w:lang w:val="en-US" w:eastAsia="zh-CN"/>
        </w:rPr>
        <w:t>牟</w:t>
      </w:r>
      <w:bookmarkStart w:id="0" w:name="_GoBack"/>
      <w:bookmarkEnd w:id="0"/>
      <w:r>
        <w:rPr>
          <w:rFonts w:hint="eastAsia" w:ascii="Times New Roman" w:hAnsi="Times New Roman" w:eastAsia="仿宋_GB2312" w:cs="Times New Roman"/>
          <w:sz w:val="32"/>
          <w:szCs w:val="32"/>
        </w:rPr>
        <w:t>取暴利的不法分子以及少数“钉子户”、“难缠户”予以重罚。</w:t>
      </w:r>
    </w:p>
    <w:p w14:paraId="1921CD06">
      <w:pPr>
        <w:numPr>
          <w:ilvl w:val="0"/>
          <w:numId w:val="2"/>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“两个结合”严管规范屠宰场所</w:t>
      </w:r>
    </w:p>
    <w:p w14:paraId="71CFA6B5">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即结合日常监管，加大日常监管力度，结合监督抽验，提高督查抽检频次，驻厂蹲点、督查暗访和监控系统视频查看，进一步整顿规范屠宰场所，推进屠宰场的标准化进程，做好屠宰查证验物、检疫检验、无害化处理、企业安全生产等工作，坚决杜绝违法犯罪行为。一旦发现牲畜屠宰厂（场）注水、注入其他物质，屠宰病死牲畜，违法犯罪添加“瘦肉精”以及屠宰明知含有“瘦肉精”等禁止在饲料、动物饮水中添加的药品的牲畜等行为一律重处。对不符合设置规划、无证经营的屠宰场所坚决关闭。</w:t>
      </w:r>
    </w:p>
    <w:p w14:paraId="624F3E39">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（三）严查严治“收、贮、运”有关环节</w:t>
      </w:r>
    </w:p>
    <w:p w14:paraId="0F0F9230">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对牲畜养殖、屠宰、贮存、运输等过程（即牲畜及其产品从养殖、屠宰到进入批发、零售市场或生产加工企业前）的监管，加大贮运条件检查力度，排查存在的盲点、空隙，关注本领域的突出问题，积极思考，推动管理创新，严查重处对牲畜及其产品注水、注入其他物质，使用禁用的“瘦肉精”、兽药或者其他有毒有害物质，或者违反食品安全标准，超限量、超范围滥用兽药、添加剂等违法犯罪行为。</w:t>
      </w:r>
    </w:p>
    <w:p w14:paraId="69DAED7E">
      <w:pPr>
        <w:ind w:left="420" w:leftChars="200"/>
        <w:jc w:val="left"/>
        <w:rPr>
          <w:rFonts w:ascii="黑体" w:hAnsi="黑体" w:eastAsia="黑体"/>
          <w:sz w:val="32"/>
          <w:szCs w:val="32"/>
        </w:rPr>
      </w:pPr>
      <w:r>
        <w:rPr>
          <w:rFonts w:hint="eastAsia" w:ascii="黑体" w:hAnsi="黑体" w:eastAsia="黑体"/>
          <w:sz w:val="32"/>
          <w:szCs w:val="32"/>
        </w:rPr>
        <w:t>四、工作步骤</w:t>
      </w:r>
    </w:p>
    <w:p w14:paraId="0C09525E">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时间安排：2017年5月1日—2017年10月31日。</w:t>
      </w:r>
    </w:p>
    <w:p w14:paraId="67DD06D1">
      <w:pPr>
        <w:ind w:firstLine="640" w:firstLineChars="200"/>
        <w:jc w:val="left"/>
        <w:rPr>
          <w:rFonts w:ascii="Times New Roman" w:hAnsi="Times New Roman" w:eastAsia="仿宋_GB2312" w:cs="Times New Roman"/>
          <w:sz w:val="32"/>
          <w:szCs w:val="32"/>
        </w:rPr>
      </w:pPr>
      <w:r>
        <w:rPr>
          <w:rFonts w:hint="eastAsia" w:ascii="楷体_GB2312" w:hAnsi="楷体_GB2312" w:eastAsia="楷体_GB2312" w:cs="楷体_GB2312"/>
          <w:sz w:val="32"/>
          <w:szCs w:val="32"/>
        </w:rPr>
        <w:t>（一）动员部署阶段（5月1日-5月31日）。</w:t>
      </w:r>
      <w:r>
        <w:rPr>
          <w:rFonts w:hint="eastAsia" w:ascii="Times New Roman" w:hAnsi="Times New Roman" w:eastAsia="仿宋_GB2312" w:cs="Times New Roman"/>
          <w:sz w:val="32"/>
          <w:szCs w:val="32"/>
        </w:rPr>
        <w:t>结合本地实际，制定有针对性的实施方案，召开动员会议，研究部署专项整治工作，并利用地方广播、电视、报纸、网络等新闻媒体进行宣传。</w:t>
      </w:r>
    </w:p>
    <w:p w14:paraId="409A8878">
      <w:pPr>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（二）集中排查与整治查处阶段（6月1日-8月31日）。</w:t>
      </w:r>
      <w:r>
        <w:rPr>
          <w:rFonts w:hint="eastAsia" w:ascii="Times New Roman" w:hAnsi="Times New Roman" w:eastAsia="仿宋_GB2312" w:cs="Times New Roman"/>
          <w:sz w:val="32"/>
          <w:szCs w:val="32"/>
        </w:rPr>
        <w:t>对本地区重点区域、重点对象及重点打击的屠宰相关领域违法犯罪活动进行集中排查，并做好行政执法与刑事司法衔接，以要案大案查处为重点，严惩重罚，重拳打击，切实查处一批案件。省农委与省公安厅将适时组成督导组对专项整治工作开展情况进行督查。</w:t>
      </w:r>
    </w:p>
    <w:p w14:paraId="5720AF7C">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（三）巩固成果阶段（9月1日-9月30日）。</w:t>
      </w:r>
      <w:r>
        <w:rPr>
          <w:rFonts w:hint="eastAsia" w:ascii="Times New Roman" w:hAnsi="Times New Roman" w:eastAsia="仿宋_GB2312" w:cs="Times New Roman"/>
          <w:sz w:val="32"/>
          <w:szCs w:val="32"/>
        </w:rPr>
        <w:t>全面巩固整治查处阶段取得的成果，通过日常监管、“飞行检查”等方式防止“黑窝点”、“收贮运”环节以及其他违法犯罪行为死灰复燃。</w:t>
      </w:r>
    </w:p>
    <w:p w14:paraId="63D1BDA1">
      <w:pPr>
        <w:ind w:firstLine="640" w:firstLineChars="200"/>
        <w:jc w:val="left"/>
        <w:rPr>
          <w:rFonts w:ascii="Times New Roman" w:hAnsi="Times New Roman" w:eastAsia="仿宋_GB2312" w:cs="Times New Roman"/>
          <w:sz w:val="32"/>
          <w:szCs w:val="32"/>
        </w:rPr>
      </w:pPr>
      <w:r>
        <w:rPr>
          <w:rFonts w:hint="eastAsia" w:ascii="楷体_GB2312" w:hAnsi="楷体_GB2312" w:eastAsia="楷体_GB2312" w:cs="楷体_GB2312"/>
          <w:sz w:val="32"/>
          <w:szCs w:val="32"/>
        </w:rPr>
        <w:t>（四）总结提升阶段（10月1日-10月31日）。</w:t>
      </w:r>
      <w:r>
        <w:rPr>
          <w:rFonts w:hint="eastAsia" w:ascii="Times New Roman" w:hAnsi="Times New Roman" w:eastAsia="仿宋_GB2312" w:cs="Times New Roman"/>
          <w:sz w:val="32"/>
          <w:szCs w:val="32"/>
        </w:rPr>
        <w:t>总结经验并通报本地区专项行动整体工作情况及典型案例，11月5日前报本地人民政府和省农委畜牧兽医局，刑事打击战果在“利剑”行动月报表中一并呈报，《打击私屠滥宰等专项整治行动月统计表》每月8日前报省农委畜牧兽医局。</w:t>
      </w:r>
    </w:p>
    <w:p w14:paraId="4AF26ABF">
      <w:pPr>
        <w:ind w:left="420" w:leftChars="200"/>
        <w:jc w:val="left"/>
        <w:rPr>
          <w:rFonts w:ascii="黑体" w:hAnsi="黑体" w:eastAsia="黑体"/>
          <w:sz w:val="32"/>
          <w:szCs w:val="32"/>
        </w:rPr>
      </w:pPr>
      <w:r>
        <w:rPr>
          <w:rFonts w:hint="eastAsia" w:ascii="黑体" w:hAnsi="黑体" w:eastAsia="黑体"/>
          <w:sz w:val="32"/>
          <w:szCs w:val="32"/>
        </w:rPr>
        <w:t>五、工作要求</w:t>
      </w:r>
    </w:p>
    <w:p w14:paraId="65AEAC86">
      <w:pPr>
        <w:ind w:firstLine="640" w:firstLineChars="200"/>
      </w:pPr>
      <w:r>
        <w:rPr>
          <w:rFonts w:hint="eastAsia" w:ascii="楷体_GB2312" w:hAnsi="楷体_GB2312" w:eastAsia="楷体_GB2312" w:cs="楷体_GB2312"/>
          <w:sz w:val="32"/>
          <w:szCs w:val="32"/>
        </w:rPr>
        <w:t>（一）加强组织领导。</w:t>
      </w:r>
      <w:r>
        <w:rPr>
          <w:rFonts w:hint="eastAsia" w:ascii="Times New Roman" w:hAnsi="Times New Roman" w:eastAsia="仿宋_GB2312" w:cs="Times New Roman"/>
          <w:sz w:val="32"/>
          <w:szCs w:val="32"/>
        </w:rPr>
        <w:t>各地要切实加强组织领导，统筹推进专项整治行动，确保取得实效。同时研究政策措施，做好应急处置工作，妥善解决遇到的问题，避免激化矛盾。</w:t>
      </w:r>
    </w:p>
    <w:p w14:paraId="4AE9C7B9">
      <w:pPr>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（二）强化协调配合。</w:t>
      </w:r>
      <w:r>
        <w:rPr>
          <w:rFonts w:hint="eastAsia" w:ascii="Times New Roman" w:hAnsi="Times New Roman" w:eastAsia="仿宋_GB2312" w:cs="Times New Roman"/>
          <w:sz w:val="32"/>
          <w:szCs w:val="32"/>
        </w:rPr>
        <w:t>各地农业、公安部门要进一步统一思想认识，加强协调沟通，互通信息、联动执法、联合查处案件，健全完善牲畜屠宰违法犯罪行为举报和举报核查制度，积极拓宽案源线索，以及实行违法犯罪人员黑名单制度等，构建整体打击格局，推动打击屠宰违法犯罪工作向纵深发展。</w:t>
      </w:r>
    </w:p>
    <w:p w14:paraId="6204D1FD">
      <w:pPr>
        <w:ind w:firstLine="640" w:firstLineChars="200"/>
      </w:pPr>
      <w:r>
        <w:rPr>
          <w:rFonts w:hint="eastAsia" w:ascii="楷体_GB2312" w:hAnsi="楷体_GB2312" w:eastAsia="楷体_GB2312" w:cs="楷体_GB2312"/>
          <w:sz w:val="32"/>
          <w:szCs w:val="32"/>
        </w:rPr>
        <w:t>（三）建立长效机制。</w:t>
      </w:r>
      <w:r>
        <w:rPr>
          <w:rFonts w:hint="eastAsia" w:ascii="Times New Roman" w:hAnsi="Times New Roman" w:eastAsia="仿宋_GB2312" w:cs="Times New Roman"/>
          <w:sz w:val="32"/>
          <w:szCs w:val="32"/>
        </w:rPr>
        <w:t>各地要以此次专项行动为契机，逐步建立联动执法联席会议、联络员、重大案件会商制度和案件信息共享、案件移送、紧急案件联合调查、打击私屠滥宰犯罪奖惩等机制，探索建立实用、高效的深度协作机制，实现“行刑结合”无缝衔接。</w:t>
      </w:r>
    </w:p>
    <w:p w14:paraId="03DF1805">
      <w:pPr>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（四）完善报告制度。</w:t>
      </w:r>
      <w:r>
        <w:rPr>
          <w:rFonts w:hint="eastAsia" w:ascii="Times New Roman" w:hAnsi="Times New Roman" w:eastAsia="仿宋_GB2312" w:cs="Times New Roman"/>
          <w:sz w:val="32"/>
          <w:szCs w:val="32"/>
        </w:rPr>
        <w:t>各地对突发事件要按时限上报，涉及职能交叉、边缘性监管事宜，及时报政府部门明确监管责任，重大情况、案件和专项整治行动情况及时上报本地政府和省畜牧兽医部门、省公安部门。</w:t>
      </w:r>
    </w:p>
    <w:p w14:paraId="784F7B9B">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（五）总结工作经验。</w:t>
      </w:r>
      <w:r>
        <w:rPr>
          <w:rFonts w:hint="eastAsia" w:ascii="Times New Roman" w:hAnsi="Times New Roman" w:eastAsia="仿宋_GB2312" w:cs="Times New Roman"/>
          <w:sz w:val="32"/>
          <w:szCs w:val="32"/>
        </w:rPr>
        <w:t>各地要对案件认真梳理和研究归纳，总结经验规律，发现屠宰违法犯罪行为的经济动因与利益链条，加强执法办案能力，对难破案件进一步筛查遗漏的案源线索。</w:t>
      </w:r>
    </w:p>
    <w:p w14:paraId="4CA5A05E">
      <w:pPr>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（六）加大宣传力度。</w:t>
      </w:r>
      <w:r>
        <w:rPr>
          <w:rFonts w:hint="eastAsia" w:ascii="Times New Roman" w:hAnsi="Times New Roman" w:eastAsia="仿宋_GB2312" w:cs="Times New Roman"/>
          <w:sz w:val="32"/>
          <w:szCs w:val="32"/>
        </w:rPr>
        <w:t>各地要加强宣传，及时公布专项整治行动成效，曝光一批典型案件，增强群众消费信心。同时广泛发动，鼓励社会参与，提高监督力度，营造良好氛围。</w:t>
      </w:r>
    </w:p>
    <w:p w14:paraId="059AE983">
      <w:pPr>
        <w:ind w:firstLine="420"/>
        <w:rPr>
          <w:rFonts w:ascii="Times New Roman" w:hAnsi="Times New Roman" w:eastAsia="仿宋_GB2312" w:cs="Times New Roman"/>
          <w:sz w:val="32"/>
          <w:szCs w:val="32"/>
        </w:rPr>
      </w:pPr>
    </w:p>
    <w:p w14:paraId="14D68507">
      <w:pPr>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联系人：省农委畜牧兽医局 欧仁、姚敏  </w:t>
      </w:r>
    </w:p>
    <w:p w14:paraId="64835E56">
      <w:pPr>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电话：0851-85288785、85284009，</w:t>
      </w:r>
    </w:p>
    <w:p w14:paraId="00A7E0B1">
      <w:pPr>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邮箱</w:t>
      </w:r>
      <w:r>
        <w:rPr>
          <w:rFonts w:hint="eastAsia" w:ascii="Times New Roman" w:hAnsi="Times New Roman" w:eastAsia="仿宋_GB2312" w:cs="Times New Roman"/>
          <w:color w:val="000000" w:themeColor="text1"/>
          <w:sz w:val="32"/>
          <w:szCs w:val="32"/>
          <w:u w:val="none"/>
          <w14:textFill>
            <w14:solidFill>
              <w14:schemeClr w14:val="tx1"/>
            </w14:solidFill>
          </w14:textFill>
        </w:rPr>
        <w:t>：</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"mailto:gzstzc@163.com" </w:instrText>
      </w:r>
      <w:r>
        <w:rPr>
          <w:color w:val="000000" w:themeColor="text1"/>
          <w:u w:val="none"/>
          <w14:textFill>
            <w14:solidFill>
              <w14:schemeClr w14:val="tx1"/>
            </w14:solidFill>
          </w14:textFill>
        </w:rPr>
        <w:fldChar w:fldCharType="separate"/>
      </w:r>
      <w:r>
        <w:rPr>
          <w:rStyle w:val="8"/>
          <w:rFonts w:hint="eastAsia" w:ascii="Times New Roman" w:hAnsi="Times New Roman" w:eastAsia="仿宋_GB2312" w:cs="Times New Roman"/>
          <w:color w:val="000000" w:themeColor="text1"/>
          <w:sz w:val="32"/>
          <w:szCs w:val="32"/>
          <w:u w:val="none"/>
          <w14:textFill>
            <w14:solidFill>
              <w14:schemeClr w14:val="tx1"/>
            </w14:solidFill>
          </w14:textFill>
        </w:rPr>
        <w:t>gzstzc@163.com</w:t>
      </w:r>
      <w:r>
        <w:rPr>
          <w:rStyle w:val="8"/>
          <w:rFonts w:hint="eastAsia" w:ascii="Times New Roman" w:hAnsi="Times New Roman" w:eastAsia="仿宋_GB2312" w:cs="Times New Roman"/>
          <w:color w:val="000000" w:themeColor="text1"/>
          <w:sz w:val="32"/>
          <w:szCs w:val="32"/>
          <w:u w:val="none"/>
          <w14:textFill>
            <w14:solidFill>
              <w14:schemeClr w14:val="tx1"/>
            </w14:solidFill>
          </w14:textFill>
        </w:rPr>
        <w:fldChar w:fldCharType="end"/>
      </w:r>
    </w:p>
    <w:p w14:paraId="417F25F7">
      <w:pPr>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省公安厅治安（食品药品犯罪侦查）总队</w:t>
      </w:r>
    </w:p>
    <w:p w14:paraId="2783548A">
      <w:pPr>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何传德  刘英泉</w:t>
      </w:r>
    </w:p>
    <w:p w14:paraId="0F3A912C">
      <w:pPr>
        <w:ind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电话：0851-85904250 </w:t>
      </w:r>
    </w:p>
    <w:p w14:paraId="21DEEE52">
      <w:pPr>
        <w:ind w:firstLine="420"/>
        <w:rPr>
          <w:rFonts w:ascii="Times New Roman" w:hAnsi="Times New Roman" w:eastAsia="仿宋_GB2312" w:cs="Times New Roman"/>
          <w:sz w:val="32"/>
          <w:szCs w:val="32"/>
        </w:rPr>
      </w:pPr>
    </w:p>
    <w:p w14:paraId="329AD4F0">
      <w:pPr>
        <w:ind w:firstLine="420"/>
        <w:rPr>
          <w:rFonts w:ascii="Times New Roman" w:hAnsi="Times New Roman" w:eastAsia="仿宋_GB2312" w:cs="Times New Roman"/>
          <w:sz w:val="32"/>
          <w:szCs w:val="32"/>
        </w:rPr>
      </w:pPr>
    </w:p>
    <w:p w14:paraId="3DDD72FB">
      <w:pPr>
        <w:ind w:firstLine="420"/>
        <w:rPr>
          <w:rFonts w:ascii="Times New Roman" w:hAnsi="Times New Roman" w:eastAsia="仿宋_GB2312" w:cs="Times New Roman"/>
          <w:sz w:val="32"/>
          <w:szCs w:val="32"/>
        </w:rPr>
      </w:pPr>
    </w:p>
    <w:p w14:paraId="6AFAEC61">
      <w:pPr>
        <w:rPr>
          <w:rFonts w:ascii="Times New Roman" w:hAnsi="Times New Roman" w:eastAsia="仿宋_GB2312" w:cs="Times New Roman"/>
          <w:sz w:val="32"/>
          <w:szCs w:val="32"/>
        </w:rPr>
      </w:pPr>
    </w:p>
    <w:p w14:paraId="3F2053CD">
      <w:pPr>
        <w:rPr>
          <w:rFonts w:ascii="Times New Roman" w:hAnsi="Times New Roman" w:eastAsia="仿宋_GB2312" w:cs="Times New Roman"/>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9358302">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14:paraId="091ADC47">
      <w:pPr>
        <w:ind w:firstLine="420"/>
        <w:jc w:val="left"/>
      </w:pPr>
    </w:p>
    <w:tbl>
      <w:tblPr>
        <w:tblStyle w:val="6"/>
        <w:tblpPr w:leftFromText="180" w:rightFromText="180" w:vertAnchor="text" w:horzAnchor="margin" w:tblpY="794"/>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94"/>
        <w:gridCol w:w="694"/>
        <w:gridCol w:w="695"/>
        <w:gridCol w:w="520"/>
        <w:gridCol w:w="522"/>
        <w:gridCol w:w="694"/>
        <w:gridCol w:w="641"/>
        <w:gridCol w:w="751"/>
        <w:gridCol w:w="695"/>
        <w:gridCol w:w="695"/>
        <w:gridCol w:w="521"/>
        <w:gridCol w:w="694"/>
        <w:gridCol w:w="696"/>
        <w:gridCol w:w="695"/>
        <w:gridCol w:w="695"/>
        <w:gridCol w:w="695"/>
        <w:gridCol w:w="869"/>
        <w:gridCol w:w="868"/>
        <w:gridCol w:w="695"/>
        <w:gridCol w:w="695"/>
      </w:tblGrid>
      <w:tr w14:paraId="6401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533" w:type="dxa"/>
            <w:gridSpan w:val="4"/>
            <w:tcBorders>
              <w:bottom w:val="single" w:color="auto" w:sz="4" w:space="0"/>
            </w:tcBorders>
            <w:vAlign w:val="center"/>
          </w:tcPr>
          <w:p w14:paraId="433AB34F">
            <w:pPr>
              <w:spacing w:line="360" w:lineRule="auto"/>
              <w:jc w:val="center"/>
              <w:rPr>
                <w:bCs/>
                <w:color w:val="000000"/>
                <w:szCs w:val="21"/>
              </w:rPr>
            </w:pPr>
            <w:r>
              <w:rPr>
                <w:rFonts w:hAnsi="宋体"/>
                <w:bCs/>
                <w:color w:val="000000"/>
                <w:kern w:val="0"/>
                <w:szCs w:val="21"/>
              </w:rPr>
              <w:t>宣传培训情况</w:t>
            </w:r>
          </w:p>
        </w:tc>
        <w:tc>
          <w:tcPr>
            <w:tcW w:w="1042" w:type="dxa"/>
            <w:gridSpan w:val="2"/>
            <w:tcBorders>
              <w:bottom w:val="single" w:color="auto" w:sz="4" w:space="0"/>
            </w:tcBorders>
            <w:vAlign w:val="center"/>
          </w:tcPr>
          <w:p w14:paraId="24A94E46">
            <w:pPr>
              <w:jc w:val="center"/>
              <w:rPr>
                <w:rFonts w:hAnsi="宋体"/>
                <w:bCs/>
                <w:color w:val="000000"/>
                <w:kern w:val="0"/>
                <w:szCs w:val="21"/>
              </w:rPr>
            </w:pPr>
            <w:r>
              <w:rPr>
                <w:rFonts w:hAnsi="宋体"/>
                <w:bCs/>
                <w:color w:val="000000"/>
                <w:kern w:val="0"/>
                <w:szCs w:val="21"/>
              </w:rPr>
              <w:t>举报</w:t>
            </w:r>
            <w:r>
              <w:rPr>
                <w:rFonts w:hint="eastAsia" w:hAnsi="宋体"/>
                <w:bCs/>
                <w:color w:val="000000"/>
                <w:kern w:val="0"/>
                <w:szCs w:val="21"/>
              </w:rPr>
              <w:t>核</w:t>
            </w:r>
          </w:p>
          <w:p w14:paraId="3F631A74">
            <w:pPr>
              <w:jc w:val="center"/>
              <w:rPr>
                <w:bCs/>
                <w:color w:val="000000"/>
                <w:szCs w:val="21"/>
              </w:rPr>
            </w:pPr>
            <w:r>
              <w:rPr>
                <w:rFonts w:hint="eastAsia" w:hAnsi="宋体"/>
                <w:bCs/>
                <w:color w:val="000000"/>
                <w:kern w:val="0"/>
                <w:szCs w:val="21"/>
              </w:rPr>
              <w:t>查</w:t>
            </w:r>
            <w:r>
              <w:rPr>
                <w:rFonts w:hAnsi="宋体"/>
                <w:bCs/>
                <w:color w:val="000000"/>
                <w:kern w:val="0"/>
                <w:szCs w:val="21"/>
              </w:rPr>
              <w:t>情况</w:t>
            </w:r>
          </w:p>
        </w:tc>
        <w:tc>
          <w:tcPr>
            <w:tcW w:w="2086" w:type="dxa"/>
            <w:gridSpan w:val="3"/>
            <w:tcBorders>
              <w:bottom w:val="single" w:color="auto" w:sz="4" w:space="0"/>
            </w:tcBorders>
            <w:vAlign w:val="center"/>
          </w:tcPr>
          <w:p w14:paraId="23B02F70">
            <w:pPr>
              <w:jc w:val="center"/>
              <w:rPr>
                <w:bCs/>
                <w:color w:val="000000"/>
                <w:szCs w:val="21"/>
              </w:rPr>
            </w:pPr>
            <w:r>
              <w:rPr>
                <w:rFonts w:hint="eastAsia"/>
                <w:bCs/>
                <w:color w:val="000000"/>
                <w:kern w:val="0"/>
                <w:szCs w:val="21"/>
              </w:rPr>
              <w:t>屠宰执法情况</w:t>
            </w:r>
          </w:p>
        </w:tc>
        <w:tc>
          <w:tcPr>
            <w:tcW w:w="3301" w:type="dxa"/>
            <w:gridSpan w:val="5"/>
            <w:tcBorders>
              <w:bottom w:val="single" w:color="auto" w:sz="4" w:space="0"/>
            </w:tcBorders>
            <w:vAlign w:val="center"/>
          </w:tcPr>
          <w:p w14:paraId="04B6FF2E">
            <w:pPr>
              <w:jc w:val="center"/>
              <w:rPr>
                <w:bCs/>
                <w:color w:val="000000"/>
                <w:szCs w:val="21"/>
              </w:rPr>
            </w:pPr>
            <w:r>
              <w:rPr>
                <w:rFonts w:hAnsi="宋体"/>
                <w:bCs/>
                <w:color w:val="000000"/>
                <w:kern w:val="0"/>
                <w:szCs w:val="21"/>
              </w:rPr>
              <w:t>行政执法案件查处情况</w:t>
            </w:r>
          </w:p>
        </w:tc>
        <w:tc>
          <w:tcPr>
            <w:tcW w:w="1390" w:type="dxa"/>
            <w:gridSpan w:val="2"/>
            <w:tcBorders>
              <w:bottom w:val="single" w:color="auto" w:sz="4" w:space="0"/>
            </w:tcBorders>
            <w:vAlign w:val="center"/>
          </w:tcPr>
          <w:p w14:paraId="720D85C2">
            <w:pPr>
              <w:jc w:val="center"/>
              <w:rPr>
                <w:rFonts w:hAnsi="宋体"/>
                <w:bCs/>
                <w:color w:val="000000"/>
                <w:kern w:val="0"/>
                <w:szCs w:val="21"/>
              </w:rPr>
            </w:pPr>
            <w:r>
              <w:rPr>
                <w:rFonts w:hAnsi="宋体"/>
                <w:bCs/>
                <w:color w:val="000000"/>
                <w:kern w:val="0"/>
                <w:szCs w:val="21"/>
              </w:rPr>
              <w:t>案件移</w:t>
            </w:r>
          </w:p>
          <w:p w14:paraId="29B94834">
            <w:pPr>
              <w:jc w:val="center"/>
              <w:rPr>
                <w:bCs/>
                <w:color w:val="000000"/>
                <w:szCs w:val="21"/>
              </w:rPr>
            </w:pPr>
            <w:r>
              <w:rPr>
                <w:rFonts w:hAnsi="宋体"/>
                <w:bCs/>
                <w:color w:val="000000"/>
                <w:kern w:val="0"/>
                <w:szCs w:val="21"/>
              </w:rPr>
              <w:t>送情况</w:t>
            </w:r>
          </w:p>
        </w:tc>
        <w:tc>
          <w:tcPr>
            <w:tcW w:w="3822" w:type="dxa"/>
            <w:gridSpan w:val="5"/>
            <w:tcBorders>
              <w:bottom w:val="single" w:color="auto" w:sz="4" w:space="0"/>
            </w:tcBorders>
            <w:vAlign w:val="center"/>
          </w:tcPr>
          <w:p w14:paraId="1B1A3A93">
            <w:pPr>
              <w:jc w:val="center"/>
              <w:rPr>
                <w:rFonts w:hAnsi="宋体"/>
                <w:bCs/>
                <w:color w:val="000000"/>
                <w:kern w:val="0"/>
                <w:szCs w:val="21"/>
              </w:rPr>
            </w:pPr>
            <w:r>
              <w:rPr>
                <w:rFonts w:hint="eastAsia" w:hAnsi="宋体"/>
                <w:bCs/>
                <w:color w:val="000000"/>
                <w:kern w:val="0"/>
                <w:szCs w:val="21"/>
              </w:rPr>
              <w:t>专项</w:t>
            </w:r>
            <w:r>
              <w:rPr>
                <w:rFonts w:hAnsi="宋体"/>
                <w:bCs/>
                <w:color w:val="000000"/>
                <w:kern w:val="0"/>
                <w:szCs w:val="21"/>
              </w:rPr>
              <w:t>行动工作成效</w:t>
            </w:r>
          </w:p>
        </w:tc>
      </w:tr>
      <w:tr w14:paraId="6B5F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0" w:type="dxa"/>
            <w:tcBorders>
              <w:bottom w:val="single" w:color="auto" w:sz="4" w:space="0"/>
            </w:tcBorders>
            <w:vAlign w:val="center"/>
          </w:tcPr>
          <w:p w14:paraId="11ADF42D">
            <w:pPr>
              <w:pStyle w:val="9"/>
              <w:widowControl/>
              <w:spacing w:before="100" w:beforeAutospacing="1" w:after="100" w:afterAutospacing="1"/>
              <w:jc w:val="center"/>
              <w:rPr>
                <w:kern w:val="0"/>
                <w:szCs w:val="21"/>
              </w:rPr>
            </w:pPr>
            <w:r>
              <w:rPr>
                <w:rFonts w:hAnsi="宋体"/>
                <w:kern w:val="0"/>
                <w:szCs w:val="21"/>
              </w:rPr>
              <w:t>媒体宣传</w:t>
            </w:r>
          </w:p>
        </w:tc>
        <w:tc>
          <w:tcPr>
            <w:tcW w:w="694" w:type="dxa"/>
            <w:tcBorders>
              <w:bottom w:val="single" w:color="auto" w:sz="4" w:space="0"/>
            </w:tcBorders>
            <w:vAlign w:val="center"/>
          </w:tcPr>
          <w:p w14:paraId="62AFB5FA">
            <w:pPr>
              <w:pStyle w:val="9"/>
              <w:widowControl/>
              <w:spacing w:before="100" w:beforeAutospacing="1" w:after="100" w:afterAutospacing="1"/>
              <w:jc w:val="center"/>
              <w:rPr>
                <w:kern w:val="0"/>
                <w:szCs w:val="21"/>
              </w:rPr>
            </w:pPr>
            <w:r>
              <w:rPr>
                <w:rFonts w:hAnsi="宋体"/>
                <w:kern w:val="0"/>
                <w:szCs w:val="21"/>
              </w:rPr>
              <w:t>发放宣传材料</w:t>
            </w:r>
          </w:p>
        </w:tc>
        <w:tc>
          <w:tcPr>
            <w:tcW w:w="694" w:type="dxa"/>
            <w:tcBorders>
              <w:bottom w:val="single" w:color="auto" w:sz="4" w:space="0"/>
            </w:tcBorders>
            <w:vAlign w:val="center"/>
          </w:tcPr>
          <w:p w14:paraId="46310E39">
            <w:pPr>
              <w:pStyle w:val="9"/>
              <w:widowControl/>
              <w:spacing w:before="100" w:beforeAutospacing="1" w:after="100" w:afterAutospacing="1"/>
              <w:jc w:val="center"/>
              <w:rPr>
                <w:kern w:val="0"/>
                <w:szCs w:val="21"/>
              </w:rPr>
            </w:pPr>
            <w:r>
              <w:rPr>
                <w:rFonts w:hint="eastAsia" w:hAnsi="宋体"/>
                <w:kern w:val="0"/>
                <w:szCs w:val="21"/>
              </w:rPr>
              <w:t>举办培训班次</w:t>
            </w:r>
          </w:p>
        </w:tc>
        <w:tc>
          <w:tcPr>
            <w:tcW w:w="695" w:type="dxa"/>
            <w:tcBorders>
              <w:bottom w:val="single" w:color="auto" w:sz="4" w:space="0"/>
            </w:tcBorders>
            <w:vAlign w:val="center"/>
          </w:tcPr>
          <w:p w14:paraId="2C833F5D">
            <w:pPr>
              <w:pStyle w:val="9"/>
              <w:widowControl/>
              <w:spacing w:before="100" w:beforeAutospacing="1" w:after="100" w:afterAutospacing="1"/>
              <w:jc w:val="center"/>
              <w:rPr>
                <w:kern w:val="0"/>
                <w:szCs w:val="21"/>
              </w:rPr>
            </w:pPr>
            <w:r>
              <w:rPr>
                <w:rFonts w:hint="eastAsia" w:hAnsi="宋体"/>
                <w:kern w:val="0"/>
                <w:szCs w:val="21"/>
              </w:rPr>
              <w:t>培训人员数量</w:t>
            </w:r>
          </w:p>
        </w:tc>
        <w:tc>
          <w:tcPr>
            <w:tcW w:w="520" w:type="dxa"/>
            <w:tcBorders>
              <w:bottom w:val="single" w:color="auto" w:sz="4" w:space="0"/>
            </w:tcBorders>
            <w:vAlign w:val="center"/>
          </w:tcPr>
          <w:p w14:paraId="745AAE6F">
            <w:pPr>
              <w:jc w:val="center"/>
              <w:rPr>
                <w:kern w:val="0"/>
                <w:szCs w:val="21"/>
              </w:rPr>
            </w:pPr>
            <w:r>
              <w:rPr>
                <w:rFonts w:hAnsi="宋体"/>
                <w:kern w:val="0"/>
                <w:szCs w:val="21"/>
              </w:rPr>
              <w:t>接报数量</w:t>
            </w:r>
          </w:p>
        </w:tc>
        <w:tc>
          <w:tcPr>
            <w:tcW w:w="522" w:type="dxa"/>
            <w:tcBorders>
              <w:bottom w:val="single" w:color="auto" w:sz="4" w:space="0"/>
            </w:tcBorders>
            <w:vAlign w:val="center"/>
          </w:tcPr>
          <w:p w14:paraId="54411D2D">
            <w:pPr>
              <w:jc w:val="center"/>
              <w:rPr>
                <w:kern w:val="0"/>
                <w:szCs w:val="21"/>
              </w:rPr>
            </w:pPr>
            <w:r>
              <w:rPr>
                <w:rFonts w:hAnsi="宋体"/>
                <w:kern w:val="0"/>
                <w:szCs w:val="21"/>
              </w:rPr>
              <w:t>查实数量</w:t>
            </w:r>
          </w:p>
        </w:tc>
        <w:tc>
          <w:tcPr>
            <w:tcW w:w="694" w:type="dxa"/>
            <w:tcBorders>
              <w:bottom w:val="single" w:color="auto" w:sz="4" w:space="0"/>
            </w:tcBorders>
            <w:vAlign w:val="center"/>
          </w:tcPr>
          <w:p w14:paraId="7FB59721">
            <w:pPr>
              <w:pStyle w:val="9"/>
              <w:widowControl/>
              <w:spacing w:before="100" w:beforeAutospacing="1" w:after="100" w:afterAutospacing="1"/>
              <w:jc w:val="center"/>
              <w:rPr>
                <w:kern w:val="0"/>
                <w:szCs w:val="21"/>
              </w:rPr>
            </w:pPr>
            <w:r>
              <w:rPr>
                <w:rFonts w:hAnsi="宋体"/>
                <w:kern w:val="0"/>
                <w:szCs w:val="21"/>
              </w:rPr>
              <w:t>全省开展执法次数</w:t>
            </w:r>
          </w:p>
        </w:tc>
        <w:tc>
          <w:tcPr>
            <w:tcW w:w="641" w:type="dxa"/>
            <w:tcBorders>
              <w:bottom w:val="single" w:color="auto" w:sz="4" w:space="0"/>
            </w:tcBorders>
            <w:vAlign w:val="center"/>
          </w:tcPr>
          <w:p w14:paraId="7E3BD6E5">
            <w:pPr>
              <w:pStyle w:val="9"/>
              <w:widowControl/>
              <w:spacing w:before="100" w:beforeAutospacing="1" w:after="100" w:afterAutospacing="1"/>
              <w:jc w:val="center"/>
              <w:rPr>
                <w:kern w:val="0"/>
                <w:szCs w:val="21"/>
              </w:rPr>
            </w:pPr>
            <w:r>
              <w:rPr>
                <w:rFonts w:hAnsi="宋体"/>
                <w:kern w:val="0"/>
                <w:szCs w:val="21"/>
              </w:rPr>
              <w:t>出动执法人员数量</w:t>
            </w:r>
          </w:p>
        </w:tc>
        <w:tc>
          <w:tcPr>
            <w:tcW w:w="751" w:type="dxa"/>
            <w:tcBorders>
              <w:bottom w:val="single" w:color="auto" w:sz="4" w:space="0"/>
            </w:tcBorders>
            <w:vAlign w:val="center"/>
          </w:tcPr>
          <w:p w14:paraId="243A6090">
            <w:pPr>
              <w:jc w:val="center"/>
              <w:rPr>
                <w:kern w:val="0"/>
                <w:szCs w:val="21"/>
              </w:rPr>
            </w:pPr>
            <w:r>
              <w:rPr>
                <w:rFonts w:hAnsi="宋体"/>
                <w:kern w:val="0"/>
                <w:szCs w:val="21"/>
              </w:rPr>
              <w:t>开展联合执法次数</w:t>
            </w:r>
          </w:p>
        </w:tc>
        <w:tc>
          <w:tcPr>
            <w:tcW w:w="695" w:type="dxa"/>
            <w:tcBorders>
              <w:bottom w:val="single" w:color="auto" w:sz="4" w:space="0"/>
            </w:tcBorders>
            <w:vAlign w:val="center"/>
          </w:tcPr>
          <w:p w14:paraId="2D4F43B4">
            <w:pPr>
              <w:jc w:val="center"/>
              <w:rPr>
                <w:rFonts w:hAnsi="宋体"/>
                <w:kern w:val="0"/>
                <w:szCs w:val="21"/>
              </w:rPr>
            </w:pPr>
            <w:r>
              <w:rPr>
                <w:rFonts w:hAnsi="宋体"/>
                <w:kern w:val="0"/>
                <w:szCs w:val="21"/>
              </w:rPr>
              <w:t>立案件数</w:t>
            </w:r>
          </w:p>
        </w:tc>
        <w:tc>
          <w:tcPr>
            <w:tcW w:w="695" w:type="dxa"/>
            <w:tcBorders>
              <w:bottom w:val="single" w:color="auto" w:sz="4" w:space="0"/>
            </w:tcBorders>
            <w:vAlign w:val="center"/>
          </w:tcPr>
          <w:p w14:paraId="48E5BA5D">
            <w:pPr>
              <w:jc w:val="center"/>
              <w:rPr>
                <w:rFonts w:hAnsi="宋体"/>
                <w:kern w:val="0"/>
                <w:szCs w:val="21"/>
              </w:rPr>
            </w:pPr>
            <w:r>
              <w:rPr>
                <w:rFonts w:hAnsi="宋体"/>
                <w:kern w:val="0"/>
                <w:szCs w:val="21"/>
              </w:rPr>
              <w:t>涉案物品数量</w:t>
            </w:r>
          </w:p>
        </w:tc>
        <w:tc>
          <w:tcPr>
            <w:tcW w:w="521" w:type="dxa"/>
            <w:tcBorders>
              <w:bottom w:val="single" w:color="auto" w:sz="4" w:space="0"/>
            </w:tcBorders>
            <w:vAlign w:val="center"/>
          </w:tcPr>
          <w:p w14:paraId="2DDF283C">
            <w:pPr>
              <w:jc w:val="center"/>
              <w:rPr>
                <w:kern w:val="0"/>
                <w:szCs w:val="21"/>
              </w:rPr>
            </w:pPr>
            <w:r>
              <w:rPr>
                <w:rFonts w:hAnsi="宋体"/>
                <w:kern w:val="0"/>
                <w:szCs w:val="21"/>
              </w:rPr>
              <w:t>货值</w:t>
            </w:r>
          </w:p>
        </w:tc>
        <w:tc>
          <w:tcPr>
            <w:tcW w:w="694" w:type="dxa"/>
            <w:tcBorders>
              <w:bottom w:val="single" w:color="auto" w:sz="4" w:space="0"/>
            </w:tcBorders>
            <w:vAlign w:val="center"/>
          </w:tcPr>
          <w:p w14:paraId="20192C87">
            <w:pPr>
              <w:jc w:val="center"/>
              <w:rPr>
                <w:kern w:val="0"/>
                <w:szCs w:val="21"/>
              </w:rPr>
            </w:pPr>
            <w:r>
              <w:rPr>
                <w:rFonts w:hAnsi="宋体"/>
                <w:kern w:val="0"/>
                <w:szCs w:val="21"/>
              </w:rPr>
              <w:t>罚没金额</w:t>
            </w:r>
          </w:p>
        </w:tc>
        <w:tc>
          <w:tcPr>
            <w:tcW w:w="696" w:type="dxa"/>
            <w:tcBorders>
              <w:bottom w:val="single" w:color="auto" w:sz="4" w:space="0"/>
            </w:tcBorders>
            <w:vAlign w:val="center"/>
          </w:tcPr>
          <w:p w14:paraId="63E805DF">
            <w:pPr>
              <w:jc w:val="center"/>
              <w:rPr>
                <w:rFonts w:hAnsi="宋体"/>
                <w:kern w:val="0"/>
                <w:szCs w:val="21"/>
              </w:rPr>
            </w:pPr>
            <w:r>
              <w:rPr>
                <w:rFonts w:hint="eastAsia" w:hAnsi="宋体"/>
                <w:kern w:val="0"/>
                <w:szCs w:val="21"/>
              </w:rPr>
              <w:t>曝光案件数量</w:t>
            </w:r>
          </w:p>
        </w:tc>
        <w:tc>
          <w:tcPr>
            <w:tcW w:w="695" w:type="dxa"/>
            <w:tcBorders>
              <w:top w:val="single" w:color="auto" w:sz="4" w:space="0"/>
              <w:bottom w:val="single" w:color="auto" w:sz="4" w:space="0"/>
            </w:tcBorders>
            <w:vAlign w:val="center"/>
          </w:tcPr>
          <w:p w14:paraId="3E16D2A7">
            <w:pPr>
              <w:jc w:val="center"/>
              <w:rPr>
                <w:kern w:val="0"/>
                <w:szCs w:val="21"/>
              </w:rPr>
            </w:pPr>
            <w:r>
              <w:rPr>
                <w:rFonts w:hint="eastAsia" w:hAnsi="宋体"/>
                <w:kern w:val="0"/>
                <w:szCs w:val="21"/>
              </w:rPr>
              <w:t>移送</w:t>
            </w:r>
            <w:r>
              <w:rPr>
                <w:rFonts w:hAnsi="宋体"/>
                <w:kern w:val="0"/>
                <w:szCs w:val="21"/>
              </w:rPr>
              <w:t>件数</w:t>
            </w:r>
          </w:p>
        </w:tc>
        <w:tc>
          <w:tcPr>
            <w:tcW w:w="695" w:type="dxa"/>
            <w:tcBorders>
              <w:top w:val="single" w:color="auto" w:sz="4" w:space="0"/>
              <w:bottom w:val="single" w:color="auto" w:sz="4" w:space="0"/>
            </w:tcBorders>
            <w:vAlign w:val="center"/>
          </w:tcPr>
          <w:p w14:paraId="26046064">
            <w:pPr>
              <w:jc w:val="center"/>
              <w:rPr>
                <w:kern w:val="0"/>
                <w:szCs w:val="21"/>
              </w:rPr>
            </w:pPr>
            <w:r>
              <w:rPr>
                <w:rFonts w:hint="eastAsia" w:hAnsi="宋体"/>
                <w:kern w:val="0"/>
                <w:szCs w:val="21"/>
              </w:rPr>
              <w:t>追究刑责人数</w:t>
            </w:r>
          </w:p>
        </w:tc>
        <w:tc>
          <w:tcPr>
            <w:tcW w:w="695" w:type="dxa"/>
            <w:tcBorders>
              <w:bottom w:val="single" w:color="auto" w:sz="4" w:space="0"/>
            </w:tcBorders>
            <w:vAlign w:val="center"/>
          </w:tcPr>
          <w:p w14:paraId="2728D40B">
            <w:pPr>
              <w:pStyle w:val="9"/>
              <w:widowControl/>
              <w:spacing w:before="100" w:beforeAutospacing="1" w:after="100" w:afterAutospacing="1"/>
              <w:jc w:val="center"/>
              <w:rPr>
                <w:kern w:val="0"/>
                <w:szCs w:val="21"/>
              </w:rPr>
            </w:pPr>
            <w:r>
              <w:rPr>
                <w:rFonts w:hint="eastAsia" w:hAnsi="宋体"/>
                <w:kern w:val="0"/>
                <w:szCs w:val="21"/>
              </w:rPr>
              <w:t>清理</w:t>
            </w:r>
            <w:r>
              <w:rPr>
                <w:rFonts w:hAnsi="宋体"/>
                <w:kern w:val="0"/>
                <w:szCs w:val="21"/>
              </w:rPr>
              <w:t>小型屠宰场点数量</w:t>
            </w:r>
          </w:p>
        </w:tc>
        <w:tc>
          <w:tcPr>
            <w:tcW w:w="869" w:type="dxa"/>
            <w:tcBorders>
              <w:bottom w:val="single" w:color="auto" w:sz="4" w:space="0"/>
            </w:tcBorders>
            <w:vAlign w:val="center"/>
          </w:tcPr>
          <w:p w14:paraId="40EBE3FF">
            <w:pPr>
              <w:jc w:val="center"/>
              <w:rPr>
                <w:rFonts w:hAnsi="宋体"/>
                <w:kern w:val="0"/>
                <w:szCs w:val="21"/>
              </w:rPr>
            </w:pPr>
            <w:r>
              <w:rPr>
                <w:rFonts w:hint="eastAsia" w:hAnsi="宋体"/>
                <w:kern w:val="0"/>
                <w:szCs w:val="21"/>
              </w:rPr>
              <w:t>病害猪</w:t>
            </w:r>
            <w:r>
              <w:rPr>
                <w:rFonts w:hAnsi="宋体"/>
                <w:kern w:val="0"/>
                <w:szCs w:val="21"/>
              </w:rPr>
              <w:t>无害化处理</w:t>
            </w:r>
          </w:p>
          <w:p w14:paraId="1B0929D9">
            <w:pPr>
              <w:jc w:val="center"/>
              <w:rPr>
                <w:kern w:val="0"/>
                <w:szCs w:val="21"/>
              </w:rPr>
            </w:pPr>
            <w:r>
              <w:rPr>
                <w:rFonts w:hAnsi="宋体"/>
                <w:kern w:val="0"/>
                <w:szCs w:val="21"/>
              </w:rPr>
              <w:t>数量</w:t>
            </w:r>
          </w:p>
        </w:tc>
        <w:tc>
          <w:tcPr>
            <w:tcW w:w="868" w:type="dxa"/>
            <w:tcBorders>
              <w:bottom w:val="single" w:color="auto" w:sz="4" w:space="0"/>
            </w:tcBorders>
            <w:vAlign w:val="center"/>
          </w:tcPr>
          <w:p w14:paraId="131D3164">
            <w:pPr>
              <w:jc w:val="center"/>
              <w:rPr>
                <w:kern w:val="0"/>
                <w:szCs w:val="21"/>
              </w:rPr>
            </w:pPr>
            <w:r>
              <w:rPr>
                <w:rFonts w:hAnsi="宋体"/>
                <w:kern w:val="0"/>
                <w:szCs w:val="21"/>
              </w:rPr>
              <w:t>屠宰环节瘦肉精</w:t>
            </w:r>
            <w:r>
              <w:rPr>
                <w:rFonts w:hint="eastAsia" w:hAnsi="宋体"/>
                <w:kern w:val="0"/>
                <w:szCs w:val="21"/>
              </w:rPr>
              <w:t>监督</w:t>
            </w:r>
            <w:r>
              <w:rPr>
                <w:rFonts w:hAnsi="宋体"/>
                <w:kern w:val="0"/>
                <w:szCs w:val="21"/>
              </w:rPr>
              <w:t>抽检量</w:t>
            </w:r>
            <w:r>
              <w:rPr>
                <w:kern w:val="0"/>
                <w:szCs w:val="21"/>
              </w:rPr>
              <w:t xml:space="preserve">  </w:t>
            </w:r>
          </w:p>
        </w:tc>
        <w:tc>
          <w:tcPr>
            <w:tcW w:w="695" w:type="dxa"/>
            <w:tcBorders>
              <w:bottom w:val="single" w:color="auto" w:sz="4" w:space="0"/>
            </w:tcBorders>
            <w:vAlign w:val="center"/>
          </w:tcPr>
          <w:p w14:paraId="359654F7">
            <w:pPr>
              <w:jc w:val="center"/>
              <w:rPr>
                <w:rFonts w:hAnsi="宋体"/>
                <w:kern w:val="0"/>
                <w:szCs w:val="21"/>
              </w:rPr>
            </w:pPr>
            <w:r>
              <w:rPr>
                <w:rFonts w:hint="eastAsia"/>
                <w:kern w:val="0"/>
                <w:szCs w:val="21"/>
              </w:rPr>
              <w:t>捣毁私屠滥宰窝点数量</w:t>
            </w:r>
          </w:p>
        </w:tc>
        <w:tc>
          <w:tcPr>
            <w:tcW w:w="695" w:type="dxa"/>
            <w:tcBorders>
              <w:bottom w:val="single" w:color="auto" w:sz="4" w:space="0"/>
            </w:tcBorders>
            <w:vAlign w:val="center"/>
          </w:tcPr>
          <w:p w14:paraId="4BC33276">
            <w:pPr>
              <w:jc w:val="center"/>
              <w:rPr>
                <w:kern w:val="0"/>
                <w:szCs w:val="21"/>
              </w:rPr>
            </w:pPr>
            <w:r>
              <w:rPr>
                <w:rFonts w:hint="eastAsia"/>
                <w:kern w:val="0"/>
                <w:szCs w:val="21"/>
              </w:rPr>
              <w:t>其他</w:t>
            </w:r>
          </w:p>
        </w:tc>
      </w:tr>
      <w:tr w14:paraId="485F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50" w:type="dxa"/>
            <w:tcBorders>
              <w:top w:val="single" w:color="auto" w:sz="4" w:space="0"/>
            </w:tcBorders>
            <w:textDirection w:val="tbRlV"/>
            <w:vAlign w:val="center"/>
          </w:tcPr>
          <w:p w14:paraId="36B4697F">
            <w:pPr>
              <w:pStyle w:val="9"/>
              <w:spacing w:before="100" w:beforeAutospacing="1" w:after="100" w:afterAutospacing="1"/>
              <w:ind w:left="113" w:right="113"/>
              <w:jc w:val="center"/>
              <w:rPr>
                <w:kern w:val="0"/>
                <w:szCs w:val="21"/>
              </w:rPr>
            </w:pPr>
            <w:r>
              <w:rPr>
                <w:rFonts w:hAnsi="宋体"/>
                <w:kern w:val="0"/>
                <w:szCs w:val="21"/>
              </w:rPr>
              <w:t>（次）</w:t>
            </w:r>
          </w:p>
        </w:tc>
        <w:tc>
          <w:tcPr>
            <w:tcW w:w="694" w:type="dxa"/>
            <w:tcBorders>
              <w:top w:val="single" w:color="auto" w:sz="4" w:space="0"/>
            </w:tcBorders>
            <w:textDirection w:val="tbRlV"/>
            <w:vAlign w:val="center"/>
          </w:tcPr>
          <w:p w14:paraId="2902AC6B">
            <w:pPr>
              <w:pStyle w:val="9"/>
              <w:spacing w:before="100" w:beforeAutospacing="1" w:after="100" w:afterAutospacing="1"/>
              <w:ind w:left="113" w:right="113"/>
              <w:jc w:val="center"/>
              <w:rPr>
                <w:kern w:val="0"/>
                <w:szCs w:val="21"/>
              </w:rPr>
            </w:pPr>
            <w:r>
              <w:rPr>
                <w:rFonts w:hAnsi="宋体"/>
                <w:kern w:val="0"/>
                <w:szCs w:val="21"/>
              </w:rPr>
              <w:t>（份）</w:t>
            </w:r>
          </w:p>
        </w:tc>
        <w:tc>
          <w:tcPr>
            <w:tcW w:w="694" w:type="dxa"/>
            <w:tcBorders>
              <w:top w:val="single" w:color="auto" w:sz="4" w:space="0"/>
            </w:tcBorders>
            <w:textDirection w:val="tbRlV"/>
            <w:vAlign w:val="center"/>
          </w:tcPr>
          <w:p w14:paraId="765ACE82">
            <w:pPr>
              <w:pStyle w:val="9"/>
              <w:spacing w:before="100" w:beforeAutospacing="1" w:after="100" w:afterAutospacing="1"/>
              <w:ind w:left="113" w:right="113"/>
              <w:jc w:val="center"/>
              <w:rPr>
                <w:kern w:val="0"/>
                <w:szCs w:val="21"/>
              </w:rPr>
            </w:pPr>
            <w:r>
              <w:rPr>
                <w:rFonts w:hAnsi="宋体"/>
                <w:kern w:val="0"/>
                <w:szCs w:val="21"/>
              </w:rPr>
              <w:t>（</w:t>
            </w:r>
            <w:r>
              <w:rPr>
                <w:rFonts w:hint="eastAsia" w:hAnsi="宋体"/>
                <w:kern w:val="0"/>
                <w:szCs w:val="21"/>
              </w:rPr>
              <w:t>次</w:t>
            </w:r>
            <w:r>
              <w:rPr>
                <w:rFonts w:hAnsi="宋体"/>
                <w:kern w:val="0"/>
                <w:szCs w:val="21"/>
              </w:rPr>
              <w:t>）</w:t>
            </w:r>
          </w:p>
        </w:tc>
        <w:tc>
          <w:tcPr>
            <w:tcW w:w="695" w:type="dxa"/>
            <w:tcBorders>
              <w:top w:val="single" w:color="auto" w:sz="4" w:space="0"/>
            </w:tcBorders>
            <w:textDirection w:val="tbRlV"/>
            <w:vAlign w:val="center"/>
          </w:tcPr>
          <w:p w14:paraId="78443F37">
            <w:pPr>
              <w:pStyle w:val="9"/>
              <w:spacing w:before="100" w:beforeAutospacing="1" w:after="100" w:afterAutospacing="1"/>
              <w:ind w:left="113" w:right="113"/>
              <w:jc w:val="center"/>
              <w:rPr>
                <w:kern w:val="0"/>
                <w:szCs w:val="21"/>
              </w:rPr>
            </w:pPr>
            <w:r>
              <w:rPr>
                <w:rFonts w:hAnsi="宋体"/>
                <w:kern w:val="0"/>
                <w:szCs w:val="21"/>
              </w:rPr>
              <w:t>（人次）</w:t>
            </w:r>
          </w:p>
        </w:tc>
        <w:tc>
          <w:tcPr>
            <w:tcW w:w="520" w:type="dxa"/>
            <w:tcBorders>
              <w:top w:val="single" w:color="auto" w:sz="4" w:space="0"/>
            </w:tcBorders>
            <w:textDirection w:val="tbRlV"/>
            <w:vAlign w:val="center"/>
          </w:tcPr>
          <w:p w14:paraId="37140D41">
            <w:pPr>
              <w:spacing w:line="360" w:lineRule="auto"/>
              <w:ind w:left="113" w:right="113"/>
              <w:jc w:val="center"/>
              <w:rPr>
                <w:kern w:val="0"/>
                <w:szCs w:val="21"/>
              </w:rPr>
            </w:pPr>
            <w:r>
              <w:rPr>
                <w:rFonts w:hAnsi="宋体"/>
                <w:kern w:val="0"/>
                <w:szCs w:val="21"/>
              </w:rPr>
              <w:t>（起）</w:t>
            </w:r>
          </w:p>
        </w:tc>
        <w:tc>
          <w:tcPr>
            <w:tcW w:w="522" w:type="dxa"/>
            <w:tcBorders>
              <w:top w:val="single" w:color="auto" w:sz="4" w:space="0"/>
            </w:tcBorders>
            <w:textDirection w:val="tbRlV"/>
            <w:vAlign w:val="center"/>
          </w:tcPr>
          <w:p w14:paraId="79C09B21">
            <w:pPr>
              <w:spacing w:line="360" w:lineRule="auto"/>
              <w:ind w:left="113" w:right="113"/>
              <w:jc w:val="center"/>
              <w:rPr>
                <w:kern w:val="0"/>
                <w:szCs w:val="21"/>
              </w:rPr>
            </w:pPr>
            <w:r>
              <w:rPr>
                <w:rFonts w:hAnsi="宋体"/>
                <w:kern w:val="0"/>
                <w:szCs w:val="21"/>
              </w:rPr>
              <w:t>（起）</w:t>
            </w:r>
          </w:p>
        </w:tc>
        <w:tc>
          <w:tcPr>
            <w:tcW w:w="694" w:type="dxa"/>
            <w:tcBorders>
              <w:top w:val="single" w:color="auto" w:sz="4" w:space="0"/>
            </w:tcBorders>
            <w:textDirection w:val="tbRlV"/>
            <w:vAlign w:val="center"/>
          </w:tcPr>
          <w:p w14:paraId="2B1CD270">
            <w:pPr>
              <w:pStyle w:val="9"/>
              <w:spacing w:before="100" w:beforeAutospacing="1" w:after="100" w:afterAutospacing="1"/>
              <w:ind w:left="113" w:right="113"/>
              <w:jc w:val="center"/>
              <w:rPr>
                <w:kern w:val="0"/>
                <w:szCs w:val="21"/>
              </w:rPr>
            </w:pPr>
            <w:r>
              <w:rPr>
                <w:rFonts w:hAnsi="宋体"/>
                <w:kern w:val="0"/>
                <w:szCs w:val="21"/>
              </w:rPr>
              <w:t>（次）</w:t>
            </w:r>
          </w:p>
        </w:tc>
        <w:tc>
          <w:tcPr>
            <w:tcW w:w="641" w:type="dxa"/>
            <w:tcBorders>
              <w:top w:val="single" w:color="auto" w:sz="4" w:space="0"/>
            </w:tcBorders>
            <w:textDirection w:val="tbRlV"/>
            <w:vAlign w:val="center"/>
          </w:tcPr>
          <w:p w14:paraId="39E9C312">
            <w:pPr>
              <w:pStyle w:val="9"/>
              <w:spacing w:before="100" w:beforeAutospacing="1" w:after="100" w:afterAutospacing="1"/>
              <w:ind w:left="113" w:right="113"/>
              <w:jc w:val="center"/>
              <w:rPr>
                <w:kern w:val="0"/>
                <w:szCs w:val="21"/>
              </w:rPr>
            </w:pPr>
            <w:r>
              <w:rPr>
                <w:rFonts w:hAnsi="宋体"/>
                <w:kern w:val="0"/>
                <w:szCs w:val="21"/>
              </w:rPr>
              <w:t>（人次）</w:t>
            </w:r>
          </w:p>
        </w:tc>
        <w:tc>
          <w:tcPr>
            <w:tcW w:w="751" w:type="dxa"/>
            <w:tcBorders>
              <w:top w:val="single" w:color="auto" w:sz="4" w:space="0"/>
            </w:tcBorders>
            <w:textDirection w:val="tbRlV"/>
            <w:vAlign w:val="center"/>
          </w:tcPr>
          <w:p w14:paraId="6809548A">
            <w:pPr>
              <w:spacing w:line="360" w:lineRule="auto"/>
              <w:ind w:left="113" w:right="113"/>
              <w:jc w:val="center"/>
              <w:rPr>
                <w:kern w:val="0"/>
                <w:szCs w:val="21"/>
              </w:rPr>
            </w:pPr>
            <w:r>
              <w:rPr>
                <w:rFonts w:hAnsi="宋体"/>
                <w:kern w:val="0"/>
                <w:szCs w:val="21"/>
              </w:rPr>
              <w:t>（次）</w:t>
            </w:r>
          </w:p>
        </w:tc>
        <w:tc>
          <w:tcPr>
            <w:tcW w:w="695" w:type="dxa"/>
            <w:tcBorders>
              <w:top w:val="single" w:color="auto" w:sz="4" w:space="0"/>
            </w:tcBorders>
            <w:textDirection w:val="tbRlV"/>
            <w:vAlign w:val="center"/>
          </w:tcPr>
          <w:p w14:paraId="19BB11D2">
            <w:pPr>
              <w:spacing w:line="360" w:lineRule="auto"/>
              <w:ind w:left="113" w:right="113"/>
              <w:jc w:val="center"/>
              <w:rPr>
                <w:kern w:val="0"/>
                <w:szCs w:val="21"/>
              </w:rPr>
            </w:pPr>
            <w:r>
              <w:rPr>
                <w:rFonts w:hAnsi="宋体"/>
                <w:kern w:val="0"/>
                <w:szCs w:val="21"/>
              </w:rPr>
              <w:t>（</w:t>
            </w:r>
            <w:r>
              <w:rPr>
                <w:rFonts w:hint="eastAsia" w:hAnsi="宋体"/>
                <w:kern w:val="0"/>
                <w:szCs w:val="21"/>
              </w:rPr>
              <w:t>件</w:t>
            </w:r>
            <w:r>
              <w:rPr>
                <w:rFonts w:hAnsi="宋体"/>
                <w:kern w:val="0"/>
                <w:szCs w:val="21"/>
              </w:rPr>
              <w:t>）</w:t>
            </w:r>
          </w:p>
        </w:tc>
        <w:tc>
          <w:tcPr>
            <w:tcW w:w="695" w:type="dxa"/>
            <w:tcBorders>
              <w:top w:val="single" w:color="auto" w:sz="4" w:space="0"/>
            </w:tcBorders>
            <w:textDirection w:val="tbRlV"/>
            <w:vAlign w:val="center"/>
          </w:tcPr>
          <w:p w14:paraId="1ADA8081">
            <w:pPr>
              <w:spacing w:line="360" w:lineRule="auto"/>
              <w:ind w:left="113" w:right="113"/>
              <w:jc w:val="center"/>
              <w:rPr>
                <w:kern w:val="0"/>
                <w:szCs w:val="21"/>
              </w:rPr>
            </w:pPr>
            <w:r>
              <w:rPr>
                <w:rFonts w:hAnsi="宋体"/>
                <w:kern w:val="0"/>
                <w:szCs w:val="21"/>
              </w:rPr>
              <w:t>（头</w:t>
            </w:r>
            <w:r>
              <w:rPr>
                <w:kern w:val="0"/>
                <w:szCs w:val="21"/>
              </w:rPr>
              <w:t>/</w:t>
            </w:r>
            <w:r>
              <w:rPr>
                <w:rFonts w:hAnsi="宋体"/>
                <w:kern w:val="0"/>
                <w:szCs w:val="21"/>
              </w:rPr>
              <w:t>吨）</w:t>
            </w:r>
          </w:p>
        </w:tc>
        <w:tc>
          <w:tcPr>
            <w:tcW w:w="521" w:type="dxa"/>
            <w:tcBorders>
              <w:top w:val="single" w:color="auto" w:sz="4" w:space="0"/>
            </w:tcBorders>
            <w:textDirection w:val="tbRlV"/>
            <w:vAlign w:val="center"/>
          </w:tcPr>
          <w:p w14:paraId="6D63F74C">
            <w:pPr>
              <w:spacing w:line="360" w:lineRule="auto"/>
              <w:ind w:left="113" w:right="113"/>
              <w:jc w:val="center"/>
              <w:rPr>
                <w:kern w:val="0"/>
                <w:szCs w:val="21"/>
              </w:rPr>
            </w:pPr>
            <w:r>
              <w:rPr>
                <w:rFonts w:hAnsi="宋体"/>
                <w:kern w:val="0"/>
                <w:szCs w:val="21"/>
              </w:rPr>
              <w:t>（万元）</w:t>
            </w:r>
          </w:p>
        </w:tc>
        <w:tc>
          <w:tcPr>
            <w:tcW w:w="694" w:type="dxa"/>
            <w:tcBorders>
              <w:top w:val="single" w:color="auto" w:sz="4" w:space="0"/>
            </w:tcBorders>
            <w:textDirection w:val="tbRlV"/>
            <w:vAlign w:val="center"/>
          </w:tcPr>
          <w:p w14:paraId="3CD24C12">
            <w:pPr>
              <w:spacing w:line="360" w:lineRule="auto"/>
              <w:ind w:left="113" w:right="113"/>
              <w:jc w:val="center"/>
              <w:rPr>
                <w:kern w:val="0"/>
                <w:szCs w:val="21"/>
              </w:rPr>
            </w:pPr>
            <w:r>
              <w:rPr>
                <w:rFonts w:hAnsi="宋体"/>
                <w:kern w:val="0"/>
                <w:szCs w:val="21"/>
              </w:rPr>
              <w:t>（万元）</w:t>
            </w:r>
          </w:p>
        </w:tc>
        <w:tc>
          <w:tcPr>
            <w:tcW w:w="696" w:type="dxa"/>
            <w:tcBorders>
              <w:top w:val="single" w:color="auto" w:sz="4" w:space="0"/>
            </w:tcBorders>
            <w:textDirection w:val="tbRlV"/>
            <w:vAlign w:val="center"/>
          </w:tcPr>
          <w:p w14:paraId="02E67C24">
            <w:pPr>
              <w:spacing w:line="360" w:lineRule="auto"/>
              <w:ind w:left="113" w:right="113"/>
              <w:jc w:val="center"/>
              <w:rPr>
                <w:kern w:val="0"/>
                <w:szCs w:val="21"/>
              </w:rPr>
            </w:pPr>
            <w:r>
              <w:rPr>
                <w:rFonts w:hAnsi="宋体"/>
                <w:kern w:val="0"/>
                <w:szCs w:val="21"/>
              </w:rPr>
              <w:t>（件）</w:t>
            </w:r>
          </w:p>
        </w:tc>
        <w:tc>
          <w:tcPr>
            <w:tcW w:w="695" w:type="dxa"/>
            <w:tcBorders>
              <w:top w:val="single" w:color="auto" w:sz="4" w:space="0"/>
            </w:tcBorders>
            <w:textDirection w:val="tbRlV"/>
            <w:vAlign w:val="center"/>
          </w:tcPr>
          <w:p w14:paraId="5DEAB45D">
            <w:pPr>
              <w:spacing w:line="360" w:lineRule="auto"/>
              <w:ind w:left="113" w:right="113"/>
              <w:jc w:val="center"/>
              <w:rPr>
                <w:kern w:val="0"/>
                <w:szCs w:val="21"/>
              </w:rPr>
            </w:pPr>
            <w:r>
              <w:rPr>
                <w:rFonts w:hAnsi="宋体"/>
                <w:kern w:val="0"/>
                <w:szCs w:val="21"/>
              </w:rPr>
              <w:t>（</w:t>
            </w:r>
            <w:r>
              <w:rPr>
                <w:rFonts w:hint="eastAsia" w:hAnsi="宋体"/>
                <w:kern w:val="0"/>
                <w:szCs w:val="21"/>
              </w:rPr>
              <w:t>件</w:t>
            </w:r>
            <w:r>
              <w:rPr>
                <w:rFonts w:hAnsi="宋体"/>
                <w:kern w:val="0"/>
                <w:szCs w:val="21"/>
              </w:rPr>
              <w:t>）</w:t>
            </w:r>
          </w:p>
        </w:tc>
        <w:tc>
          <w:tcPr>
            <w:tcW w:w="695" w:type="dxa"/>
            <w:tcBorders>
              <w:top w:val="single" w:color="auto" w:sz="4" w:space="0"/>
            </w:tcBorders>
            <w:textDirection w:val="tbRlV"/>
            <w:vAlign w:val="center"/>
          </w:tcPr>
          <w:p w14:paraId="2BD42CF5">
            <w:pPr>
              <w:spacing w:line="360" w:lineRule="auto"/>
              <w:ind w:left="113" w:right="113"/>
              <w:jc w:val="center"/>
              <w:rPr>
                <w:kern w:val="0"/>
                <w:szCs w:val="21"/>
              </w:rPr>
            </w:pPr>
            <w:r>
              <w:rPr>
                <w:rFonts w:hAnsi="宋体"/>
                <w:kern w:val="0"/>
                <w:szCs w:val="21"/>
              </w:rPr>
              <w:t>（</w:t>
            </w:r>
            <w:r>
              <w:rPr>
                <w:rFonts w:hint="eastAsia" w:hAnsi="宋体"/>
                <w:kern w:val="0"/>
                <w:szCs w:val="21"/>
              </w:rPr>
              <w:t>人</w:t>
            </w:r>
            <w:r>
              <w:rPr>
                <w:rFonts w:hAnsi="宋体"/>
                <w:kern w:val="0"/>
                <w:szCs w:val="21"/>
              </w:rPr>
              <w:t>）</w:t>
            </w:r>
          </w:p>
        </w:tc>
        <w:tc>
          <w:tcPr>
            <w:tcW w:w="695" w:type="dxa"/>
            <w:tcBorders>
              <w:top w:val="single" w:color="auto" w:sz="4" w:space="0"/>
            </w:tcBorders>
            <w:textDirection w:val="tbRlV"/>
            <w:vAlign w:val="center"/>
          </w:tcPr>
          <w:p w14:paraId="47EC473D">
            <w:pPr>
              <w:pStyle w:val="9"/>
              <w:spacing w:before="100" w:beforeAutospacing="1" w:after="100" w:afterAutospacing="1"/>
              <w:ind w:left="113" w:right="113"/>
              <w:jc w:val="center"/>
              <w:rPr>
                <w:kern w:val="0"/>
                <w:szCs w:val="21"/>
              </w:rPr>
            </w:pPr>
            <w:r>
              <w:rPr>
                <w:rFonts w:hAnsi="宋体"/>
                <w:kern w:val="0"/>
                <w:szCs w:val="21"/>
              </w:rPr>
              <w:t>（个）</w:t>
            </w:r>
          </w:p>
        </w:tc>
        <w:tc>
          <w:tcPr>
            <w:tcW w:w="869" w:type="dxa"/>
            <w:tcBorders>
              <w:top w:val="single" w:color="auto" w:sz="4" w:space="0"/>
            </w:tcBorders>
            <w:textDirection w:val="tbRlV"/>
            <w:vAlign w:val="center"/>
          </w:tcPr>
          <w:p w14:paraId="0E90496F">
            <w:pPr>
              <w:spacing w:line="360" w:lineRule="auto"/>
              <w:ind w:left="113" w:right="113"/>
              <w:jc w:val="center"/>
              <w:rPr>
                <w:kern w:val="0"/>
                <w:szCs w:val="21"/>
              </w:rPr>
            </w:pPr>
            <w:r>
              <w:rPr>
                <w:rFonts w:hAnsi="宋体"/>
                <w:kern w:val="0"/>
                <w:szCs w:val="21"/>
              </w:rPr>
              <w:t>（头</w:t>
            </w:r>
            <w:r>
              <w:rPr>
                <w:kern w:val="0"/>
                <w:szCs w:val="21"/>
              </w:rPr>
              <w:t>/</w:t>
            </w:r>
            <w:r>
              <w:rPr>
                <w:rFonts w:hAnsi="宋体"/>
                <w:kern w:val="0"/>
                <w:szCs w:val="21"/>
              </w:rPr>
              <w:t>吨）</w:t>
            </w:r>
          </w:p>
        </w:tc>
        <w:tc>
          <w:tcPr>
            <w:tcW w:w="868" w:type="dxa"/>
            <w:tcBorders>
              <w:top w:val="single" w:color="auto" w:sz="4" w:space="0"/>
            </w:tcBorders>
            <w:textDirection w:val="tbRlV"/>
            <w:vAlign w:val="center"/>
          </w:tcPr>
          <w:p w14:paraId="14768195">
            <w:pPr>
              <w:spacing w:line="360" w:lineRule="auto"/>
              <w:ind w:left="113" w:right="113"/>
              <w:jc w:val="center"/>
              <w:rPr>
                <w:kern w:val="0"/>
                <w:szCs w:val="21"/>
              </w:rPr>
            </w:pPr>
            <w:r>
              <w:rPr>
                <w:rFonts w:hAnsi="宋体"/>
                <w:kern w:val="0"/>
                <w:szCs w:val="21"/>
              </w:rPr>
              <w:t>（万份）</w:t>
            </w:r>
          </w:p>
        </w:tc>
        <w:tc>
          <w:tcPr>
            <w:tcW w:w="695" w:type="dxa"/>
            <w:tcBorders>
              <w:top w:val="single" w:color="auto" w:sz="4" w:space="0"/>
            </w:tcBorders>
            <w:textDirection w:val="tbRlV"/>
            <w:vAlign w:val="center"/>
          </w:tcPr>
          <w:p w14:paraId="63763C10">
            <w:pPr>
              <w:spacing w:line="360" w:lineRule="auto"/>
              <w:ind w:left="113" w:right="113"/>
              <w:jc w:val="center"/>
              <w:rPr>
                <w:rFonts w:hAnsi="宋体"/>
                <w:kern w:val="0"/>
                <w:szCs w:val="21"/>
              </w:rPr>
            </w:pPr>
            <w:r>
              <w:rPr>
                <w:rFonts w:hAnsi="宋体"/>
                <w:kern w:val="0"/>
                <w:szCs w:val="21"/>
              </w:rPr>
              <w:t>（个）</w:t>
            </w:r>
          </w:p>
        </w:tc>
        <w:tc>
          <w:tcPr>
            <w:tcW w:w="695" w:type="dxa"/>
            <w:tcBorders>
              <w:top w:val="single" w:color="auto" w:sz="4" w:space="0"/>
            </w:tcBorders>
            <w:textDirection w:val="tbRlV"/>
            <w:vAlign w:val="center"/>
          </w:tcPr>
          <w:p w14:paraId="13549168">
            <w:pPr>
              <w:spacing w:line="360" w:lineRule="auto"/>
              <w:ind w:left="113" w:right="113"/>
              <w:jc w:val="center"/>
              <w:rPr>
                <w:kern w:val="0"/>
                <w:szCs w:val="21"/>
              </w:rPr>
            </w:pPr>
          </w:p>
        </w:tc>
      </w:tr>
      <w:tr w14:paraId="3E90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450" w:type="dxa"/>
            <w:vAlign w:val="center"/>
          </w:tcPr>
          <w:p w14:paraId="51B7D4D2">
            <w:pPr>
              <w:spacing w:line="360" w:lineRule="auto"/>
              <w:jc w:val="center"/>
              <w:rPr>
                <w:kern w:val="0"/>
                <w:sz w:val="32"/>
                <w:szCs w:val="32"/>
              </w:rPr>
            </w:pPr>
          </w:p>
        </w:tc>
        <w:tc>
          <w:tcPr>
            <w:tcW w:w="694" w:type="dxa"/>
            <w:vAlign w:val="center"/>
          </w:tcPr>
          <w:p w14:paraId="5F554C9B">
            <w:pPr>
              <w:spacing w:line="360" w:lineRule="auto"/>
              <w:jc w:val="center"/>
              <w:rPr>
                <w:kern w:val="0"/>
                <w:sz w:val="32"/>
                <w:szCs w:val="32"/>
              </w:rPr>
            </w:pPr>
          </w:p>
        </w:tc>
        <w:tc>
          <w:tcPr>
            <w:tcW w:w="694" w:type="dxa"/>
            <w:vAlign w:val="center"/>
          </w:tcPr>
          <w:p w14:paraId="128BE72C">
            <w:pPr>
              <w:spacing w:line="360" w:lineRule="auto"/>
              <w:jc w:val="center"/>
              <w:rPr>
                <w:kern w:val="0"/>
                <w:sz w:val="32"/>
                <w:szCs w:val="32"/>
              </w:rPr>
            </w:pPr>
          </w:p>
        </w:tc>
        <w:tc>
          <w:tcPr>
            <w:tcW w:w="695" w:type="dxa"/>
            <w:vAlign w:val="center"/>
          </w:tcPr>
          <w:p w14:paraId="41793747">
            <w:pPr>
              <w:spacing w:line="360" w:lineRule="auto"/>
              <w:jc w:val="center"/>
              <w:rPr>
                <w:sz w:val="32"/>
                <w:szCs w:val="32"/>
              </w:rPr>
            </w:pPr>
          </w:p>
        </w:tc>
        <w:tc>
          <w:tcPr>
            <w:tcW w:w="520" w:type="dxa"/>
            <w:vAlign w:val="center"/>
          </w:tcPr>
          <w:p w14:paraId="582C5548">
            <w:pPr>
              <w:spacing w:line="360" w:lineRule="auto"/>
              <w:jc w:val="center"/>
              <w:rPr>
                <w:kern w:val="0"/>
                <w:sz w:val="32"/>
                <w:szCs w:val="32"/>
              </w:rPr>
            </w:pPr>
          </w:p>
        </w:tc>
        <w:tc>
          <w:tcPr>
            <w:tcW w:w="522" w:type="dxa"/>
            <w:vAlign w:val="center"/>
          </w:tcPr>
          <w:p w14:paraId="3142181E">
            <w:pPr>
              <w:spacing w:line="360" w:lineRule="auto"/>
              <w:jc w:val="center"/>
              <w:rPr>
                <w:kern w:val="0"/>
                <w:sz w:val="32"/>
                <w:szCs w:val="32"/>
              </w:rPr>
            </w:pPr>
          </w:p>
        </w:tc>
        <w:tc>
          <w:tcPr>
            <w:tcW w:w="694" w:type="dxa"/>
            <w:vAlign w:val="center"/>
          </w:tcPr>
          <w:p w14:paraId="1733CE85">
            <w:pPr>
              <w:spacing w:line="360" w:lineRule="auto"/>
              <w:jc w:val="center"/>
              <w:rPr>
                <w:sz w:val="32"/>
                <w:szCs w:val="32"/>
              </w:rPr>
            </w:pPr>
          </w:p>
        </w:tc>
        <w:tc>
          <w:tcPr>
            <w:tcW w:w="641" w:type="dxa"/>
            <w:vAlign w:val="center"/>
          </w:tcPr>
          <w:p w14:paraId="51F5D571">
            <w:pPr>
              <w:spacing w:line="360" w:lineRule="auto"/>
              <w:jc w:val="center"/>
              <w:rPr>
                <w:sz w:val="32"/>
                <w:szCs w:val="32"/>
              </w:rPr>
            </w:pPr>
          </w:p>
        </w:tc>
        <w:tc>
          <w:tcPr>
            <w:tcW w:w="751" w:type="dxa"/>
            <w:vAlign w:val="center"/>
          </w:tcPr>
          <w:p w14:paraId="2B9522AD">
            <w:pPr>
              <w:spacing w:line="360" w:lineRule="auto"/>
              <w:jc w:val="center"/>
              <w:rPr>
                <w:sz w:val="32"/>
                <w:szCs w:val="32"/>
              </w:rPr>
            </w:pPr>
          </w:p>
        </w:tc>
        <w:tc>
          <w:tcPr>
            <w:tcW w:w="695" w:type="dxa"/>
            <w:vAlign w:val="center"/>
          </w:tcPr>
          <w:p w14:paraId="0D02909F">
            <w:pPr>
              <w:spacing w:line="360" w:lineRule="auto"/>
              <w:jc w:val="center"/>
              <w:rPr>
                <w:sz w:val="32"/>
                <w:szCs w:val="32"/>
              </w:rPr>
            </w:pPr>
          </w:p>
        </w:tc>
        <w:tc>
          <w:tcPr>
            <w:tcW w:w="695" w:type="dxa"/>
            <w:vAlign w:val="center"/>
          </w:tcPr>
          <w:p w14:paraId="0F710B9B">
            <w:pPr>
              <w:spacing w:line="360" w:lineRule="auto"/>
              <w:jc w:val="center"/>
              <w:rPr>
                <w:sz w:val="32"/>
                <w:szCs w:val="32"/>
              </w:rPr>
            </w:pPr>
          </w:p>
        </w:tc>
        <w:tc>
          <w:tcPr>
            <w:tcW w:w="521" w:type="dxa"/>
            <w:vAlign w:val="center"/>
          </w:tcPr>
          <w:p w14:paraId="1C3BA8D6">
            <w:pPr>
              <w:spacing w:line="360" w:lineRule="auto"/>
              <w:jc w:val="center"/>
              <w:rPr>
                <w:sz w:val="32"/>
                <w:szCs w:val="32"/>
              </w:rPr>
            </w:pPr>
          </w:p>
        </w:tc>
        <w:tc>
          <w:tcPr>
            <w:tcW w:w="694" w:type="dxa"/>
            <w:vAlign w:val="center"/>
          </w:tcPr>
          <w:p w14:paraId="66DEAD78">
            <w:pPr>
              <w:spacing w:line="360" w:lineRule="auto"/>
              <w:jc w:val="center"/>
              <w:rPr>
                <w:sz w:val="32"/>
                <w:szCs w:val="32"/>
              </w:rPr>
            </w:pPr>
          </w:p>
        </w:tc>
        <w:tc>
          <w:tcPr>
            <w:tcW w:w="696" w:type="dxa"/>
            <w:vAlign w:val="center"/>
          </w:tcPr>
          <w:p w14:paraId="14E0BA19">
            <w:pPr>
              <w:spacing w:line="360" w:lineRule="auto"/>
              <w:jc w:val="center"/>
              <w:rPr>
                <w:sz w:val="32"/>
                <w:szCs w:val="32"/>
              </w:rPr>
            </w:pPr>
          </w:p>
        </w:tc>
        <w:tc>
          <w:tcPr>
            <w:tcW w:w="695" w:type="dxa"/>
            <w:vAlign w:val="center"/>
          </w:tcPr>
          <w:p w14:paraId="0C7061B6">
            <w:pPr>
              <w:spacing w:line="360" w:lineRule="auto"/>
              <w:jc w:val="center"/>
              <w:rPr>
                <w:sz w:val="32"/>
                <w:szCs w:val="32"/>
              </w:rPr>
            </w:pPr>
          </w:p>
        </w:tc>
        <w:tc>
          <w:tcPr>
            <w:tcW w:w="695" w:type="dxa"/>
            <w:vAlign w:val="center"/>
          </w:tcPr>
          <w:p w14:paraId="05C9A66E">
            <w:pPr>
              <w:spacing w:line="360" w:lineRule="auto"/>
              <w:jc w:val="center"/>
              <w:rPr>
                <w:sz w:val="32"/>
                <w:szCs w:val="32"/>
              </w:rPr>
            </w:pPr>
          </w:p>
        </w:tc>
        <w:tc>
          <w:tcPr>
            <w:tcW w:w="695" w:type="dxa"/>
            <w:vAlign w:val="center"/>
          </w:tcPr>
          <w:p w14:paraId="2755DE11">
            <w:pPr>
              <w:spacing w:line="360" w:lineRule="auto"/>
              <w:jc w:val="center"/>
              <w:rPr>
                <w:sz w:val="32"/>
                <w:szCs w:val="32"/>
              </w:rPr>
            </w:pPr>
          </w:p>
        </w:tc>
        <w:tc>
          <w:tcPr>
            <w:tcW w:w="869" w:type="dxa"/>
            <w:vAlign w:val="center"/>
          </w:tcPr>
          <w:p w14:paraId="364F5A61">
            <w:pPr>
              <w:spacing w:line="360" w:lineRule="auto"/>
              <w:jc w:val="center"/>
              <w:rPr>
                <w:sz w:val="32"/>
                <w:szCs w:val="32"/>
              </w:rPr>
            </w:pPr>
          </w:p>
        </w:tc>
        <w:tc>
          <w:tcPr>
            <w:tcW w:w="868" w:type="dxa"/>
            <w:vAlign w:val="center"/>
          </w:tcPr>
          <w:p w14:paraId="7067F6B5">
            <w:pPr>
              <w:spacing w:line="360" w:lineRule="auto"/>
              <w:jc w:val="center"/>
              <w:rPr>
                <w:sz w:val="32"/>
                <w:szCs w:val="32"/>
              </w:rPr>
            </w:pPr>
          </w:p>
        </w:tc>
        <w:tc>
          <w:tcPr>
            <w:tcW w:w="695" w:type="dxa"/>
            <w:vAlign w:val="center"/>
          </w:tcPr>
          <w:p w14:paraId="23B56850">
            <w:pPr>
              <w:spacing w:line="360" w:lineRule="auto"/>
              <w:jc w:val="center"/>
              <w:rPr>
                <w:sz w:val="32"/>
                <w:szCs w:val="32"/>
              </w:rPr>
            </w:pPr>
          </w:p>
        </w:tc>
        <w:tc>
          <w:tcPr>
            <w:tcW w:w="695" w:type="dxa"/>
            <w:vAlign w:val="center"/>
          </w:tcPr>
          <w:p w14:paraId="021FD9DE">
            <w:pPr>
              <w:spacing w:line="360" w:lineRule="auto"/>
              <w:jc w:val="center"/>
              <w:rPr>
                <w:sz w:val="32"/>
                <w:szCs w:val="32"/>
              </w:rPr>
            </w:pPr>
          </w:p>
        </w:tc>
      </w:tr>
    </w:tbl>
    <w:p w14:paraId="1681BA01">
      <w:pPr>
        <w:spacing w:line="360" w:lineRule="auto"/>
        <w:jc w:val="center"/>
        <w:rPr>
          <w:rFonts w:hAnsi="华文中宋" w:eastAsia="华文中宋"/>
          <w:b/>
          <w:bCs/>
          <w:sz w:val="32"/>
          <w:szCs w:val="32"/>
        </w:rPr>
      </w:pPr>
      <w:r>
        <w:rPr>
          <w:rFonts w:hint="eastAsia" w:hAnsi="华文中宋" w:eastAsia="华文中宋"/>
          <w:b/>
          <w:bCs/>
          <w:sz w:val="32"/>
          <w:szCs w:val="32"/>
        </w:rPr>
        <w:t>打击私屠滥宰等专项整治行动月统计表</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DC2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E21A7">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BE21A7">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6ED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4926F"/>
    <w:multiLevelType w:val="singleLevel"/>
    <w:tmpl w:val="58E4926F"/>
    <w:lvl w:ilvl="0" w:tentative="0">
      <w:start w:val="2"/>
      <w:numFmt w:val="chineseCounting"/>
      <w:suff w:val="nothing"/>
      <w:lvlText w:val="（%1）"/>
      <w:lvlJc w:val="left"/>
    </w:lvl>
  </w:abstractNum>
  <w:abstractNum w:abstractNumId="1">
    <w:nsid w:val="58E4DAFC"/>
    <w:multiLevelType w:val="singleLevel"/>
    <w:tmpl w:val="58E4DAFC"/>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A51225"/>
    <w:rsid w:val="000069CC"/>
    <w:rsid w:val="002A02DE"/>
    <w:rsid w:val="003603CB"/>
    <w:rsid w:val="003955CE"/>
    <w:rsid w:val="003B67BC"/>
    <w:rsid w:val="00454A36"/>
    <w:rsid w:val="00627D97"/>
    <w:rsid w:val="00647354"/>
    <w:rsid w:val="006E34CD"/>
    <w:rsid w:val="007D5AFE"/>
    <w:rsid w:val="008935D1"/>
    <w:rsid w:val="00A22D99"/>
    <w:rsid w:val="00A7531D"/>
    <w:rsid w:val="00B5282A"/>
    <w:rsid w:val="00C959F9"/>
    <w:rsid w:val="00EA197D"/>
    <w:rsid w:val="019E760A"/>
    <w:rsid w:val="02D022CB"/>
    <w:rsid w:val="03020C60"/>
    <w:rsid w:val="038817AD"/>
    <w:rsid w:val="03D45D68"/>
    <w:rsid w:val="05582ED2"/>
    <w:rsid w:val="05721276"/>
    <w:rsid w:val="06007ACA"/>
    <w:rsid w:val="06CA38A0"/>
    <w:rsid w:val="078F109F"/>
    <w:rsid w:val="0B171C41"/>
    <w:rsid w:val="0CCD79BA"/>
    <w:rsid w:val="0CDA77CC"/>
    <w:rsid w:val="0CF80372"/>
    <w:rsid w:val="0D114405"/>
    <w:rsid w:val="0D2E319C"/>
    <w:rsid w:val="0D53799D"/>
    <w:rsid w:val="0EC4503A"/>
    <w:rsid w:val="0FFE638A"/>
    <w:rsid w:val="10393CC0"/>
    <w:rsid w:val="10C47EFF"/>
    <w:rsid w:val="11594AE7"/>
    <w:rsid w:val="12584A23"/>
    <w:rsid w:val="130C2718"/>
    <w:rsid w:val="13392EE9"/>
    <w:rsid w:val="13823AC4"/>
    <w:rsid w:val="13967747"/>
    <w:rsid w:val="14EF6056"/>
    <w:rsid w:val="152351C6"/>
    <w:rsid w:val="15B2445E"/>
    <w:rsid w:val="15C40BE6"/>
    <w:rsid w:val="15DC4A4B"/>
    <w:rsid w:val="1B920FDB"/>
    <w:rsid w:val="1BA30955"/>
    <w:rsid w:val="1C060FF2"/>
    <w:rsid w:val="1C38698D"/>
    <w:rsid w:val="1CBB575C"/>
    <w:rsid w:val="1DBB661A"/>
    <w:rsid w:val="1DCD2A7C"/>
    <w:rsid w:val="1E301946"/>
    <w:rsid w:val="1E534052"/>
    <w:rsid w:val="1E7B5CF9"/>
    <w:rsid w:val="1EA81FA0"/>
    <w:rsid w:val="1FA51225"/>
    <w:rsid w:val="213C6D72"/>
    <w:rsid w:val="21EB758D"/>
    <w:rsid w:val="223167F9"/>
    <w:rsid w:val="23006C18"/>
    <w:rsid w:val="2316761E"/>
    <w:rsid w:val="23642487"/>
    <w:rsid w:val="246631E6"/>
    <w:rsid w:val="255610E3"/>
    <w:rsid w:val="257E1E23"/>
    <w:rsid w:val="25B905B6"/>
    <w:rsid w:val="25E10FE2"/>
    <w:rsid w:val="26CF10B3"/>
    <w:rsid w:val="26E7629E"/>
    <w:rsid w:val="26F30D77"/>
    <w:rsid w:val="27733D36"/>
    <w:rsid w:val="28823266"/>
    <w:rsid w:val="28B66553"/>
    <w:rsid w:val="290E66FF"/>
    <w:rsid w:val="2ACE7BBF"/>
    <w:rsid w:val="2B0849B3"/>
    <w:rsid w:val="2B701BA8"/>
    <w:rsid w:val="2B827C1E"/>
    <w:rsid w:val="2C177E4B"/>
    <w:rsid w:val="2DF63C8E"/>
    <w:rsid w:val="310848E1"/>
    <w:rsid w:val="33284D89"/>
    <w:rsid w:val="355A4403"/>
    <w:rsid w:val="370A383E"/>
    <w:rsid w:val="37595825"/>
    <w:rsid w:val="37C92092"/>
    <w:rsid w:val="39155402"/>
    <w:rsid w:val="3B4870D1"/>
    <w:rsid w:val="3C655B5C"/>
    <w:rsid w:val="3C9A3F0C"/>
    <w:rsid w:val="3D6C4FF1"/>
    <w:rsid w:val="3D8E3070"/>
    <w:rsid w:val="3D954897"/>
    <w:rsid w:val="3DB33EF8"/>
    <w:rsid w:val="3E7A0F1E"/>
    <w:rsid w:val="3E9B44F5"/>
    <w:rsid w:val="3EE96386"/>
    <w:rsid w:val="3F8907AD"/>
    <w:rsid w:val="3F932E82"/>
    <w:rsid w:val="3FB14286"/>
    <w:rsid w:val="42A12F5D"/>
    <w:rsid w:val="42CF2242"/>
    <w:rsid w:val="431C33E6"/>
    <w:rsid w:val="439E6D23"/>
    <w:rsid w:val="45AD2389"/>
    <w:rsid w:val="46A47D39"/>
    <w:rsid w:val="46FC0CE3"/>
    <w:rsid w:val="47192043"/>
    <w:rsid w:val="48355668"/>
    <w:rsid w:val="489541CD"/>
    <w:rsid w:val="48C75E9E"/>
    <w:rsid w:val="48DD2715"/>
    <w:rsid w:val="49562485"/>
    <w:rsid w:val="497E6B69"/>
    <w:rsid w:val="49B90B49"/>
    <w:rsid w:val="49E13C20"/>
    <w:rsid w:val="4A44676D"/>
    <w:rsid w:val="4B9866D3"/>
    <w:rsid w:val="4BAF346A"/>
    <w:rsid w:val="4BE521B1"/>
    <w:rsid w:val="4BFF444B"/>
    <w:rsid w:val="4C274CC8"/>
    <w:rsid w:val="4C7019F5"/>
    <w:rsid w:val="4CCF5403"/>
    <w:rsid w:val="4CE341EB"/>
    <w:rsid w:val="4D637560"/>
    <w:rsid w:val="4D83192A"/>
    <w:rsid w:val="4DBB6F5A"/>
    <w:rsid w:val="4E922D55"/>
    <w:rsid w:val="4F2E60A4"/>
    <w:rsid w:val="50262238"/>
    <w:rsid w:val="507A14E1"/>
    <w:rsid w:val="511933EF"/>
    <w:rsid w:val="514240B8"/>
    <w:rsid w:val="519A1611"/>
    <w:rsid w:val="51E41AE6"/>
    <w:rsid w:val="51FA4469"/>
    <w:rsid w:val="531E7E44"/>
    <w:rsid w:val="535253B9"/>
    <w:rsid w:val="535817C6"/>
    <w:rsid w:val="54944C6F"/>
    <w:rsid w:val="557E08A3"/>
    <w:rsid w:val="558A0BD4"/>
    <w:rsid w:val="569A25B1"/>
    <w:rsid w:val="5766226C"/>
    <w:rsid w:val="590C647F"/>
    <w:rsid w:val="59AE2351"/>
    <w:rsid w:val="5A58287A"/>
    <w:rsid w:val="5AF82094"/>
    <w:rsid w:val="5B5C221C"/>
    <w:rsid w:val="5B5D7810"/>
    <w:rsid w:val="5BBD195F"/>
    <w:rsid w:val="5EB40C57"/>
    <w:rsid w:val="5F2211E7"/>
    <w:rsid w:val="5F323B32"/>
    <w:rsid w:val="616C1905"/>
    <w:rsid w:val="61A21571"/>
    <w:rsid w:val="61BD3CB5"/>
    <w:rsid w:val="62675CA5"/>
    <w:rsid w:val="636A78F9"/>
    <w:rsid w:val="642D103A"/>
    <w:rsid w:val="65083A10"/>
    <w:rsid w:val="651055F9"/>
    <w:rsid w:val="65357CD4"/>
    <w:rsid w:val="65A11298"/>
    <w:rsid w:val="66191D70"/>
    <w:rsid w:val="665E7CB4"/>
    <w:rsid w:val="6834716A"/>
    <w:rsid w:val="6841402C"/>
    <w:rsid w:val="69B0080A"/>
    <w:rsid w:val="6B8E6B1D"/>
    <w:rsid w:val="6BB314DC"/>
    <w:rsid w:val="6C5E3D28"/>
    <w:rsid w:val="6CFB4979"/>
    <w:rsid w:val="6D9B0658"/>
    <w:rsid w:val="6DD84F43"/>
    <w:rsid w:val="6F3C39F5"/>
    <w:rsid w:val="700839F8"/>
    <w:rsid w:val="703A3968"/>
    <w:rsid w:val="71BA2E42"/>
    <w:rsid w:val="71FD7C8C"/>
    <w:rsid w:val="72D16C5B"/>
    <w:rsid w:val="73A14F1C"/>
    <w:rsid w:val="753769D7"/>
    <w:rsid w:val="754B72F2"/>
    <w:rsid w:val="756E6FE8"/>
    <w:rsid w:val="761351C8"/>
    <w:rsid w:val="78697AFD"/>
    <w:rsid w:val="78F81893"/>
    <w:rsid w:val="7913522D"/>
    <w:rsid w:val="79ED7DC5"/>
    <w:rsid w:val="7A6921EF"/>
    <w:rsid w:val="7AD63BE4"/>
    <w:rsid w:val="7C5320B2"/>
    <w:rsid w:val="7CEC5F56"/>
    <w:rsid w:val="7D9C57B0"/>
    <w:rsid w:val="7DC54840"/>
    <w:rsid w:val="7DCD6FC9"/>
    <w:rsid w:val="7E585208"/>
    <w:rsid w:val="7E934235"/>
    <w:rsid w:val="7ECE35EF"/>
    <w:rsid w:val="7F5B6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paragraph" w:customStyle="1" w:styleId="9">
    <w:name w:val="正文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455</Words>
  <Characters>458</Characters>
  <Lines>19</Lines>
  <Paragraphs>5</Paragraphs>
  <TotalTime>0</TotalTime>
  <ScaleCrop>false</ScaleCrop>
  <LinksUpToDate>false</LinksUpToDate>
  <CharactersWithSpaces>458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2017-04-25T01:36:00Z</dcterms:created>
  <dc:creator>712</dc:creator>
  <cp:lastModifiedBy>何以笙萧默</cp:lastModifiedBy>
  <cp:lastPrinted>2017-04-25T04:30:00Z</cp:lastPrinted>
  <dcterms:modified xsi:type="dcterms:W3CDTF">2024-11-30T09:26:35Z</dcterms:modified>
  <dc:title>省农委 省公安厅 2017年打击私屠滥宰等屠宰违法行为专项整治行动的实施方案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46323887E26B4C328CC0D98E591BA84F_13</vt:lpwstr>
  </property>
</Properties>
</file>