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附表2:</w:t>
      </w:r>
    </w:p>
    <w:p>
      <w:pPr>
        <w:autoSpaceDN w:val="0"/>
        <w:spacing w:line="60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2017年度贵州省农技推广补助项目绩效考核市（州）考评汇总表</w:t>
      </w:r>
    </w:p>
    <w:p>
      <w:pPr>
        <w:autoSpaceDN w:val="0"/>
        <w:spacing w:line="60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市、（</w:t>
      </w:r>
      <w:r>
        <w:rPr>
          <w:rFonts w:hint="eastAsia" w:ascii="仿宋" w:hAnsi="仿宋" w:eastAsia="仿宋"/>
          <w:sz w:val="28"/>
          <w:szCs w:val="28"/>
        </w:rPr>
        <w:t>州）   填报人：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填报时间：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3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60"/>
        <w:gridCol w:w="2160"/>
        <w:gridCol w:w="1980"/>
        <w:gridCol w:w="11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908" w:type="dxa"/>
            <w:tcBorders>
              <w:bottom w:val="single" w:color="auto" w:sz="8" w:space="0"/>
            </w:tcBorders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被考核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县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60" w:type="dxa"/>
            <w:tcBorders>
              <w:bottom w:val="single" w:color="auto" w:sz="8" w:space="0"/>
            </w:tcBorders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县自评分</w:t>
            </w:r>
          </w:p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（占40%）</w:t>
            </w:r>
          </w:p>
        </w:tc>
        <w:tc>
          <w:tcPr>
            <w:tcW w:w="2160" w:type="dxa"/>
            <w:tcBorders>
              <w:bottom w:val="single" w:color="auto" w:sz="8" w:space="0"/>
            </w:tcBorders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市、州评分</w:t>
            </w:r>
          </w:p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（占60%）</w:t>
            </w:r>
          </w:p>
        </w:tc>
        <w:tc>
          <w:tcPr>
            <w:tcW w:w="1980" w:type="dxa"/>
            <w:tcBorders>
              <w:bottom w:val="single" w:color="auto" w:sz="8" w:space="0"/>
            </w:tcBorders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1109" w:type="dxa"/>
            <w:tcBorders>
              <w:bottom w:val="single" w:color="auto" w:sz="8" w:space="0"/>
            </w:tcBorders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908" w:type="dxa"/>
            <w:tcBorders>
              <w:top w:val="single" w:color="auto" w:sz="8" w:space="0"/>
            </w:tcBorders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</w:tcBorders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pStyle w:val="7"/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┄┄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thicE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GothicI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GothicG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reekC">
    <w:panose1 w:val="00000400000000000000"/>
    <w:charset w:val="00"/>
    <w:family w:val="auto"/>
    <w:pitch w:val="default"/>
    <w:sig w:usb0="00000081" w:usb1="00000000" w:usb2="00000000" w:usb3="00000000" w:csb0="000001FF" w:csb1="00000000"/>
  </w:font>
  <w:font w:name="GreekS">
    <w:panose1 w:val="00000400000000000000"/>
    <w:charset w:val="00"/>
    <w:family w:val="auto"/>
    <w:pitch w:val="default"/>
    <w:sig w:usb0="00000081" w:usb1="00000000" w:usb2="00000000" w:usb3="00000000" w:csb0="000001FF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SOCP2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ISOCP3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ISOCPEUR">
    <w:panose1 w:val="020B0604020202020204"/>
    <w:charset w:val="00"/>
    <w:family w:val="auto"/>
    <w:pitch w:val="default"/>
    <w:sig w:usb0="00000287" w:usb1="00000000" w:usb2="00000000" w:usb3="00000000" w:csb0="4000009F" w:csb1="DFD70000"/>
  </w:font>
  <w:font w:name="ISOCT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ISOCT2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1BC1"/>
    <w:rsid w:val="02192071"/>
    <w:rsid w:val="04E3761A"/>
    <w:rsid w:val="0A8A1BC1"/>
    <w:rsid w:val="0FBD57F9"/>
    <w:rsid w:val="3B2B7F18"/>
    <w:rsid w:val="67115D78"/>
    <w:rsid w:val="7AF81041"/>
    <w:rsid w:val="7B897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372" w:lineRule="auto"/>
      <w:ind w:left="11" w:hanging="11"/>
      <w:outlineLvl w:val="3"/>
    </w:pPr>
    <w:rPr>
      <w:rFonts w:ascii="Arial" w:hAnsi="Arial" w:eastAsia="黑体" w:cs="Microsoft YaHei UI"/>
      <w:b/>
      <w:color w:val="000000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qFormat/>
    <w:uiPriority w:val="0"/>
    <w:rPr>
      <w:rFonts w:ascii="Arial" w:hAnsi="Arial" w:eastAsia="黑体"/>
      <w:sz w:val="32"/>
    </w:rPr>
  </w:style>
  <w:style w:type="paragraph" w:customStyle="1" w:styleId="7">
    <w:name w:val="正文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2018-01-10T08:40:00Z</dcterms:created>
  <dc:creator>sssss</dc:creator>
  <cp:lastModifiedBy>sssss</cp:lastModifiedBy>
  <dcterms:modified xsi:type="dcterms:W3CDTF">2018-01-10T08:40:46Z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