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ind w:left="425" w:hanging="425"/>
        <w:jc w:val="center"/>
        <w:rPr>
          <w:rFonts w:ascii="Arial" w:cs="Arial" w:eastAsia="宋体" w:hAnsi="Arial"/>
          <w:bCs/>
          <w:sz w:val="40"/>
          <w:szCs w:val="44"/>
        </w:rPr>
      </w:pPr>
    </w:p>
    <w:p>
      <w:pPr>
        <w:pStyle w:val="style0"/>
        <w:spacing w:lineRule="auto" w:line="480"/>
        <w:ind w:left="425" w:hanging="425"/>
        <w:jc w:val="center"/>
        <w:rPr>
          <w:rFonts w:ascii="Arial" w:cs="Arial" w:eastAsia="宋体" w:hAnsi="Arial"/>
          <w:bCs/>
          <w:sz w:val="40"/>
          <w:szCs w:val="44"/>
        </w:rPr>
      </w:pPr>
    </w:p>
    <w:p>
      <w:pPr>
        <w:pStyle w:val="style0"/>
        <w:spacing w:lineRule="auto" w:line="480"/>
        <w:ind w:left="425" w:hanging="425"/>
        <w:jc w:val="center"/>
        <w:rPr>
          <w:rFonts w:ascii="Arial" w:cs="Arial" w:eastAsia="宋体" w:hAnsi="Arial"/>
          <w:bCs/>
          <w:sz w:val="40"/>
          <w:szCs w:val="44"/>
        </w:rPr>
      </w:pPr>
    </w:p>
    <w:p>
      <w:pPr>
        <w:pStyle w:val="style0"/>
        <w:spacing w:lineRule="auto" w:line="480"/>
        <w:ind w:left="425" w:hanging="425"/>
        <w:jc w:val="center"/>
        <w:rPr>
          <w:rFonts w:ascii="Arial" w:cs="Arial" w:eastAsia="宋体" w:hAnsi="Arial"/>
          <w:bCs/>
          <w:sz w:val="40"/>
          <w:szCs w:val="44"/>
          <w:lang w:val="en-GB"/>
        </w:rPr>
      </w:pPr>
    </w:p>
    <w:p>
      <w:pPr>
        <w:pStyle w:val="style0"/>
        <w:spacing w:lineRule="auto" w:line="720"/>
        <w:ind w:left="425" w:hanging="425"/>
        <w:jc w:val="center"/>
        <w:rPr>
          <w:rFonts w:ascii="Arial" w:cs="Arial" w:eastAsia="宋体" w:hAnsi="Arial"/>
          <w:bCs/>
          <w:sz w:val="36"/>
          <w:szCs w:val="40"/>
        </w:rPr>
      </w:pPr>
      <w:r>
        <w:rPr>
          <w:rFonts w:ascii="Arial" w:cs="Arial" w:eastAsia="宋体" w:hAnsi="Arial"/>
          <w:bCs/>
          <w:sz w:val="36"/>
          <w:szCs w:val="40"/>
        </w:rPr>
        <w:t>世界银行结果导向型绿色农业与乡村振兴项目</w:t>
      </w:r>
    </w:p>
    <w:p>
      <w:pPr>
        <w:pStyle w:val="style0"/>
        <w:spacing w:lineRule="auto" w:line="720"/>
        <w:ind w:left="425" w:hanging="425"/>
        <w:jc w:val="center"/>
        <w:rPr>
          <w:rFonts w:ascii="Arial" w:cs="Arial" w:eastAsia="宋体" w:hAnsi="Arial"/>
          <w:b/>
          <w:color w:val="1f4e79"/>
          <w:sz w:val="48"/>
          <w:szCs w:val="52"/>
        </w:rPr>
      </w:pPr>
      <w:r>
        <w:rPr>
          <w:rFonts w:ascii="Arial" w:cs="Arial" w:eastAsia="宋体" w:hAnsi="Arial"/>
          <w:b/>
          <w:color w:val="1f4e79"/>
          <w:sz w:val="48"/>
          <w:szCs w:val="52"/>
        </w:rPr>
        <w:t>环境与社会系统评价</w:t>
      </w: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r>
        <w:rPr>
          <w:rFonts w:ascii="Arial" w:cs="Arial" w:eastAsia="宋体" w:hAnsi="Arial"/>
          <w:bCs/>
          <w:sz w:val="24"/>
          <w:szCs w:val="28"/>
        </w:rPr>
        <w:t>世界银行</w:t>
      </w:r>
    </w:p>
    <w:p>
      <w:pPr>
        <w:pStyle w:val="style0"/>
        <w:ind w:left="425" w:hanging="425"/>
        <w:jc w:val="center"/>
        <w:rPr>
          <w:rFonts w:ascii="Arial" w:cs="Arial" w:eastAsia="宋体" w:hAnsi="Arial"/>
          <w:bCs/>
          <w:sz w:val="24"/>
          <w:szCs w:val="28"/>
        </w:rPr>
      </w:pPr>
      <w:r>
        <w:rPr>
          <w:rFonts w:ascii="Arial" w:cs="Arial" w:eastAsia="宋体" w:hAnsi="Arial"/>
          <w:bCs/>
          <w:sz w:val="24"/>
          <w:szCs w:val="28"/>
        </w:rPr>
        <w:t>2022年3月</w:t>
      </w:r>
    </w:p>
    <w:p>
      <w:pPr>
        <w:pStyle w:val="style0"/>
        <w:ind w:left="425" w:hanging="425"/>
        <w:jc w:val="center"/>
        <w:rPr>
          <w:rFonts w:ascii="Arial" w:cs="Arial" w:eastAsia="宋体" w:hAnsi="Arial"/>
          <w:bCs/>
          <w:sz w:val="24"/>
          <w:szCs w:val="28"/>
        </w:rPr>
        <w:sectPr>
          <w:headerReference w:type="even" r:id="rId2"/>
          <w:headerReference w:type="default" r:id="rId3"/>
          <w:footerReference w:type="even" r:id="rId4"/>
          <w:footerReference w:type="default" r:id="rId5"/>
          <w:headerReference w:type="first" r:id="rId6"/>
          <w:footerReference w:type="first" r:id="rId7"/>
          <w:type w:val="continuous"/>
          <w:pgSz w:w="11906" w:h="16838" w:orient="portrait"/>
          <w:pgMar w:top="1134" w:right="1134" w:bottom="1134" w:left="1134" w:header="851" w:footer="992" w:gutter="0"/>
          <w:cols w:space="425" w:num="1"/>
          <w:titlePg/>
          <w:docGrid w:type="lines" w:linePitch="312" w:charSpace="0"/>
        </w:sectPr>
      </w:pPr>
    </w:p>
    <w:p>
      <w:pPr>
        <w:pStyle w:val="style0"/>
        <w:widowControl/>
        <w:jc w:val="center"/>
        <w:rPr>
          <w:rFonts w:ascii="Arial" w:cs="Arial" w:eastAsia="宋体" w:hAnsi="Arial"/>
          <w:bCs/>
          <w:sz w:val="24"/>
          <w:szCs w:val="28"/>
        </w:rPr>
      </w:pPr>
    </w:p>
    <w:p>
      <w:pPr>
        <w:pStyle w:val="style0"/>
        <w:widowControl/>
        <w:jc w:val="center"/>
        <w:rPr>
          <w:rFonts w:ascii="Arial" w:cs="Arial" w:eastAsia="宋体" w:hAnsi="Arial"/>
          <w:b/>
          <w:bCs/>
          <w:color w:val="1f4e79"/>
          <w:sz w:val="28"/>
          <w:szCs w:val="32"/>
        </w:rPr>
      </w:pPr>
      <w:r>
        <w:rPr>
          <w:rFonts w:ascii="Arial" w:cs="Arial" w:eastAsia="宋体" w:hAnsi="Arial"/>
          <w:b/>
          <w:bCs/>
          <w:color w:val="1f4e79"/>
          <w:sz w:val="28"/>
          <w:szCs w:val="32"/>
        </w:rPr>
        <w:t>目  录</w:t>
      </w:r>
    </w:p>
    <w:p>
      <w:pPr>
        <w:pStyle w:val="style0"/>
        <w:widowControl/>
        <w:jc w:val="center"/>
        <w:rPr>
          <w:rFonts w:ascii="Arial" w:cs="Arial" w:eastAsia="宋体" w:hAnsi="Arial"/>
          <w:b/>
          <w:bCs/>
          <w:sz w:val="28"/>
          <w:szCs w:val="32"/>
        </w:rPr>
      </w:pPr>
    </w:p>
    <w:p>
      <w:pPr>
        <w:pStyle w:val="style19"/>
        <w:rPr>
          <w:rFonts w:ascii="等线" w:cs="宋体" w:eastAsia="等线" w:hAnsi="等线"/>
          <w:b w:val="false"/>
          <w:bCs w:val="false"/>
          <w:color w:val="auto"/>
          <w:sz w:val="21"/>
          <w:szCs w:val="24"/>
        </w:rPr>
      </w:pPr>
      <w:r>
        <w:rPr>
          <w:rFonts w:cs="Arial"/>
          <w:b w:val="false"/>
          <w:bCs w:val="false"/>
          <w:sz w:val="28"/>
          <w:szCs w:val="32"/>
        </w:rPr>
        <w:fldChar w:fldCharType="begin"/>
      </w:r>
      <w:r>
        <w:rPr>
          <w:rFonts w:cs="Arial"/>
          <w:b w:val="false"/>
          <w:bCs w:val="false"/>
          <w:sz w:val="28"/>
          <w:szCs w:val="32"/>
        </w:rPr>
        <w:instrText xml:space="preserve"> TOC \o "1-3" \h \z \u </w:instrText>
      </w:r>
      <w:r>
        <w:rPr>
          <w:rFonts w:cs="Arial"/>
          <w:b w:val="false"/>
          <w:bCs w:val="false"/>
          <w:sz w:val="28"/>
          <w:szCs w:val="32"/>
        </w:rPr>
        <w:fldChar w:fldCharType="separate"/>
      </w:r>
      <w:r>
        <w:rPr/>
        <w:fldChar w:fldCharType="begin"/>
      </w:r>
      <w:r>
        <w:instrText xml:space="preserve"> HYPERLINK \l "_Toc93944792" </w:instrText>
      </w:r>
      <w:r>
        <w:rPr/>
        <w:fldChar w:fldCharType="separate"/>
      </w:r>
      <w:r>
        <w:rPr>
          <w:rStyle w:val="style85"/>
          <w:rFonts w:cs="Arial"/>
        </w:rPr>
        <w:t>1.</w:t>
      </w:r>
      <w:r>
        <w:rPr>
          <w:rFonts w:ascii="等线" w:cs="宋体" w:eastAsia="等线" w:hAnsi="等线"/>
          <w:b w:val="false"/>
          <w:bCs w:val="false"/>
          <w:color w:val="auto"/>
          <w:sz w:val="21"/>
          <w:szCs w:val="24"/>
        </w:rPr>
        <w:tab/>
      </w:r>
      <w:r>
        <w:rPr>
          <w:rStyle w:val="style85"/>
          <w:rFonts w:cs="Arial"/>
        </w:rPr>
        <w:t>概述</w:t>
      </w:r>
      <w:r>
        <w:tab/>
      </w:r>
      <w:r>
        <w:rPr/>
        <w:fldChar w:fldCharType="begin"/>
      </w:r>
      <w:r>
        <w:instrText xml:space="preserve"> PAGEREF _Toc93944792 \h </w:instrText>
      </w:r>
      <w:r>
        <w:rPr/>
        <w:fldChar w:fldCharType="separate"/>
      </w:r>
      <w:r>
        <w:t>1</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"_Toc93944793" </w:instrText>
      </w:r>
      <w:r>
        <w:rPr/>
        <w:fldChar w:fldCharType="separate"/>
      </w:r>
      <w:r>
        <w:rPr>
          <w:rStyle w:val="style85"/>
        </w:rPr>
        <w:t>1.1</w:t>
      </w:r>
      <w:r>
        <w:rPr>
          <w:rFonts w:ascii="等线" w:cs="宋体" w:eastAsia="等线" w:hAnsi="等线"/>
          <w:smallCaps w:val="false"/>
          <w:color w:val="auto"/>
          <w:sz w:val="21"/>
          <w:szCs w:val="24"/>
        </w:rPr>
        <w:tab/>
      </w:r>
      <w:r>
        <w:rPr>
          <w:rStyle w:val="style85"/>
        </w:rPr>
        <w:t>目标和任务</w:t>
      </w:r>
      <w:r>
        <w:tab/>
      </w:r>
      <w:r>
        <w:rPr/>
        <w:fldChar w:fldCharType="begin"/>
      </w:r>
      <w:r>
        <w:instrText xml:space="preserve"> PAGEREF _Toc93944793 \h </w:instrText>
      </w:r>
      <w:r>
        <w:rPr/>
        <w:fldChar w:fldCharType="separate"/>
      </w:r>
      <w:r>
        <w:t>1</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"_Toc93944794" </w:instrText>
      </w:r>
      <w:r>
        <w:rPr/>
        <w:fldChar w:fldCharType="separate"/>
      </w:r>
      <w:r>
        <w:rPr>
          <w:rStyle w:val="style85"/>
        </w:rPr>
        <w:t>1.2</w:t>
      </w:r>
      <w:r>
        <w:rPr>
          <w:rFonts w:ascii="等线" w:cs="宋体" w:eastAsia="等线" w:hAnsi="等线"/>
          <w:smallCaps w:val="false"/>
          <w:color w:val="auto"/>
          <w:sz w:val="21"/>
          <w:szCs w:val="24"/>
        </w:rPr>
        <w:tab/>
      </w:r>
      <w:r>
        <w:rPr>
          <w:rStyle w:val="style85"/>
        </w:rPr>
        <w:t>评价方法</w:t>
      </w:r>
      <w:r>
        <w:tab/>
      </w:r>
      <w:r>
        <w:rPr/>
        <w:fldChar w:fldCharType="begin"/>
      </w:r>
      <w:r>
        <w:instrText xml:space="preserve"> PAGEREF _Toc93944794 \h </w:instrText>
      </w:r>
      <w:r>
        <w:rPr/>
        <w:fldChar w:fldCharType="separate"/>
      </w:r>
      <w:r>
        <w:t>1</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"_Toc93944795" </w:instrText>
      </w:r>
      <w:r>
        <w:rPr/>
        <w:fldChar w:fldCharType="separate"/>
      </w:r>
      <w:r>
        <w:rPr>
          <w:rStyle w:val="style85"/>
        </w:rPr>
        <w:t>1.3</w:t>
      </w:r>
      <w:r>
        <w:rPr>
          <w:rFonts w:ascii="等线" w:cs="宋体" w:eastAsia="等线" w:hAnsi="等线"/>
          <w:smallCaps w:val="false"/>
          <w:color w:val="auto"/>
          <w:sz w:val="21"/>
          <w:szCs w:val="24"/>
        </w:rPr>
        <w:tab/>
      </w:r>
      <w:r>
        <w:rPr>
          <w:rStyle w:val="style85"/>
        </w:rPr>
        <w:t>项目描述</w:t>
      </w:r>
      <w:r>
        <w:tab/>
      </w:r>
      <w:r>
        <w:rPr/>
        <w:fldChar w:fldCharType="begin"/>
      </w:r>
      <w:r>
        <w:instrText xml:space="preserve"> PAGEREF _Toc93944795 \h </w:instrText>
      </w:r>
      <w:r>
        <w:rPr/>
        <w:fldChar w:fldCharType="separate"/>
      </w:r>
      <w:r>
        <w:t>2</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"_Toc93944797" </w:instrText>
      </w:r>
      <w:r>
        <w:rPr/>
        <w:fldChar w:fldCharType="separate"/>
      </w:r>
      <w:r>
        <w:rPr>
          <w:rStyle w:val="style85"/>
          <w:rFonts w:cs="Arial"/>
        </w:rPr>
        <w:t>2.</w:t>
      </w:r>
      <w:r>
        <w:rPr>
          <w:rFonts w:ascii="等线" w:cs="宋体" w:eastAsia="等线" w:hAnsi="等线"/>
          <w:b w:val="false"/>
          <w:bCs w:val="false"/>
          <w:color w:val="auto"/>
          <w:sz w:val="21"/>
          <w:szCs w:val="24"/>
        </w:rPr>
        <w:tab/>
      </w:r>
      <w:r>
        <w:rPr>
          <w:rStyle w:val="style85"/>
          <w:rFonts w:cs="Arial"/>
        </w:rPr>
        <w:t>环境与社会影响分析</w:t>
      </w:r>
      <w:r>
        <w:tab/>
      </w:r>
      <w:r>
        <w:rPr/>
        <w:fldChar w:fldCharType="begin"/>
      </w:r>
      <w:r>
        <w:instrText xml:space="preserve"> PAGEREF _Toc93944797 \h </w:instrText>
      </w:r>
      <w:r>
        <w:rPr/>
        <w:fldChar w:fldCharType="separate"/>
      </w:r>
      <w:r>
        <w:t>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"_Toc93944799" </w:instrText>
      </w:r>
      <w:r>
        <w:rPr/>
        <w:fldChar w:fldCharType="separate"/>
      </w:r>
      <w:r>
        <w:rPr>
          <w:rStyle w:val="style85"/>
        </w:rPr>
        <w:t>2.1</w:t>
      </w:r>
      <w:r>
        <w:rPr>
          <w:rFonts w:ascii="等线" w:cs="宋体" w:eastAsia="等线" w:hAnsi="等线"/>
          <w:smallCaps w:val="false"/>
          <w:color w:val="auto"/>
          <w:sz w:val="21"/>
          <w:szCs w:val="24"/>
        </w:rPr>
        <w:tab/>
      </w:r>
      <w:r>
        <w:rPr>
          <w:rStyle w:val="style85"/>
        </w:rPr>
        <w:t xml:space="preserve"> 环境与社会排除清单</w:t>
      </w:r>
      <w:r>
        <w:tab/>
      </w:r>
      <w:r>
        <w:rPr/>
        <w:fldChar w:fldCharType="begin"/>
      </w:r>
      <w:r>
        <w:instrText xml:space="preserve"> PAGEREF _Toc93944799 \h </w:instrText>
      </w:r>
      <w:r>
        <w:rPr/>
        <w:fldChar w:fldCharType="separate"/>
      </w:r>
      <w:r>
        <w:t>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"_Toc93944800" </w:instrText>
      </w:r>
      <w:r>
        <w:rPr/>
        <w:fldChar w:fldCharType="separate"/>
      </w:r>
      <w:r>
        <w:rPr>
          <w:rStyle w:val="style85"/>
        </w:rPr>
        <w:t>2.2</w:t>
      </w:r>
      <w:r>
        <w:rPr>
          <w:rFonts w:ascii="等线" w:cs="宋体" w:eastAsia="等线" w:hAnsi="等线"/>
          <w:smallCaps w:val="false"/>
          <w:color w:val="auto"/>
          <w:sz w:val="21"/>
          <w:szCs w:val="24"/>
        </w:rPr>
        <w:tab/>
      </w:r>
      <w:r>
        <w:rPr>
          <w:rStyle w:val="style85"/>
        </w:rPr>
        <w:t xml:space="preserve"> 项目活动及相关设施</w:t>
      </w:r>
      <w:r>
        <w:tab/>
      </w:r>
      <w:r>
        <w:rPr/>
        <w:fldChar w:fldCharType="begin"/>
      </w:r>
      <w:r>
        <w:instrText xml:space="preserve"> PAGEREF _Toc93944800 \h </w:instrText>
      </w:r>
      <w:r>
        <w:rPr/>
        <w:fldChar w:fldCharType="separate"/>
      </w:r>
      <w:r>
        <w:t>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"_Toc93944801" </w:instrText>
      </w:r>
      <w:r>
        <w:rPr/>
        <w:fldChar w:fldCharType="separate"/>
      </w:r>
      <w:r>
        <w:rPr>
          <w:rStyle w:val="style85"/>
        </w:rPr>
        <w:t>2.3</w:t>
      </w:r>
      <w:r>
        <w:rPr>
          <w:rFonts w:ascii="等线" w:cs="宋体" w:eastAsia="等线" w:hAnsi="等线"/>
          <w:smallCaps w:val="false"/>
          <w:color w:val="auto"/>
          <w:sz w:val="21"/>
          <w:szCs w:val="24"/>
        </w:rPr>
        <w:tab/>
      </w:r>
      <w:r>
        <w:rPr>
          <w:rStyle w:val="style85"/>
        </w:rPr>
        <w:t xml:space="preserve"> 影响评价和风险评级</w:t>
      </w:r>
      <w:r>
        <w:tab/>
      </w:r>
      <w:r>
        <w:rPr/>
        <w:fldChar w:fldCharType="begin"/>
      </w:r>
      <w:r>
        <w:instrText xml:space="preserve"> PAGEREF _Toc93944801 \h </w:instrText>
      </w:r>
      <w:r>
        <w:rPr/>
        <w:fldChar w:fldCharType="separate"/>
      </w:r>
      <w:r>
        <w:t>5</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"_Toc93944802" </w:instrText>
      </w:r>
      <w:r>
        <w:rPr/>
        <w:fldChar w:fldCharType="separate"/>
      </w:r>
      <w:r>
        <w:rPr>
          <w:rStyle w:val="style85"/>
          <w:rFonts w:cs="Arial"/>
        </w:rPr>
        <w:t>3.</w:t>
      </w:r>
      <w:r>
        <w:rPr>
          <w:rFonts w:ascii="等线" w:cs="宋体" w:eastAsia="等线" w:hAnsi="等线"/>
          <w:b w:val="false"/>
          <w:bCs w:val="false"/>
          <w:color w:val="auto"/>
          <w:sz w:val="21"/>
          <w:szCs w:val="24"/>
        </w:rPr>
        <w:tab/>
      </w:r>
      <w:r>
        <w:rPr>
          <w:rStyle w:val="style85"/>
          <w:rFonts w:cs="Arial"/>
        </w:rPr>
        <w:t>环境管理系统评价</w:t>
      </w:r>
      <w:r>
        <w:tab/>
      </w:r>
      <w:r>
        <w:rPr/>
        <w:fldChar w:fldCharType="begin"/>
      </w:r>
      <w:r>
        <w:instrText xml:space="preserve"> PAGEREF _Toc93944802 \h </w:instrText>
      </w:r>
      <w:r>
        <w:rPr/>
        <w:fldChar w:fldCharType="separate"/>
      </w:r>
      <w:r>
        <w:t>9</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"_Toc93944806" </w:instrText>
      </w:r>
      <w:r>
        <w:rPr/>
        <w:fldChar w:fldCharType="separate"/>
      </w:r>
      <w:r>
        <w:rPr>
          <w:rStyle w:val="style85"/>
        </w:rPr>
        <w:t>3.1</w:t>
      </w:r>
      <w:r>
        <w:rPr>
          <w:rFonts w:ascii="等线" w:cs="宋体" w:eastAsia="等线" w:hAnsi="等线"/>
          <w:smallCaps w:val="false"/>
          <w:color w:val="auto"/>
          <w:sz w:val="21"/>
          <w:szCs w:val="24"/>
        </w:rPr>
        <w:tab/>
      </w:r>
      <w:r>
        <w:rPr>
          <w:rStyle w:val="style85"/>
        </w:rPr>
        <w:t xml:space="preserve"> 总体原则</w:t>
      </w:r>
      <w:r>
        <w:tab/>
      </w:r>
      <w:r>
        <w:rPr/>
        <w:fldChar w:fldCharType="begin"/>
      </w:r>
      <w:r>
        <w:instrText xml:space="preserve"> PAGEREF _Toc93944806 \h </w:instrText>
      </w:r>
      <w:r>
        <w:rPr/>
        <w:fldChar w:fldCharType="separate"/>
      </w:r>
      <w:r>
        <w:t>9</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"_Toc93944807" </w:instrText>
      </w:r>
      <w:r>
        <w:rPr/>
        <w:fldChar w:fldCharType="separate"/>
      </w:r>
      <w:r>
        <w:rPr>
          <w:rStyle w:val="style85"/>
        </w:rPr>
        <w:t>3.2</w:t>
      </w:r>
      <w:r>
        <w:rPr>
          <w:rFonts w:ascii="等线" w:cs="宋体" w:eastAsia="等线" w:hAnsi="等线"/>
          <w:smallCaps w:val="false"/>
          <w:color w:val="auto"/>
          <w:sz w:val="21"/>
          <w:szCs w:val="24"/>
        </w:rPr>
        <w:tab/>
      </w:r>
      <w:r>
        <w:rPr>
          <w:rStyle w:val="style85"/>
        </w:rPr>
        <w:t xml:space="preserve"> 环境管理系统描述</w:t>
      </w:r>
      <w:r>
        <w:tab/>
      </w:r>
      <w:r>
        <w:rPr/>
        <w:fldChar w:fldCharType="begin"/>
      </w:r>
      <w:r>
        <w:instrText xml:space="preserve"> PAGEREF _Toc93944807 \h </w:instrText>
      </w:r>
      <w:r>
        <w:rPr/>
        <w:fldChar w:fldCharType="separate"/>
      </w:r>
      <w:r>
        <w:t>10</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"_Toc93944808" </w:instrText>
      </w:r>
      <w:r>
        <w:rPr/>
        <w:fldChar w:fldCharType="separate"/>
      </w:r>
      <w:r>
        <w:rPr>
          <w:rStyle w:val="style85"/>
          <w:rFonts w:cs="Arial"/>
        </w:rPr>
        <w:t>3.2.1</w:t>
      </w:r>
      <w:r>
        <w:rPr>
          <w:rFonts w:ascii="等线" w:cs="宋体" w:eastAsia="等线" w:hAnsi="等线"/>
          <w:iCs w:val="false"/>
          <w:color w:val="auto"/>
          <w:sz w:val="21"/>
          <w:szCs w:val="24"/>
        </w:rPr>
        <w:tab/>
      </w:r>
      <w:r>
        <w:rPr>
          <w:rStyle w:val="style85"/>
          <w:rFonts w:cs="Arial"/>
        </w:rPr>
        <w:t>环境影响评价系统</w:t>
      </w:r>
      <w:r>
        <w:tab/>
      </w:r>
      <w:r>
        <w:rPr/>
        <w:fldChar w:fldCharType="begin"/>
      </w:r>
      <w:r>
        <w:instrText xml:space="preserve"> PAGEREF _Toc93944808 \h </w:instrText>
      </w:r>
      <w:r>
        <w:rPr/>
        <w:fldChar w:fldCharType="separate"/>
      </w:r>
      <w:r>
        <w:t>10</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"_Toc93944809" </w:instrText>
      </w:r>
      <w:r>
        <w:rPr/>
        <w:fldChar w:fldCharType="separate"/>
      </w:r>
      <w:r>
        <w:rPr>
          <w:rStyle w:val="style85"/>
          <w:rFonts w:cs="Arial"/>
        </w:rPr>
        <w:t>3.2.2</w:t>
      </w:r>
      <w:r>
        <w:rPr>
          <w:rFonts w:ascii="等线" w:cs="宋体" w:eastAsia="等线" w:hAnsi="等线"/>
          <w:iCs w:val="false"/>
          <w:color w:val="auto"/>
          <w:sz w:val="21"/>
          <w:szCs w:val="24"/>
        </w:rPr>
        <w:tab/>
      </w:r>
      <w:r>
        <w:rPr>
          <w:rStyle w:val="style85"/>
          <w:rFonts w:cs="Arial"/>
        </w:rPr>
        <w:t>污染防治系统</w:t>
      </w:r>
      <w:r>
        <w:tab/>
      </w:r>
      <w:r>
        <w:rPr/>
        <w:fldChar w:fldCharType="begin"/>
      </w:r>
      <w:r>
        <w:instrText xml:space="preserve"> PAGEREF _Toc93944809 \h </w:instrText>
      </w:r>
      <w:r>
        <w:rPr/>
        <w:fldChar w:fldCharType="separate"/>
      </w:r>
      <w:r>
        <w:t>14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"_Toc93944810" </w:instrText>
      </w:r>
      <w:r>
        <w:rPr/>
        <w:fldChar w:fldCharType="separate"/>
      </w:r>
      <w:r>
        <w:rPr>
          <w:rStyle w:val="style85"/>
          <w:rFonts w:cs="Arial"/>
        </w:rPr>
        <w:t>3.2.3</w:t>
      </w:r>
      <w:r>
        <w:rPr>
          <w:rFonts w:ascii="等线" w:cs="宋体" w:eastAsia="等线" w:hAnsi="等线"/>
          <w:iCs w:val="false"/>
          <w:color w:val="auto"/>
          <w:sz w:val="21"/>
          <w:szCs w:val="24"/>
        </w:rPr>
        <w:tab/>
      </w:r>
      <w:r>
        <w:rPr>
          <w:rStyle w:val="style85"/>
          <w:rFonts w:cs="Arial"/>
        </w:rPr>
        <w:t>自然生态保护系统</w:t>
      </w:r>
      <w:r>
        <w:tab/>
      </w:r>
      <w:r>
        <w:rPr/>
        <w:fldChar w:fldCharType="begin"/>
      </w:r>
      <w:r>
        <w:instrText xml:space="preserve"> PAGEREF _Toc93944810 \h </w:instrText>
      </w:r>
      <w:r>
        <w:rPr/>
        <w:fldChar w:fldCharType="separate"/>
      </w:r>
      <w:r>
        <w:t>23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"_Toc93944811" </w:instrText>
      </w:r>
      <w:r>
        <w:rPr/>
        <w:fldChar w:fldCharType="separate"/>
      </w:r>
      <w:r>
        <w:rPr>
          <w:rStyle w:val="style85"/>
          <w:rFonts w:cs="Arial"/>
        </w:rPr>
        <w:t>3.2</w:t>
      </w:r>
      <w:r>
        <w:rPr>
          <w:rStyle w:val="style85"/>
          <w:rFonts w:cs="Arial"/>
          <w:lang w:val="en-GB"/>
        </w:rPr>
        <w:t>.4</w:t>
      </w:r>
      <w:r>
        <w:rPr>
          <w:rFonts w:ascii="等线" w:cs="宋体" w:eastAsia="等线" w:hAnsi="等线"/>
          <w:iCs w:val="false"/>
          <w:color w:val="auto"/>
          <w:sz w:val="21"/>
          <w:szCs w:val="24"/>
        </w:rPr>
        <w:tab/>
      </w:r>
      <w:r>
        <w:rPr>
          <w:rStyle w:val="style85"/>
          <w:rFonts w:cs="Arial"/>
        </w:rPr>
        <w:t>健康与安全管理系统</w:t>
      </w:r>
      <w:r>
        <w:tab/>
      </w:r>
      <w:r>
        <w:rPr/>
        <w:fldChar w:fldCharType="begin"/>
      </w:r>
      <w:r>
        <w:instrText xml:space="preserve"> PAGEREF _Toc93944811 \h </w:instrText>
      </w:r>
      <w:r>
        <w:rPr/>
        <w:fldChar w:fldCharType="separate"/>
      </w:r>
      <w:r>
        <w:t>24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"_Toc93944812" </w:instrText>
      </w:r>
      <w:r>
        <w:rPr/>
        <w:fldChar w:fldCharType="separate"/>
      </w:r>
      <w:r>
        <w:rPr>
          <w:rStyle w:val="style85"/>
        </w:rPr>
        <w:t>3.3</w:t>
      </w:r>
      <w:r>
        <w:rPr>
          <w:rFonts w:ascii="等线" w:cs="宋体" w:eastAsia="等线" w:hAnsi="等线"/>
          <w:smallCaps w:val="false"/>
          <w:color w:val="auto"/>
          <w:sz w:val="21"/>
          <w:szCs w:val="24"/>
        </w:rPr>
        <w:tab/>
      </w:r>
      <w:r>
        <w:rPr>
          <w:rStyle w:val="style85"/>
        </w:rPr>
        <w:t xml:space="preserve"> 与世行原则的一致性分析</w:t>
      </w:r>
      <w:r>
        <w:tab/>
      </w:r>
      <w:r>
        <w:rPr/>
        <w:fldChar w:fldCharType="begin"/>
      </w:r>
      <w:r>
        <w:instrText xml:space="preserve"> PAGEREF _Toc93944812 \h </w:instrText>
      </w:r>
      <w:r>
        <w:rPr/>
        <w:fldChar w:fldCharType="separate"/>
      </w:r>
      <w:r>
        <w:t>25</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"_Toc93944813" </w:instrText>
      </w:r>
      <w:r>
        <w:rPr/>
        <w:fldChar w:fldCharType="separate"/>
      </w:r>
      <w:r>
        <w:rPr>
          <w:rStyle w:val="style85"/>
          <w:rFonts w:cs="Arial"/>
        </w:rPr>
        <w:t>4.</w:t>
      </w:r>
      <w:r>
        <w:rPr>
          <w:rFonts w:ascii="等线" w:cs="宋体" w:eastAsia="等线" w:hAnsi="等线"/>
          <w:b w:val="false"/>
          <w:bCs w:val="false"/>
          <w:color w:val="auto"/>
          <w:sz w:val="21"/>
          <w:szCs w:val="24"/>
        </w:rPr>
        <w:tab/>
      </w:r>
      <w:r>
        <w:rPr>
          <w:rStyle w:val="style85"/>
          <w:rFonts w:cs="Arial"/>
        </w:rPr>
        <w:t>社会管理系统评价</w:t>
      </w:r>
      <w:r>
        <w:tab/>
      </w:r>
      <w:r>
        <w:rPr/>
        <w:fldChar w:fldCharType="begin"/>
      </w:r>
      <w:r>
        <w:instrText xml:space="preserve"> PAGEREF _Toc93944813 \h </w:instrText>
      </w:r>
      <w:r>
        <w:rPr/>
        <w:fldChar w:fldCharType="separate"/>
      </w:r>
      <w:r>
        <w:t>28</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"_Toc93944814" </w:instrText>
      </w:r>
      <w:r>
        <w:rPr/>
        <w:fldChar w:fldCharType="separate"/>
      </w:r>
      <w:r>
        <w:rPr>
          <w:rStyle w:val="style85"/>
        </w:rPr>
        <w:t>4.1</w:t>
      </w:r>
      <w:r>
        <w:rPr>
          <w:rFonts w:ascii="等线" w:cs="宋体" w:eastAsia="等线" w:hAnsi="等线"/>
          <w:smallCaps w:val="false"/>
          <w:color w:val="auto"/>
          <w:sz w:val="21"/>
          <w:szCs w:val="24"/>
        </w:rPr>
        <w:tab/>
      </w:r>
      <w:r>
        <w:rPr>
          <w:rStyle w:val="style85"/>
        </w:rPr>
        <w:t xml:space="preserve"> 世行原则相关性分析</w:t>
      </w:r>
      <w:r>
        <w:tab/>
      </w:r>
      <w:r>
        <w:rPr/>
        <w:fldChar w:fldCharType="begin"/>
      </w:r>
      <w:r>
        <w:instrText xml:space="preserve"> PAGEREF _Toc93944814 \h </w:instrText>
      </w:r>
      <w:r>
        <w:rPr/>
        <w:fldChar w:fldCharType="separate"/>
      </w:r>
      <w:r>
        <w:t>28</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"_Toc93944815" </w:instrText>
      </w:r>
      <w:r>
        <w:rPr/>
        <w:fldChar w:fldCharType="separate"/>
      </w:r>
      <w:r>
        <w:rPr>
          <w:rStyle w:val="style85"/>
        </w:rPr>
        <w:t>4.2</w:t>
      </w:r>
      <w:r>
        <w:rPr>
          <w:rFonts w:ascii="等线" w:cs="宋体" w:eastAsia="等线" w:hAnsi="等线"/>
          <w:smallCaps w:val="false"/>
          <w:color w:val="auto"/>
          <w:sz w:val="21"/>
          <w:szCs w:val="24"/>
        </w:rPr>
        <w:tab/>
      </w:r>
      <w:r>
        <w:rPr>
          <w:rStyle w:val="style85"/>
        </w:rPr>
        <w:t xml:space="preserve"> 社会法规政策评估</w:t>
      </w:r>
      <w:r>
        <w:tab/>
      </w:r>
      <w:r>
        <w:rPr/>
        <w:fldChar w:fldCharType="begin"/>
      </w:r>
      <w:r>
        <w:instrText xml:space="preserve"> PAGEREF _Toc93944815 \h </w:instrText>
      </w:r>
      <w:r>
        <w:rPr/>
        <w:fldChar w:fldCharType="separate"/>
      </w:r>
      <w:r>
        <w:t>30</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"_Toc93944816" </w:instrText>
      </w:r>
      <w:r>
        <w:rPr/>
        <w:fldChar w:fldCharType="separate"/>
      </w:r>
      <w:r>
        <w:rPr>
          <w:rStyle w:val="style85"/>
          <w:rFonts w:cs="Arial"/>
        </w:rPr>
        <w:t>4.2.1</w:t>
      </w:r>
      <w:r>
        <w:rPr>
          <w:rFonts w:ascii="等线" w:cs="宋体" w:eastAsia="等线" w:hAnsi="等线"/>
          <w:iCs w:val="false"/>
          <w:color w:val="auto"/>
          <w:sz w:val="21"/>
          <w:szCs w:val="24"/>
        </w:rPr>
        <w:tab/>
      </w:r>
      <w:r>
        <w:rPr>
          <w:rStyle w:val="style85"/>
          <w:rFonts w:cs="Arial"/>
        </w:rPr>
        <w:t>核心原则1 可持续的社会风险管理体系</w:t>
      </w:r>
      <w:r>
        <w:tab/>
      </w:r>
      <w:r>
        <w:rPr/>
        <w:fldChar w:fldCharType="begin"/>
      </w:r>
      <w:r>
        <w:instrText xml:space="preserve"> PAGEREF _Toc93944816 \h </w:instrText>
      </w:r>
      <w:r>
        <w:rPr/>
        <w:fldChar w:fldCharType="separate"/>
      </w:r>
      <w:r>
        <w:t>31</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"_Toc93944817" </w:instrText>
      </w:r>
      <w:r>
        <w:rPr/>
        <w:fldChar w:fldCharType="separate"/>
      </w:r>
      <w:r>
        <w:rPr>
          <w:rStyle w:val="style85"/>
          <w:rFonts w:cs="Arial"/>
        </w:rPr>
        <w:t>4.2.2</w:t>
      </w:r>
      <w:r>
        <w:rPr>
          <w:rFonts w:ascii="等线" w:cs="宋体" w:eastAsia="等线" w:hAnsi="等线"/>
          <w:iCs w:val="false"/>
          <w:color w:val="auto"/>
          <w:sz w:val="21"/>
          <w:szCs w:val="24"/>
        </w:rPr>
        <w:tab/>
      </w:r>
      <w:r>
        <w:rPr>
          <w:rStyle w:val="style85"/>
          <w:rFonts w:cs="Arial"/>
        </w:rPr>
        <w:t>核心原则2 文物资源管理体系</w:t>
      </w:r>
      <w:r>
        <w:tab/>
      </w:r>
      <w:r>
        <w:rPr/>
        <w:fldChar w:fldCharType="begin"/>
      </w:r>
      <w:r>
        <w:instrText xml:space="preserve"> PAGEREF _Toc93944817 \h </w:instrText>
      </w:r>
      <w:r>
        <w:rPr/>
        <w:fldChar w:fldCharType="separate"/>
      </w:r>
      <w:r>
        <w:t>32</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"_Toc93944818" </w:instrText>
      </w:r>
      <w:r>
        <w:rPr/>
        <w:fldChar w:fldCharType="separate"/>
      </w:r>
      <w:r>
        <w:rPr>
          <w:rStyle w:val="style85"/>
          <w:rFonts w:cs="Arial"/>
        </w:rPr>
        <w:t>4.2.3</w:t>
      </w:r>
      <w:r>
        <w:rPr>
          <w:rFonts w:ascii="等线" w:cs="宋体" w:eastAsia="等线" w:hAnsi="等线"/>
          <w:iCs w:val="false"/>
          <w:color w:val="auto"/>
          <w:sz w:val="21"/>
          <w:szCs w:val="24"/>
        </w:rPr>
        <w:tab/>
      </w:r>
      <w:r>
        <w:rPr>
          <w:rStyle w:val="style85"/>
          <w:rFonts w:cs="Arial"/>
        </w:rPr>
        <w:t>核心原则3 公众和劳动者安全管理体系</w:t>
      </w:r>
      <w:r>
        <w:tab/>
      </w:r>
      <w:r>
        <w:rPr/>
        <w:fldChar w:fldCharType="begin"/>
      </w:r>
      <w:r>
        <w:instrText xml:space="preserve"> PAGEREF _Toc93944818 \h </w:instrText>
      </w:r>
      <w:r>
        <w:rPr/>
        <w:fldChar w:fldCharType="separate"/>
      </w:r>
      <w:r>
        <w:t>33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"_Toc93944819" </w:instrText>
      </w:r>
      <w:r>
        <w:rPr/>
        <w:fldChar w:fldCharType="separate"/>
      </w:r>
      <w:r>
        <w:rPr>
          <w:rStyle w:val="style85"/>
          <w:rFonts w:cs="Arial"/>
        </w:rPr>
        <w:t>4.2.4</w:t>
      </w:r>
      <w:r>
        <w:rPr>
          <w:rFonts w:ascii="等线" w:cs="宋体" w:eastAsia="等线" w:hAnsi="等线"/>
          <w:iCs w:val="false"/>
          <w:color w:val="auto"/>
          <w:sz w:val="21"/>
          <w:szCs w:val="24"/>
        </w:rPr>
        <w:tab/>
      </w:r>
      <w:r>
        <w:rPr>
          <w:rStyle w:val="style85"/>
          <w:rFonts w:cs="Arial"/>
        </w:rPr>
        <w:t>核心原则4 非自愿移民管理体系</w:t>
      </w:r>
      <w:r>
        <w:tab/>
      </w:r>
      <w:r>
        <w:rPr/>
        <w:fldChar w:fldCharType="begin"/>
      </w:r>
      <w:r>
        <w:instrText xml:space="preserve"> PAGEREF _Toc93944819 \h </w:instrText>
      </w:r>
      <w:r>
        <w:rPr/>
        <w:fldChar w:fldCharType="separate"/>
      </w:r>
      <w:r>
        <w:t>34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"_Toc93944820" </w:instrText>
      </w:r>
      <w:r>
        <w:rPr/>
        <w:fldChar w:fldCharType="separate"/>
      </w:r>
      <w:r>
        <w:rPr>
          <w:rStyle w:val="style85"/>
          <w:rFonts w:cs="Arial"/>
        </w:rPr>
        <w:t>4.2.5</w:t>
      </w:r>
      <w:r>
        <w:rPr>
          <w:rFonts w:ascii="等线" w:cs="宋体" w:eastAsia="等线" w:hAnsi="等线"/>
          <w:iCs w:val="false"/>
          <w:color w:val="auto"/>
          <w:sz w:val="21"/>
          <w:szCs w:val="24"/>
        </w:rPr>
        <w:tab/>
      </w:r>
      <w:r>
        <w:rPr>
          <w:rStyle w:val="style85"/>
          <w:rFonts w:cs="Arial"/>
        </w:rPr>
        <w:t>核心原则5 少数民族和弱势群体的管理体系</w:t>
      </w:r>
      <w:r>
        <w:tab/>
      </w:r>
      <w:r>
        <w:rPr/>
        <w:fldChar w:fldCharType="begin"/>
      </w:r>
      <w:r>
        <w:instrText xml:space="preserve"> PAGEREF _Toc93944820 \h </w:instrText>
      </w:r>
      <w:r>
        <w:rPr/>
        <w:fldChar w:fldCharType="separate"/>
      </w:r>
      <w:r>
        <w:t>36</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"_Toc93944821" </w:instrText>
      </w:r>
      <w:r>
        <w:rPr/>
        <w:fldChar w:fldCharType="separate"/>
      </w:r>
      <w:r>
        <w:rPr>
          <w:rStyle w:val="style85"/>
          <w:rFonts w:cs="Arial"/>
        </w:rPr>
        <w:t>4.2.6</w:t>
      </w:r>
      <w:r>
        <w:rPr>
          <w:rFonts w:ascii="等线" w:cs="宋体" w:eastAsia="等线" w:hAnsi="等线"/>
          <w:iCs w:val="false"/>
          <w:color w:val="auto"/>
          <w:sz w:val="21"/>
          <w:szCs w:val="24"/>
        </w:rPr>
        <w:tab/>
      </w:r>
      <w:r>
        <w:rPr>
          <w:rStyle w:val="style85"/>
          <w:rFonts w:cs="Arial"/>
        </w:rPr>
        <w:t>核心原则6社会冲突管理体系</w:t>
      </w:r>
      <w:r>
        <w:tab/>
      </w:r>
      <w:r>
        <w:rPr/>
        <w:fldChar w:fldCharType="begin"/>
      </w:r>
      <w:r>
        <w:instrText xml:space="preserve"> PAGEREF _Toc93944821 \h </w:instrText>
      </w:r>
      <w:r>
        <w:rPr/>
        <w:fldChar w:fldCharType="separate"/>
      </w:r>
      <w:r>
        <w:t>37</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"_Toc93944822" </w:instrText>
      </w:r>
      <w:r>
        <w:rPr/>
        <w:fldChar w:fldCharType="separate"/>
      </w:r>
      <w:r>
        <w:rPr>
          <w:rStyle w:val="style85"/>
        </w:rPr>
        <w:t>4.3</w:t>
      </w:r>
      <w:r>
        <w:rPr>
          <w:rFonts w:ascii="等线" w:cs="宋体" w:eastAsia="等线" w:hAnsi="等线"/>
          <w:smallCaps w:val="false"/>
          <w:color w:val="auto"/>
          <w:sz w:val="21"/>
          <w:szCs w:val="24"/>
        </w:rPr>
        <w:tab/>
      </w:r>
      <w:r>
        <w:rPr>
          <w:rStyle w:val="style85"/>
        </w:rPr>
        <w:t xml:space="preserve">  社会管理机制与能力评估</w:t>
      </w:r>
      <w:r>
        <w:tab/>
      </w:r>
      <w:r>
        <w:rPr/>
        <w:fldChar w:fldCharType="begin"/>
      </w:r>
      <w:r>
        <w:instrText xml:space="preserve"> PAGEREF _Toc93944822 \h </w:instrText>
      </w:r>
      <w:r>
        <w:rPr/>
        <w:fldChar w:fldCharType="separate"/>
      </w:r>
      <w:r>
        <w:t>37</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"_Toc93944823" </w:instrText>
      </w:r>
      <w:r>
        <w:rPr/>
        <w:fldChar w:fldCharType="separate"/>
      </w:r>
      <w:r>
        <w:rPr>
          <w:rStyle w:val="style85"/>
          <w:rFonts w:cs="Arial"/>
        </w:rPr>
        <w:t>4.3.1</w:t>
      </w:r>
      <w:r>
        <w:rPr>
          <w:rFonts w:ascii="等线" w:cs="宋体" w:eastAsia="等线" w:hAnsi="等线"/>
          <w:iCs w:val="false"/>
          <w:color w:val="auto"/>
          <w:sz w:val="21"/>
          <w:szCs w:val="24"/>
        </w:rPr>
        <w:tab/>
      </w:r>
      <w:r>
        <w:rPr>
          <w:rStyle w:val="style85"/>
          <w:rFonts w:cs="Arial"/>
        </w:rPr>
        <w:t>社会风险评估管理机构</w:t>
      </w:r>
      <w:r>
        <w:tab/>
      </w:r>
      <w:r>
        <w:rPr/>
        <w:fldChar w:fldCharType="begin"/>
      </w:r>
      <w:r>
        <w:instrText xml:space="preserve"> PAGEREF _Toc93944823 \h </w:instrText>
      </w:r>
      <w:r>
        <w:rPr/>
        <w:fldChar w:fldCharType="separate"/>
      </w:r>
      <w:r>
        <w:t>38</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"_Toc93944824" </w:instrText>
      </w:r>
      <w:r>
        <w:rPr/>
        <w:fldChar w:fldCharType="separate"/>
      </w:r>
      <w:r>
        <w:rPr>
          <w:rStyle w:val="style85"/>
          <w:rFonts w:cs="Arial"/>
        </w:rPr>
        <w:t>4.3.2</w:t>
      </w:r>
      <w:r>
        <w:rPr>
          <w:rFonts w:ascii="等线" w:cs="宋体" w:eastAsia="等线" w:hAnsi="等线"/>
          <w:iCs w:val="false"/>
          <w:color w:val="auto"/>
          <w:sz w:val="21"/>
          <w:szCs w:val="24"/>
        </w:rPr>
        <w:tab/>
      </w:r>
      <w:r>
        <w:rPr>
          <w:rStyle w:val="style85"/>
          <w:rFonts w:cs="Arial"/>
        </w:rPr>
        <w:t>文物保护机构</w:t>
      </w:r>
      <w:r>
        <w:tab/>
      </w:r>
      <w:r>
        <w:rPr/>
        <w:fldChar w:fldCharType="begin"/>
      </w:r>
      <w:r>
        <w:instrText xml:space="preserve"> PAGEREF _Toc93944824 \h </w:instrText>
      </w:r>
      <w:r>
        <w:rPr/>
        <w:fldChar w:fldCharType="separate"/>
      </w:r>
      <w:r>
        <w:t>38</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"_Toc93944825" </w:instrText>
      </w:r>
      <w:r>
        <w:rPr/>
        <w:fldChar w:fldCharType="separate"/>
      </w:r>
      <w:r>
        <w:rPr>
          <w:rStyle w:val="style85"/>
          <w:rFonts w:cs="Arial"/>
        </w:rPr>
        <w:t>4.3.3</w:t>
      </w:r>
      <w:r>
        <w:rPr>
          <w:rFonts w:ascii="等线" w:cs="宋体" w:eastAsia="等线" w:hAnsi="等线"/>
          <w:iCs w:val="false"/>
          <w:color w:val="auto"/>
          <w:sz w:val="21"/>
          <w:szCs w:val="24"/>
        </w:rPr>
        <w:tab/>
      </w:r>
      <w:r>
        <w:rPr>
          <w:rStyle w:val="style85"/>
          <w:rFonts w:cs="Arial"/>
        </w:rPr>
        <w:t>征地拆迁机构</w:t>
      </w:r>
      <w:r>
        <w:tab/>
      </w:r>
      <w:r>
        <w:rPr/>
        <w:fldChar w:fldCharType="begin"/>
      </w:r>
      <w:r>
        <w:instrText xml:space="preserve"> PAGEREF _Toc93944825 \h </w:instrText>
      </w:r>
      <w:r>
        <w:rPr/>
        <w:fldChar w:fldCharType="separate"/>
      </w:r>
      <w:r>
        <w:t>39</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"_Toc93944826" </w:instrText>
      </w:r>
      <w:r>
        <w:rPr/>
        <w:fldChar w:fldCharType="separate"/>
      </w:r>
      <w:r>
        <w:rPr>
          <w:rStyle w:val="style85"/>
          <w:rFonts w:cs="Arial"/>
        </w:rPr>
        <w:t>4.3.4</w:t>
      </w:r>
      <w:r>
        <w:rPr>
          <w:rFonts w:ascii="等线" w:cs="宋体" w:eastAsia="等线" w:hAnsi="等线"/>
          <w:iCs w:val="false"/>
          <w:color w:val="auto"/>
          <w:sz w:val="21"/>
          <w:szCs w:val="24"/>
        </w:rPr>
        <w:tab/>
      </w:r>
      <w:r>
        <w:rPr>
          <w:rStyle w:val="style85"/>
          <w:rFonts w:cs="Arial"/>
        </w:rPr>
        <w:t>公众安全、劳动者健康安全和应急管理机构</w:t>
      </w:r>
      <w:r>
        <w:tab/>
      </w:r>
      <w:r>
        <w:rPr/>
        <w:fldChar w:fldCharType="begin"/>
      </w:r>
      <w:r>
        <w:instrText xml:space="preserve"> PAGEREF _Toc93944826 \h </w:instrText>
      </w:r>
      <w:r>
        <w:rPr/>
        <w:fldChar w:fldCharType="separate"/>
      </w:r>
      <w:r>
        <w:t>42</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"_Toc93944827" </w:instrText>
      </w:r>
      <w:r>
        <w:rPr/>
        <w:fldChar w:fldCharType="separate"/>
      </w:r>
      <w:r>
        <w:rPr>
          <w:rStyle w:val="style85"/>
          <w:rFonts w:cs="Arial"/>
        </w:rPr>
        <w:t>4.3.5</w:t>
      </w:r>
      <w:r>
        <w:rPr>
          <w:rFonts w:ascii="等线" w:cs="宋体" w:eastAsia="等线" w:hAnsi="等线"/>
          <w:iCs w:val="false"/>
          <w:color w:val="auto"/>
          <w:sz w:val="21"/>
          <w:szCs w:val="24"/>
        </w:rPr>
        <w:tab/>
      </w:r>
      <w:r>
        <w:rPr>
          <w:rStyle w:val="style85"/>
          <w:rFonts w:cs="Arial"/>
        </w:rPr>
        <w:t>少数民族管理机构</w:t>
      </w:r>
      <w:r>
        <w:tab/>
      </w:r>
      <w:r>
        <w:rPr/>
        <w:fldChar w:fldCharType="begin"/>
      </w:r>
      <w:r>
        <w:instrText xml:space="preserve"> PAGEREF _Toc93944827 \h </w:instrText>
      </w:r>
      <w:r>
        <w:rPr/>
        <w:fldChar w:fldCharType="separate"/>
      </w:r>
      <w:r>
        <w:t>43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"_Toc93944828" </w:instrText>
      </w:r>
      <w:r>
        <w:rPr/>
        <w:fldChar w:fldCharType="separate"/>
      </w:r>
      <w:r>
        <w:rPr>
          <w:rStyle w:val="style85"/>
          <w:rFonts w:cs="Arial"/>
        </w:rPr>
        <w:t>4.3.6</w:t>
      </w:r>
      <w:r>
        <w:rPr>
          <w:rFonts w:ascii="等线" w:cs="宋体" w:eastAsia="等线" w:hAnsi="等线"/>
          <w:iCs w:val="false"/>
          <w:color w:val="auto"/>
          <w:sz w:val="21"/>
          <w:szCs w:val="24"/>
        </w:rPr>
        <w:tab/>
      </w:r>
      <w:r>
        <w:rPr>
          <w:rStyle w:val="style85"/>
          <w:rFonts w:cs="Arial"/>
        </w:rPr>
        <w:t>弱势群体权益保护机构</w:t>
      </w:r>
      <w:r>
        <w:tab/>
      </w:r>
      <w:r>
        <w:rPr/>
        <w:fldChar w:fldCharType="begin"/>
      </w:r>
      <w:r>
        <w:instrText xml:space="preserve"> PAGEREF _Toc93944828 \h </w:instrText>
      </w:r>
      <w:r>
        <w:rPr/>
        <w:fldChar w:fldCharType="separate"/>
      </w:r>
      <w:r>
        <w:t>43</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"_Toc93944829" </w:instrText>
      </w:r>
      <w:r>
        <w:rPr/>
        <w:fldChar w:fldCharType="separate"/>
      </w:r>
      <w:r>
        <w:rPr>
          <w:rStyle w:val="style85"/>
        </w:rPr>
        <w:t>4.4</w:t>
      </w:r>
      <w:r>
        <w:rPr>
          <w:rFonts w:ascii="等线" w:cs="宋体" w:eastAsia="等线" w:hAnsi="等线"/>
          <w:smallCaps w:val="false"/>
          <w:color w:val="auto"/>
          <w:sz w:val="21"/>
          <w:szCs w:val="24"/>
        </w:rPr>
        <w:tab/>
      </w:r>
      <w:r>
        <w:rPr>
          <w:rStyle w:val="style85"/>
        </w:rPr>
        <w:t xml:space="preserve"> 社会实践效果评估</w:t>
      </w:r>
      <w:r>
        <w:tab/>
      </w:r>
      <w:r>
        <w:rPr/>
        <w:fldChar w:fldCharType="begin"/>
      </w:r>
      <w:r>
        <w:instrText xml:space="preserve"> PAGEREF _Toc93944829 \h </w:instrText>
      </w:r>
      <w:r>
        <w:rPr/>
        <w:fldChar w:fldCharType="separate"/>
      </w:r>
      <w:r>
        <w:t>44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"_Toc93944830" </w:instrText>
      </w:r>
      <w:r>
        <w:rPr/>
        <w:fldChar w:fldCharType="separate"/>
      </w:r>
      <w:r>
        <w:rPr>
          <w:rStyle w:val="style85"/>
          <w:rFonts w:cs="Arial"/>
        </w:rPr>
        <w:t>4.4.1</w:t>
      </w:r>
      <w:r>
        <w:rPr>
          <w:rFonts w:ascii="等线" w:cs="宋体" w:eastAsia="等线" w:hAnsi="等线"/>
          <w:iCs w:val="false"/>
          <w:color w:val="auto"/>
          <w:sz w:val="21"/>
          <w:szCs w:val="24"/>
        </w:rPr>
        <w:tab/>
      </w:r>
      <w:r>
        <w:rPr>
          <w:rStyle w:val="style85"/>
          <w:rFonts w:cs="Arial"/>
        </w:rPr>
        <w:t>核心原则1：可持续的社会风险管理体系</w:t>
      </w:r>
      <w:r>
        <w:tab/>
      </w:r>
      <w:r>
        <w:rPr/>
        <w:fldChar w:fldCharType="begin"/>
      </w:r>
      <w:r>
        <w:instrText xml:space="preserve"> PAGEREF _Toc93944830 \h </w:instrText>
      </w:r>
      <w:r>
        <w:rPr/>
        <w:fldChar w:fldCharType="separate"/>
      </w:r>
      <w:r>
        <w:t>44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"_Toc93944831" </w:instrText>
      </w:r>
      <w:r>
        <w:rPr/>
        <w:fldChar w:fldCharType="separate"/>
      </w:r>
      <w:r>
        <w:rPr>
          <w:rStyle w:val="style85"/>
          <w:rFonts w:cs="Arial"/>
        </w:rPr>
        <w:t>4.4.2</w:t>
      </w:r>
      <w:r>
        <w:rPr>
          <w:rFonts w:ascii="等线" w:cs="宋体" w:eastAsia="等线" w:hAnsi="等线"/>
          <w:iCs w:val="false"/>
          <w:color w:val="auto"/>
          <w:sz w:val="21"/>
          <w:szCs w:val="24"/>
        </w:rPr>
        <w:tab/>
      </w:r>
      <w:r>
        <w:rPr>
          <w:rStyle w:val="style85"/>
          <w:rFonts w:cs="Arial"/>
        </w:rPr>
        <w:t>核心原则2：文物资源管理体系</w:t>
      </w:r>
      <w:r>
        <w:tab/>
      </w:r>
      <w:r>
        <w:rPr/>
        <w:fldChar w:fldCharType="begin"/>
      </w:r>
      <w:r>
        <w:instrText xml:space="preserve"> PAGEREF _Toc93944831 \h </w:instrText>
      </w:r>
      <w:r>
        <w:rPr/>
        <w:fldChar w:fldCharType="separate"/>
      </w:r>
      <w:r>
        <w:t>48</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"_Toc93944832" </w:instrText>
      </w:r>
      <w:r>
        <w:rPr/>
        <w:fldChar w:fldCharType="separate"/>
      </w:r>
      <w:r>
        <w:rPr>
          <w:rStyle w:val="style85"/>
          <w:rFonts w:cs="Arial"/>
        </w:rPr>
        <w:t>4.4.3</w:t>
      </w:r>
      <w:r>
        <w:rPr>
          <w:rFonts w:ascii="等线" w:cs="宋体" w:eastAsia="等线" w:hAnsi="等线"/>
          <w:iCs w:val="false"/>
          <w:color w:val="auto"/>
          <w:sz w:val="21"/>
          <w:szCs w:val="24"/>
        </w:rPr>
        <w:tab/>
      </w:r>
      <w:r>
        <w:rPr>
          <w:rStyle w:val="style85"/>
          <w:rFonts w:cs="Arial"/>
        </w:rPr>
        <w:t>核心原则3：公众和劳动者安全管理体系</w:t>
      </w:r>
      <w:r>
        <w:tab/>
      </w:r>
      <w:r>
        <w:rPr/>
        <w:fldChar w:fldCharType="begin"/>
      </w:r>
      <w:r>
        <w:instrText xml:space="preserve"> PAGEREF _Toc93944832 \h </w:instrText>
      </w:r>
      <w:r>
        <w:rPr/>
        <w:fldChar w:fldCharType="separate"/>
      </w:r>
      <w:r>
        <w:t>48</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"_Toc93944833" </w:instrText>
      </w:r>
      <w:r>
        <w:rPr/>
        <w:fldChar w:fldCharType="separate"/>
      </w:r>
      <w:r>
        <w:rPr>
          <w:rStyle w:val="style85"/>
          <w:rFonts w:cs="Arial"/>
        </w:rPr>
        <w:t>4.4.4</w:t>
      </w:r>
      <w:r>
        <w:rPr>
          <w:rFonts w:ascii="等线" w:cs="宋体" w:eastAsia="等线" w:hAnsi="等线"/>
          <w:iCs w:val="false"/>
          <w:color w:val="auto"/>
          <w:sz w:val="21"/>
          <w:szCs w:val="24"/>
        </w:rPr>
        <w:tab/>
      </w:r>
      <w:r>
        <w:rPr>
          <w:rStyle w:val="style85"/>
          <w:rFonts w:cs="Arial"/>
        </w:rPr>
        <w:t>核心原则4：非志愿移民管理体系</w:t>
      </w:r>
      <w:r>
        <w:tab/>
      </w:r>
      <w:r>
        <w:rPr/>
        <w:fldChar w:fldCharType="begin"/>
      </w:r>
      <w:r>
        <w:instrText xml:space="preserve"> PAGEREF _Toc93944833 \h </w:instrText>
      </w:r>
      <w:r>
        <w:rPr/>
        <w:fldChar w:fldCharType="separate"/>
      </w:r>
      <w:r>
        <w:t>49</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"_Toc93944834" </w:instrText>
      </w:r>
      <w:r>
        <w:rPr/>
        <w:fldChar w:fldCharType="separate"/>
      </w:r>
      <w:r>
        <w:rPr>
          <w:rStyle w:val="style85"/>
          <w:rFonts w:cs="Arial"/>
        </w:rPr>
        <w:t>4.4.5</w:t>
      </w:r>
      <w:r>
        <w:rPr>
          <w:rFonts w:ascii="等线" w:cs="宋体" w:eastAsia="等线" w:hAnsi="等线"/>
          <w:iCs w:val="false"/>
          <w:color w:val="auto"/>
          <w:sz w:val="21"/>
          <w:szCs w:val="24"/>
        </w:rPr>
        <w:tab/>
      </w:r>
      <w:r>
        <w:rPr>
          <w:rStyle w:val="style85"/>
          <w:rFonts w:cs="Arial"/>
        </w:rPr>
        <w:t>核心原则5：少数民族和弱势群体的管理体系</w:t>
      </w:r>
      <w:r>
        <w:tab/>
      </w:r>
      <w:r>
        <w:rPr/>
        <w:fldChar w:fldCharType="begin"/>
      </w:r>
      <w:r>
        <w:instrText xml:space="preserve"> PAGEREF _Toc93944834 \h </w:instrText>
      </w:r>
      <w:r>
        <w:rPr/>
        <w:fldChar w:fldCharType="separate"/>
      </w:r>
      <w:r>
        <w:t>51</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"_Toc93944835" </w:instrText>
      </w:r>
      <w:r>
        <w:rPr/>
        <w:fldChar w:fldCharType="separate"/>
      </w:r>
      <w:r>
        <w:rPr>
          <w:rStyle w:val="style85"/>
          <w:rFonts w:cs="Arial"/>
        </w:rPr>
        <w:t>5.</w:t>
      </w:r>
      <w:r>
        <w:rPr>
          <w:rFonts w:ascii="等线" w:cs="宋体" w:eastAsia="等线" w:hAnsi="等线"/>
          <w:b w:val="false"/>
          <w:bCs w:val="false"/>
          <w:color w:val="auto"/>
          <w:sz w:val="21"/>
          <w:szCs w:val="24"/>
        </w:rPr>
        <w:tab/>
      </w:r>
      <w:r>
        <w:rPr>
          <w:rStyle w:val="style85"/>
          <w:rFonts w:cs="Arial"/>
        </w:rPr>
        <w:t>公众参与和申诉机制</w:t>
      </w:r>
      <w:r>
        <w:tab/>
      </w:r>
      <w:r>
        <w:rPr/>
        <w:fldChar w:fldCharType="begin"/>
      </w:r>
      <w:r>
        <w:instrText xml:space="preserve"> PAGEREF _Toc93944835 \h </w:instrText>
      </w:r>
      <w:r>
        <w:rPr/>
        <w:fldChar w:fldCharType="separate"/>
      </w:r>
      <w:r>
        <w:t>54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"_Toc93944837" </w:instrText>
      </w:r>
      <w:r>
        <w:rPr/>
        <w:fldChar w:fldCharType="separate"/>
      </w:r>
      <w:r>
        <w:rPr>
          <w:rStyle w:val="style85"/>
        </w:rPr>
        <w:t>5.1</w:t>
      </w:r>
      <w:r>
        <w:rPr>
          <w:rFonts w:ascii="等线" w:cs="宋体" w:eastAsia="等线" w:hAnsi="等线"/>
          <w:smallCaps w:val="false"/>
          <w:color w:val="auto"/>
          <w:sz w:val="21"/>
          <w:szCs w:val="24"/>
        </w:rPr>
        <w:tab/>
      </w:r>
      <w:r>
        <w:rPr>
          <w:rStyle w:val="style85"/>
        </w:rPr>
        <w:t xml:space="preserve">  公众参与</w:t>
      </w:r>
      <w:r>
        <w:tab/>
      </w:r>
      <w:r>
        <w:rPr/>
        <w:fldChar w:fldCharType="begin"/>
      </w:r>
      <w:r>
        <w:instrText xml:space="preserve"> PAGEREF _Toc93944837 \h </w:instrText>
      </w:r>
      <w:r>
        <w:rPr/>
        <w:fldChar w:fldCharType="separate"/>
      </w:r>
      <w:r>
        <w:t>54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"_Toc93944838" </w:instrText>
      </w:r>
      <w:r>
        <w:rPr/>
        <w:fldChar w:fldCharType="separate"/>
      </w:r>
      <w:r>
        <w:rPr>
          <w:rStyle w:val="style85"/>
          <w:rFonts w:cs="Arial"/>
        </w:rPr>
        <w:t>5.1.1</w:t>
      </w:r>
      <w:r>
        <w:rPr>
          <w:rFonts w:ascii="等线" w:cs="宋体" w:eastAsia="等线" w:hAnsi="等线"/>
          <w:iCs w:val="false"/>
          <w:color w:val="auto"/>
          <w:sz w:val="21"/>
          <w:szCs w:val="24"/>
        </w:rPr>
        <w:tab/>
      </w:r>
      <w:r>
        <w:rPr>
          <w:rStyle w:val="style85"/>
          <w:rFonts w:cs="Arial"/>
        </w:rPr>
        <w:t xml:space="preserve"> 已开展的参与</w:t>
      </w:r>
      <w:r>
        <w:tab/>
      </w:r>
      <w:r>
        <w:rPr/>
        <w:fldChar w:fldCharType="begin"/>
      </w:r>
      <w:r>
        <w:instrText xml:space="preserve"> PAGEREF _Toc93944838 \h </w:instrText>
      </w:r>
      <w:r>
        <w:rPr/>
        <w:fldChar w:fldCharType="separate"/>
      </w:r>
      <w:r>
        <w:t>54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"_Toc93944839" </w:instrText>
      </w:r>
      <w:r>
        <w:rPr/>
        <w:fldChar w:fldCharType="separate"/>
      </w:r>
      <w:r>
        <w:rPr>
          <w:rStyle w:val="style85"/>
          <w:rFonts w:cs="Arial"/>
        </w:rPr>
        <w:t xml:space="preserve">5.1.2 </w:t>
      </w:r>
      <w:r>
        <w:rPr>
          <w:rFonts w:ascii="等线" w:cs="宋体" w:eastAsia="等线" w:hAnsi="等线"/>
          <w:iCs w:val="false"/>
          <w:color w:val="auto"/>
          <w:sz w:val="21"/>
          <w:szCs w:val="24"/>
        </w:rPr>
        <w:tab/>
      </w:r>
      <w:r>
        <w:rPr>
          <w:rStyle w:val="style85"/>
          <w:rFonts w:cs="Arial"/>
        </w:rPr>
        <w:t xml:space="preserve"> 本报告的公众磋商</w:t>
      </w:r>
      <w:r>
        <w:tab/>
      </w:r>
      <w:r>
        <w:rPr/>
        <w:fldChar w:fldCharType="begin"/>
      </w:r>
      <w:r>
        <w:instrText xml:space="preserve"> PAGEREF _Toc93944839 \h </w:instrText>
      </w:r>
      <w:r>
        <w:rPr/>
        <w:fldChar w:fldCharType="separate"/>
      </w:r>
      <w:r>
        <w:t>54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"_Toc93944840" </w:instrText>
      </w:r>
      <w:r>
        <w:rPr/>
        <w:fldChar w:fldCharType="separate"/>
      </w:r>
      <w:r>
        <w:rPr>
          <w:rStyle w:val="style85"/>
        </w:rPr>
        <w:t>5.2</w:t>
      </w:r>
      <w:r>
        <w:rPr>
          <w:rFonts w:ascii="等线" w:cs="宋体" w:eastAsia="等线" w:hAnsi="等线"/>
          <w:smallCaps w:val="false"/>
          <w:color w:val="auto"/>
          <w:sz w:val="21"/>
          <w:szCs w:val="24"/>
        </w:rPr>
        <w:tab/>
      </w:r>
      <w:r>
        <w:rPr>
          <w:rStyle w:val="style85"/>
        </w:rPr>
        <w:t xml:space="preserve"> 申诉机制</w:t>
      </w:r>
      <w:r>
        <w:tab/>
      </w:r>
      <w:r>
        <w:rPr/>
        <w:fldChar w:fldCharType="begin"/>
      </w:r>
      <w:r>
        <w:instrText xml:space="preserve"> PAGEREF _Toc93944840 \h </w:instrText>
      </w:r>
      <w:r>
        <w:rPr/>
        <w:fldChar w:fldCharType="separate"/>
      </w:r>
      <w:r>
        <w:t>55</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"_Toc93944841" </w:instrText>
      </w:r>
      <w:r>
        <w:rPr/>
        <w:fldChar w:fldCharType="separate"/>
      </w:r>
      <w:r>
        <w:rPr>
          <w:rStyle w:val="style85"/>
          <w:rFonts w:cs="Arial"/>
        </w:rPr>
        <w:t>6.</w:t>
      </w:r>
      <w:r>
        <w:rPr>
          <w:rFonts w:ascii="等线" w:cs="宋体" w:eastAsia="等线" w:hAnsi="等线"/>
          <w:b w:val="false"/>
          <w:bCs w:val="false"/>
          <w:color w:val="auto"/>
          <w:sz w:val="21"/>
          <w:szCs w:val="24"/>
        </w:rPr>
        <w:tab/>
      </w:r>
      <w:r>
        <w:rPr>
          <w:rStyle w:val="style85"/>
          <w:rFonts w:cs="Arial"/>
        </w:rPr>
        <w:t>结论、建议与行动计划</w:t>
      </w:r>
      <w:r>
        <w:tab/>
      </w:r>
      <w:r>
        <w:rPr/>
        <w:fldChar w:fldCharType="begin"/>
      </w:r>
      <w:r>
        <w:instrText xml:space="preserve"> PAGEREF _Toc93944841 \h </w:instrText>
      </w:r>
      <w:r>
        <w:rPr/>
        <w:fldChar w:fldCharType="separate"/>
      </w:r>
      <w:r>
        <w:t>56</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"_Toc93944843" </w:instrText>
      </w:r>
      <w:r>
        <w:rPr/>
        <w:fldChar w:fldCharType="separate"/>
      </w:r>
      <w:r>
        <w:rPr>
          <w:rStyle w:val="style85"/>
        </w:rPr>
        <w:t>6.1</w:t>
      </w:r>
      <w:r>
        <w:rPr>
          <w:rFonts w:ascii="等线" w:cs="宋体" w:eastAsia="等线" w:hAnsi="等线"/>
          <w:smallCaps w:val="false"/>
          <w:color w:val="auto"/>
          <w:sz w:val="21"/>
          <w:szCs w:val="24"/>
        </w:rPr>
        <w:tab/>
      </w:r>
      <w:r>
        <w:rPr>
          <w:rStyle w:val="style85"/>
        </w:rPr>
        <w:t xml:space="preserve"> 结论</w:t>
      </w:r>
      <w:r>
        <w:tab/>
      </w:r>
      <w:r>
        <w:rPr/>
        <w:fldChar w:fldCharType="begin"/>
      </w:r>
      <w:r>
        <w:instrText xml:space="preserve"> PAGEREF _Toc93944843 \h </w:instrText>
      </w:r>
      <w:r>
        <w:rPr/>
        <w:fldChar w:fldCharType="separate"/>
      </w:r>
      <w:r>
        <w:t>56</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"_Toc93944844" </w:instrText>
      </w:r>
      <w:r>
        <w:rPr/>
        <w:fldChar w:fldCharType="separate"/>
      </w:r>
      <w:r>
        <w:rPr>
          <w:rStyle w:val="style85"/>
        </w:rPr>
        <w:t>6.2</w:t>
      </w:r>
      <w:r>
        <w:rPr>
          <w:rFonts w:ascii="等线" w:cs="宋体" w:eastAsia="等线" w:hAnsi="等线"/>
          <w:smallCaps w:val="false"/>
          <w:color w:val="auto"/>
          <w:sz w:val="21"/>
          <w:szCs w:val="24"/>
        </w:rPr>
        <w:tab/>
      </w:r>
      <w:r>
        <w:rPr>
          <w:rStyle w:val="style85"/>
        </w:rPr>
        <w:t xml:space="preserve"> 建议</w:t>
      </w:r>
      <w:r>
        <w:tab/>
      </w:r>
      <w:r>
        <w:rPr/>
        <w:fldChar w:fldCharType="begin"/>
      </w:r>
      <w:r>
        <w:instrText xml:space="preserve"> PAGEREF _Toc93944844 \h </w:instrText>
      </w:r>
      <w:r>
        <w:rPr/>
        <w:fldChar w:fldCharType="separate"/>
      </w:r>
      <w:r>
        <w:t>56</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"_Toc93944845" </w:instrText>
      </w:r>
      <w:r>
        <w:rPr/>
        <w:fldChar w:fldCharType="separate"/>
      </w:r>
      <w:r>
        <w:rPr>
          <w:rStyle w:val="style85"/>
        </w:rPr>
        <w:t>6.3</w:t>
      </w:r>
      <w:r>
        <w:rPr>
          <w:rFonts w:ascii="等线" w:cs="宋体" w:eastAsia="等线" w:hAnsi="等线"/>
          <w:smallCaps w:val="false"/>
          <w:color w:val="auto"/>
          <w:sz w:val="21"/>
          <w:szCs w:val="24"/>
        </w:rPr>
        <w:tab/>
      </w:r>
      <w:r>
        <w:rPr>
          <w:rStyle w:val="style85"/>
        </w:rPr>
        <w:t xml:space="preserve"> 行动计划</w:t>
      </w:r>
      <w:r>
        <w:tab/>
      </w:r>
      <w:r>
        <w:rPr/>
        <w:fldChar w:fldCharType="begin"/>
      </w:r>
      <w:r>
        <w:instrText xml:space="preserve"> PAGEREF _Toc93944845 \h </w:instrText>
      </w:r>
      <w:r>
        <w:rPr/>
        <w:fldChar w:fldCharType="separate"/>
      </w:r>
      <w:r>
        <w:t>56</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"_Toc93944846" </w:instrText>
      </w:r>
      <w:r>
        <w:rPr/>
        <w:fldChar w:fldCharType="separate"/>
      </w:r>
      <w:r>
        <w:rPr>
          <w:rStyle w:val="style85"/>
          <w:rFonts w:cs="Arial"/>
        </w:rPr>
        <w:t>7.</w:t>
      </w:r>
      <w:r>
        <w:rPr>
          <w:rFonts w:ascii="等线" w:cs="宋体" w:eastAsia="等线" w:hAnsi="等线"/>
          <w:b w:val="false"/>
          <w:bCs w:val="false"/>
          <w:color w:val="auto"/>
          <w:sz w:val="21"/>
          <w:szCs w:val="24"/>
        </w:rPr>
        <w:tab/>
      </w:r>
      <w:r>
        <w:rPr>
          <w:rStyle w:val="style85"/>
          <w:rFonts w:cs="Arial"/>
        </w:rPr>
        <w:t>实施管理与监测</w:t>
      </w:r>
      <w:r>
        <w:tab/>
      </w:r>
      <w:r>
        <w:rPr/>
        <w:fldChar w:fldCharType="begin"/>
      </w:r>
      <w:r>
        <w:instrText xml:space="preserve"> PAGEREF _Toc93944846 \h </w:instrText>
      </w:r>
      <w:r>
        <w:rPr/>
        <w:fldChar w:fldCharType="separate"/>
      </w:r>
      <w:r>
        <w:t>58</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"_Toc93944848" </w:instrText>
      </w:r>
      <w:r>
        <w:rPr/>
        <w:fldChar w:fldCharType="separate"/>
      </w:r>
      <w:r>
        <w:rPr>
          <w:rStyle w:val="style85"/>
        </w:rPr>
        <w:t>7.1</w:t>
      </w:r>
      <w:r>
        <w:rPr>
          <w:rFonts w:ascii="等线" w:cs="宋体" w:eastAsia="等线" w:hAnsi="等线"/>
          <w:smallCaps w:val="false"/>
          <w:color w:val="auto"/>
          <w:sz w:val="21"/>
          <w:szCs w:val="24"/>
        </w:rPr>
        <w:tab/>
      </w:r>
      <w:r>
        <w:rPr>
          <w:rStyle w:val="style85"/>
        </w:rPr>
        <w:t xml:space="preserve"> 项目实施方</w:t>
      </w:r>
      <w:r>
        <w:tab/>
      </w:r>
      <w:r>
        <w:rPr/>
        <w:fldChar w:fldCharType="begin"/>
      </w:r>
      <w:r>
        <w:instrText xml:space="preserve"> PAGEREF _Toc93944848 \h </w:instrText>
      </w:r>
      <w:r>
        <w:rPr/>
        <w:fldChar w:fldCharType="separate"/>
      </w:r>
      <w:r>
        <w:t>58</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"_Toc93944849" </w:instrText>
      </w:r>
      <w:r>
        <w:rPr/>
        <w:fldChar w:fldCharType="separate"/>
      </w:r>
      <w:r>
        <w:rPr>
          <w:rStyle w:val="style85"/>
        </w:rPr>
        <w:t>7.2</w:t>
      </w:r>
      <w:r>
        <w:rPr>
          <w:rFonts w:ascii="等线" w:cs="宋体" w:eastAsia="等线" w:hAnsi="等线"/>
          <w:smallCaps w:val="false"/>
          <w:color w:val="auto"/>
          <w:sz w:val="21"/>
          <w:szCs w:val="24"/>
        </w:rPr>
        <w:tab/>
      </w:r>
      <w:r>
        <w:rPr>
          <w:rStyle w:val="style85"/>
        </w:rPr>
        <w:t xml:space="preserve"> 世行方面</w:t>
      </w:r>
      <w:r>
        <w:tab/>
      </w:r>
      <w:r>
        <w:rPr/>
        <w:fldChar w:fldCharType="begin"/>
      </w:r>
      <w:r>
        <w:instrText xml:space="preserve"> PAGEREF _Toc93944849 \h </w:instrText>
      </w:r>
      <w:r>
        <w:rPr/>
        <w:fldChar w:fldCharType="separate"/>
      </w:r>
      <w:r>
        <w:t>58</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"_Toc93944850" </w:instrText>
      </w:r>
      <w:r>
        <w:rPr/>
        <w:fldChar w:fldCharType="separate"/>
      </w:r>
      <w:r>
        <w:rPr>
          <w:rStyle w:val="style85"/>
          <w:rFonts w:cs="Arial"/>
        </w:rPr>
        <w:t>附件1：本项目PforR活动边界确定</w:t>
      </w:r>
      <w:r>
        <w:tab/>
      </w:r>
      <w:r>
        <w:rPr/>
        <w:fldChar w:fldCharType="begin"/>
      </w:r>
      <w:r>
        <w:instrText xml:space="preserve"> PAGEREF _Toc93944850 \h </w:instrText>
      </w:r>
      <w:r>
        <w:rPr/>
        <w:fldChar w:fldCharType="separate"/>
      </w:r>
      <w:r>
        <w:t>59</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"_Toc93944851" </w:instrText>
      </w:r>
      <w:r>
        <w:rPr/>
        <w:fldChar w:fldCharType="separate"/>
      </w:r>
      <w:r>
        <w:rPr>
          <w:rStyle w:val="style85"/>
          <w:rFonts w:cs="Arial"/>
        </w:rPr>
        <w:t>附件2：本项目活动环境与社会风险分析</w:t>
      </w:r>
      <w:r>
        <w:tab/>
      </w:r>
      <w:r>
        <w:rPr/>
        <w:fldChar w:fldCharType="begin"/>
      </w:r>
      <w:r>
        <w:instrText xml:space="preserve"> PAGEREF _Toc93944851 \h </w:instrText>
      </w:r>
      <w:r>
        <w:rPr/>
        <w:fldChar w:fldCharType="separate"/>
      </w:r>
      <w:r>
        <w:t>65</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"_Toc93944852" </w:instrText>
      </w:r>
      <w:r>
        <w:rPr/>
        <w:fldChar w:fldCharType="separate"/>
      </w:r>
      <w:r>
        <w:rPr>
          <w:rStyle w:val="style85"/>
          <w:rFonts w:cs="Arial"/>
        </w:rPr>
        <w:t>附件3：环境与社会管理体系和世行政策对照分析</w:t>
      </w:r>
      <w:r>
        <w:tab/>
      </w:r>
      <w:r>
        <w:rPr/>
        <w:fldChar w:fldCharType="begin"/>
      </w:r>
      <w:r>
        <w:instrText xml:space="preserve"> PAGEREF _Toc93944852 \h </w:instrText>
      </w:r>
      <w:r>
        <w:rPr/>
        <w:fldChar w:fldCharType="separate"/>
      </w:r>
      <w:r>
        <w:t>70</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"_Toc93944853" </w:instrText>
      </w:r>
      <w:r>
        <w:rPr/>
        <w:fldChar w:fldCharType="separate"/>
      </w:r>
      <w:r>
        <w:rPr>
          <w:rStyle w:val="style85"/>
          <w:rFonts w:cs="Arial"/>
        </w:rPr>
        <w:t>附件4：利益相关方分析</w:t>
      </w:r>
      <w:r>
        <w:tab/>
      </w:r>
      <w:r>
        <w:rPr/>
        <w:fldChar w:fldCharType="begin"/>
      </w:r>
      <w:r>
        <w:instrText xml:space="preserve"> PAGEREF _Toc93944853 \h </w:instrText>
      </w:r>
      <w:r>
        <w:rPr/>
        <w:fldChar w:fldCharType="separate"/>
      </w:r>
      <w:r>
        <w:t>86</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"_Toc93944854" </w:instrText>
      </w:r>
      <w:r>
        <w:rPr/>
        <w:fldChar w:fldCharType="separate"/>
      </w:r>
      <w:r>
        <w:rPr>
          <w:rStyle w:val="style85"/>
          <w:rFonts w:cs="Arial"/>
        </w:rPr>
        <w:t>附件5：资料收集活动</w:t>
      </w:r>
      <w:r>
        <w:tab/>
      </w:r>
      <w:r>
        <w:rPr/>
        <w:fldChar w:fldCharType="begin"/>
      </w:r>
      <w:r>
        <w:instrText xml:space="preserve"> PAGEREF _Toc93944854 \h </w:instrText>
      </w:r>
      <w:r>
        <w:rPr/>
        <w:fldChar w:fldCharType="separate"/>
      </w:r>
      <w:r>
        <w:t>89</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"_Toc93944855" </w:instrText>
      </w:r>
      <w:r>
        <w:rPr/>
        <w:fldChar w:fldCharType="separate"/>
      </w:r>
      <w:r>
        <w:rPr>
          <w:rStyle w:val="style85"/>
          <w:rFonts w:cs="Arial"/>
        </w:rPr>
        <w:t>附件6：利益相关方参与情况</w:t>
      </w:r>
      <w:r>
        <w:tab/>
      </w:r>
      <w:r>
        <w:rPr/>
        <w:fldChar w:fldCharType="begin"/>
      </w:r>
      <w:r>
        <w:instrText xml:space="preserve"> PAGEREF _Toc93944855 \h </w:instrText>
      </w:r>
      <w:r>
        <w:rPr/>
        <w:fldChar w:fldCharType="separate"/>
      </w:r>
      <w:r>
        <w:t>90</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"_Toc93944856" </w:instrText>
      </w:r>
      <w:r>
        <w:rPr/>
        <w:fldChar w:fldCharType="separate"/>
      </w:r>
      <w:r>
        <w:rPr>
          <w:rStyle w:val="style85"/>
          <w:rFonts w:cs="Arial"/>
        </w:rPr>
        <w:t>附件7：本项目ESSA报告公众协商记录</w:t>
      </w:r>
      <w:r>
        <w:tab/>
      </w:r>
      <w:r>
        <w:rPr/>
        <w:fldChar w:fldCharType="begin"/>
      </w:r>
      <w:r>
        <w:instrText xml:space="preserve"> PAGEREF _Toc93944856 \h </w:instrText>
      </w:r>
      <w:r>
        <w:rPr/>
        <w:fldChar w:fldCharType="separate"/>
      </w:r>
      <w:r>
        <w:t>93</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"_Toc93944857" </w:instrText>
      </w:r>
      <w:r>
        <w:rPr/>
        <w:fldChar w:fldCharType="separate"/>
      </w:r>
      <w:r>
        <w:rPr>
          <w:rStyle w:val="style85"/>
          <w:rFonts w:cs="Arial"/>
        </w:rPr>
        <w:t>附件8：现场考察记录</w:t>
      </w:r>
      <w:r>
        <w:tab/>
      </w:r>
      <w:r>
        <w:rPr/>
        <w:fldChar w:fldCharType="begin"/>
      </w:r>
      <w:r>
        <w:instrText xml:space="preserve"> PAGEREF _Toc93944857 \h </w:instrText>
      </w:r>
      <w:r>
        <w:rPr/>
        <w:fldChar w:fldCharType="separate"/>
      </w:r>
      <w:r>
        <w:t>98</w:t>
      </w:r>
      <w:r>
        <w:rPr/>
        <w:fldChar w:fldCharType="end"/>
      </w:r>
      <w:r>
        <w:rPr/>
        <w:fldChar w:fldCharType="end"/>
      </w:r>
    </w:p>
    <w:p>
      <w:pPr>
        <w:pStyle w:val="style0"/>
        <w:widowControl/>
        <w:jc w:val="center"/>
        <w:rPr>
          <w:rFonts w:ascii="Arial" w:cs="Arial" w:eastAsia="宋体" w:hAnsi="Arial"/>
          <w:b/>
          <w:bCs/>
          <w:sz w:val="28"/>
          <w:szCs w:val="32"/>
          <w:lang w:val="en-GB"/>
        </w:rPr>
      </w:pPr>
      <w:r>
        <w:rPr>
          <w:rFonts w:ascii="Arial" w:cs="Arial" w:eastAsia="宋体" w:hAnsi="Arial"/>
          <w:b/>
          <w:bCs/>
          <w:color w:val="000000"/>
          <w:sz w:val="28"/>
          <w:szCs w:val="32"/>
        </w:rPr>
        <w:fldChar w:fldCharType="end"/>
      </w:r>
    </w:p>
    <w:bookmarkStart w:id="0" w:name="_Toc79939239"/>
    <w:p>
      <w:pPr>
        <w:pStyle w:val="style0"/>
        <w:widowControl/>
        <w:jc w:val="center"/>
        <w:rPr>
          <w:rFonts w:ascii="Arial" w:cs="Arial" w:eastAsia="宋体" w:hAnsi="Arial"/>
          <w:b/>
          <w:bCs/>
          <w:color w:val="1f4e79"/>
          <w:sz w:val="28"/>
          <w:szCs w:val="32"/>
        </w:rPr>
      </w:pPr>
      <w:r>
        <w:rPr>
          <w:rFonts w:ascii="Arial" w:cs="Arial" w:eastAsia="宋体" w:hAnsi="Arial"/>
          <w:b/>
          <w:bCs/>
          <w:color w:val="1f4e79"/>
          <w:sz w:val="28"/>
          <w:szCs w:val="32"/>
        </w:rPr>
        <w:t>缩略词</w:t>
      </w:r>
      <w:bookmarkEnd w:id="0"/>
    </w:p>
    <w:p>
      <w:pPr>
        <w:pStyle w:val="style0"/>
        <w:widowControl/>
        <w:jc w:val="center"/>
        <w:rPr>
          <w:rFonts w:ascii="Arial" w:cs="Arial" w:eastAsia="宋体" w:hAnsi="Arial"/>
          <w:b/>
          <w:bCs/>
          <w:color w:val="1f4e79"/>
          <w:sz w:val="22"/>
        </w:rPr>
      </w:pPr>
    </w:p>
    <w:tbl>
      <w:tblPr>
        <w:tblStyle w:val="style15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119"/>
        <w:gridCol w:w="3709"/>
        <w:gridCol w:w="3804"/>
      </w:tblGrid>
      <w:tr>
        <w:trPr>
          <w:gridAfter w:val="1"/>
          <w:wAfter w:w="3804" w:type="dxa"/>
          <w:jc w:val="center"/>
        </w:trPr>
        <w:tc>
          <w:tcPr>
            <w:tcW w:w="2119" w:type="dxa"/>
            <w:tcBorders/>
          </w:tcPr>
          <w:p>
            <w:pPr>
              <w:pStyle w:val="style0"/>
              <w:widowControl/>
              <w:jc w:val="left"/>
              <w:rPr>
                <w:rFonts w:ascii="Arial" w:cs="Arial" w:eastAsia="宋体" w:hAnsi="Arial"/>
                <w:sz w:val="22"/>
              </w:rPr>
            </w:pPr>
            <w:r>
              <w:rPr>
                <w:rFonts w:ascii="Arial" w:cs="Arial" w:eastAsia="宋体" w:hAnsi="Arial"/>
                <w:sz w:val="22"/>
              </w:rPr>
              <w:t>BOD</w:t>
            </w:r>
            <w:r>
              <w:rPr>
                <w:rFonts w:ascii="Arial" w:cs="Arial" w:eastAsia="宋体" w:hAnsi="Arial"/>
                <w:sz w:val="22"/>
                <w:vertAlign w:val="subscript"/>
              </w:rPr>
              <w:t>5</w:t>
            </w:r>
          </w:p>
        </w:tc>
        <w:tc>
          <w:tcPr>
            <w:tcW w:w="3709" w:type="dxa"/>
            <w:tcBorders/>
          </w:tcPr>
          <w:p>
            <w:pPr>
              <w:pStyle w:val="style0"/>
              <w:widowControl/>
              <w:jc w:val="left"/>
              <w:rPr>
                <w:rFonts w:ascii="Arial" w:cs="Arial" w:eastAsia="宋体" w:hAnsi="Arial"/>
                <w:sz w:val="22"/>
              </w:rPr>
            </w:pPr>
            <w:r>
              <w:rPr>
                <w:rFonts w:ascii="Arial" w:cs="Arial" w:eastAsia="宋体" w:hAnsi="Arial"/>
                <w:sz w:val="22"/>
              </w:rPr>
              <w:t>五日生化需氧量</w:t>
            </w:r>
          </w:p>
        </w:tc>
      </w:tr>
      <w:tr>
        <w:tblPrEx/>
        <w:trPr>
          <w:gridAfter w:val="1"/>
          <w:wAfter w:w="3804" w:type="dxa"/>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sz w:val="22"/>
              </w:rPr>
              <w:t>COD</w:t>
            </w:r>
          </w:p>
        </w:tc>
        <w:tc>
          <w:tcPr>
            <w:tcW w:w="3709" w:type="dxa"/>
            <w:tcBorders/>
          </w:tcPr>
          <w:p>
            <w:pPr>
              <w:pStyle w:val="style0"/>
              <w:widowControl/>
              <w:jc w:val="left"/>
              <w:rPr>
                <w:rFonts w:ascii="Arial" w:cs="Arial" w:eastAsia="宋体" w:hAnsi="Arial"/>
                <w:kern w:val="44"/>
                <w:sz w:val="22"/>
                <w:lang w:val="en-GB"/>
              </w:rPr>
            </w:pPr>
            <w:r>
              <w:rPr>
                <w:rFonts w:ascii="Arial" w:cs="Arial" w:eastAsia="宋体" w:hAnsi="Arial"/>
                <w:sz w:val="22"/>
              </w:rPr>
              <w:t>化学需氧量</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DLI</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支付关联指标</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ESSA</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环境与社会系统评价</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FGD</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焦点人群访谈</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IPF</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投资项目融资贷款</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GRM</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申诉机制</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LA(R)</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征地和安置</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NIMBY</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邻避效应</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OHS</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职业健康与安全</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PAP</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项目受影响人</w:t>
            </w:r>
          </w:p>
        </w:tc>
      </w:tr>
      <w:tr>
        <w:tblPrEx/>
        <w:trPr>
          <w:jc w:val="center"/>
        </w:trPr>
        <w:tc>
          <w:tcPr>
            <w:tcW w:w="2119" w:type="dxa"/>
            <w:tcBorders/>
          </w:tcPr>
          <w:p>
            <w:pPr>
              <w:pStyle w:val="style0"/>
              <w:widowControl/>
              <w:jc w:val="left"/>
              <w:rPr>
                <w:rFonts w:ascii="Arial" w:cs="Arial" w:eastAsia="宋体" w:hAnsi="Arial"/>
                <w:sz w:val="22"/>
              </w:rPr>
            </w:pPr>
            <w:r>
              <w:rPr>
                <w:rFonts w:ascii="Arial" w:cs="Arial" w:eastAsia="宋体" w:hAnsi="Arial"/>
                <w:sz w:val="22"/>
              </w:rPr>
              <w:t>PDRC</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省发展和改革委员会</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sz w:val="22"/>
              </w:rPr>
              <w:t>PforR</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结果导向型规划</w:t>
            </w:r>
          </w:p>
        </w:tc>
      </w:tr>
      <w:tr>
        <w:tblPrEx/>
        <w:trPr>
          <w:jc w:val="center"/>
        </w:trPr>
        <w:tc>
          <w:tcPr>
            <w:tcW w:w="2119" w:type="dxa"/>
            <w:tcBorders/>
          </w:tcPr>
          <w:p>
            <w:pPr>
              <w:pStyle w:val="style0"/>
              <w:widowControl/>
              <w:jc w:val="left"/>
              <w:rPr>
                <w:rFonts w:ascii="Arial" w:cs="Arial" w:eastAsia="宋体" w:hAnsi="Arial"/>
                <w:sz w:val="22"/>
              </w:rPr>
            </w:pPr>
            <w:r>
              <w:rPr>
                <w:rFonts w:ascii="Arial" w:cs="Arial" w:eastAsia="宋体" w:hAnsi="Arial"/>
                <w:sz w:val="22"/>
              </w:rPr>
              <w:t>SSRA</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社会稳定风险评估</w:t>
            </w:r>
          </w:p>
        </w:tc>
      </w:tr>
    </w:tbl>
    <w:p>
      <w:pPr>
        <w:pStyle w:val="style0"/>
        <w:widowControl/>
        <w:jc w:val="center"/>
        <w:rPr>
          <w:rFonts w:ascii="Arial" w:cs="Arial" w:eastAsia="宋体" w:hAnsi="Arial"/>
          <w:b/>
          <w:bCs/>
          <w:color w:val="1f4e79"/>
          <w:sz w:val="22"/>
        </w:rPr>
      </w:pPr>
    </w:p>
    <w:p>
      <w:pPr>
        <w:pStyle w:val="style0"/>
        <w:widowControl/>
        <w:jc w:val="left"/>
        <w:rPr>
          <w:rFonts w:ascii="Arial" w:cs="Arial" w:eastAsia="宋体" w:hAnsi="Arial"/>
          <w:sz w:val="28"/>
          <w:szCs w:val="32"/>
        </w:rPr>
        <w:sectPr>
          <w:headerReference w:type="default" r:id="rId8"/>
          <w:footerReference w:type="default" r:id="rId9"/>
          <w:pgSz w:w="11900" w:h="16820" w:orient="portrait"/>
          <w:pgMar w:top="1134" w:right="1134" w:bottom="1134" w:left="1134" w:header="720" w:footer="720" w:gutter="0"/>
          <w:pgNumType w:fmt="lowerRoman"/>
          <w:cols w:space="720" w:num="1"/>
          <w:docGrid w:linePitch="360" w:charSpace="0"/>
        </w:sectPr>
      </w:pPr>
    </w:p>
    <w:bookmarkStart w:id="1" w:name="_Toc79939240"/>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2" w:name="_Toc93944792"/>
      <w:r>
        <w:rPr>
          <w:rFonts w:ascii="Arial" w:cs="Arial" w:eastAsia="宋体" w:hAnsi="Arial"/>
          <w:color w:val="1f4e79"/>
          <w:sz w:val="28"/>
          <w:szCs w:val="28"/>
        </w:rPr>
        <w:t>概述</w:t>
      </w:r>
      <w:bookmarkEnd w:id="1"/>
      <w:bookmarkEnd w:id="2"/>
    </w:p>
    <w:bookmarkStart w:id="3" w:name="_Toc42159663"/>
    <w:bookmarkStart w:id="4" w:name="_Toc79939241"/>
    <w:bookmarkStart w:id="5" w:name="_Toc93944793"/>
    <w:p>
      <w:pPr>
        <w:pStyle w:val="style2"/>
        <w:numPr>
          <w:ilvl w:val="1"/>
          <w:numId w:val="5"/>
        </w:numPr>
        <w:ind w:left="851" w:hanging="851"/>
        <w:rPr>
          <w:color w:val="1f4e79"/>
          <w:sz w:val="24"/>
          <w:szCs w:val="24"/>
        </w:rPr>
      </w:pPr>
      <w:r>
        <w:rPr>
          <w:color w:val="1f4e79"/>
          <w:sz w:val="24"/>
          <w:szCs w:val="24"/>
        </w:rPr>
        <w:t>目标和</w:t>
      </w:r>
      <w:bookmarkEnd w:id="3"/>
      <w:r>
        <w:rPr>
          <w:color w:val="1f4e79"/>
          <w:sz w:val="24"/>
          <w:szCs w:val="24"/>
        </w:rPr>
        <w:t>任务</w:t>
      </w:r>
      <w:bookmarkEnd w:id="4"/>
      <w:bookmarkEnd w:id="5"/>
    </w:p>
    <w:bookmarkStart w:id="6" w:name="_Toc42159664"/>
    <w:bookmarkStart w:id="7" w:name="_Toc472708272"/>
    <w:p>
      <w:pPr>
        <w:pStyle w:val="style179"/>
        <w:numPr>
          <w:ilvl w:val="0"/>
          <w:numId w:val="6"/>
        </w:numPr>
        <w:adjustRightInd w:val="false"/>
        <w:snapToGrid w:val="false"/>
        <w:spacing w:before="120" w:after="120"/>
        <w:ind w:left="0" w:firstLine="0" w:firstLineChars="0"/>
        <w:rPr>
          <w:rFonts w:ascii="Arial" w:cs="Arial" w:eastAsia="宋体" w:hAnsi="Arial"/>
          <w:bCs/>
          <w:sz w:val="22"/>
        </w:rPr>
      </w:pPr>
      <w:r>
        <w:rPr>
          <w:rFonts w:ascii="Arial" w:cs="Arial" w:eastAsia="宋体" w:hAnsi="Arial"/>
          <w:bCs/>
          <w:sz w:val="22"/>
          <w:szCs w:val="24"/>
        </w:rPr>
        <w:tab/>
      </w:r>
      <w:r>
        <w:rPr>
          <w:rFonts w:ascii="Arial" w:cs="Arial" w:eastAsia="宋体" w:hAnsi="Arial"/>
          <w:bCs/>
          <w:sz w:val="22"/>
          <w:szCs w:val="24"/>
        </w:rPr>
        <w:t>世行绿色农业与乡村振兴项目采用结果导向型规划贷款工具 (PforR，以下简称本项目)，旨在支持</w:t>
      </w:r>
      <w:r>
        <w:rPr>
          <w:rFonts w:ascii="Arial" w:cs="Arial" w:eastAsia="宋体" w:hAnsi="Arial" w:hint="eastAsia"/>
          <w:bCs/>
          <w:sz w:val="22"/>
          <w:szCs w:val="24"/>
        </w:rPr>
        <w:t>中</w:t>
      </w:r>
      <w:r>
        <w:rPr>
          <w:rFonts w:ascii="Arial" w:cs="Arial" w:eastAsia="宋体" w:hAnsi="Arial" w:hint="eastAsia"/>
          <w:bCs/>
          <w:sz w:val="22"/>
        </w:rPr>
        <w:t>国政府</w:t>
      </w:r>
      <w:r>
        <w:rPr>
          <w:rFonts w:ascii="Arial" w:cs="Arial" w:eastAsia="宋体" w:hAnsi="Arial"/>
          <w:bCs/>
          <w:sz w:val="22"/>
        </w:rPr>
        <w:t>《乡村振兴规划 (2018-2035年)》政策下广西</w:t>
      </w:r>
      <w:r>
        <w:rPr>
          <w:rFonts w:ascii="Arial" w:cs="Arial" w:eastAsia="宋体" w:hAnsi="Arial" w:hint="eastAsia"/>
          <w:bCs/>
          <w:sz w:val="22"/>
        </w:rPr>
        <w:t>壮族自治区</w:t>
      </w:r>
      <w:r>
        <w:rPr>
          <w:rFonts w:ascii="Arial" w:cs="Arial" w:eastAsia="宋体" w:hAnsi="Arial"/>
          <w:bCs/>
          <w:sz w:val="22"/>
        </w:rPr>
        <w:t>和贵州</w:t>
      </w:r>
      <w:r>
        <w:rPr>
          <w:rFonts w:ascii="Arial" w:cs="Arial" w:eastAsia="宋体" w:hAnsi="Arial" w:hint="eastAsia"/>
          <w:bCs/>
          <w:sz w:val="22"/>
        </w:rPr>
        <w:t>省</w:t>
      </w:r>
      <w:r>
        <w:rPr>
          <w:rFonts w:ascii="Arial" w:cs="Arial" w:eastAsia="宋体" w:hAnsi="Arial"/>
          <w:bCs/>
          <w:sz w:val="22"/>
        </w:rPr>
        <w:t>分期实施乡村振兴战略规划，</w:t>
      </w:r>
      <w:r>
        <w:rPr>
          <w:rFonts w:ascii="Arial" w:cs="Arial" w:eastAsia="宋体" w:hAnsi="Arial"/>
          <w:bCs/>
          <w:sz w:val="22"/>
          <w:szCs w:val="24"/>
        </w:rPr>
        <w:t>以促进广西和贵州选点地区的环境可持续农业和农村基础设施发展</w:t>
      </w:r>
      <w:r>
        <w:rPr>
          <w:rFonts w:ascii="Arial" w:cs="Arial" w:eastAsia="宋体" w:hAnsi="Arial"/>
          <w:bCs/>
          <w:sz w:val="22"/>
        </w:rPr>
        <w:t>。</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 xml:space="preserve">本次编制环境与社会管理系统评价 </w:t>
      </w:r>
      <w:r>
        <w:rPr>
          <w:rFonts w:ascii="Arial" w:cs="Arial" w:eastAsia="宋体" w:hAnsi="Arial"/>
          <w:bCs/>
          <w:sz w:val="22"/>
          <w:szCs w:val="24"/>
        </w:rPr>
        <w:t>(ESSA，以下简称本报告)，</w:t>
      </w:r>
      <w:r>
        <w:rPr>
          <w:rFonts w:ascii="Arial" w:cs="Arial" w:eastAsia="宋体" w:hAnsi="Arial"/>
          <w:sz w:val="22"/>
          <w:szCs w:val="24"/>
        </w:rPr>
        <w:t>是为了形成一份管理工具，用于指导本项目采用国家和地方环境与社会框架来管理项目的环境与社会风险和影响。</w:t>
      </w:r>
      <w:r>
        <w:rPr>
          <w:rFonts w:ascii="Arial" w:cs="Arial" w:eastAsia="宋体" w:hAnsi="Arial"/>
          <w:bCs/>
          <w:sz w:val="22"/>
          <w:szCs w:val="24"/>
        </w:rPr>
        <w:t>本报告</w:t>
      </w:r>
      <w:r>
        <w:rPr>
          <w:rFonts w:ascii="Arial" w:cs="Arial" w:eastAsia="宋体" w:hAnsi="Arial"/>
          <w:sz w:val="22"/>
          <w:szCs w:val="24"/>
        </w:rPr>
        <w:t>全面梳理了国家和地方相关的环境与社会安全保障体系和程序，评价其与世行PforR政策核心原则和要求的符合性，并针对评价过程中识别的问题，提出弥补差距的行动要求和改进实施效果的建议措施。本次评价的主要任务概括如下：</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评价本项目活动潜在的环境与社会影响和风险；</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评价适用于本项目的国家和地方环境与社会安全保障的相关政策法律框架；</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针对本项目活动，评价省和地方相关的环境与社会安全保障体系的管理和实施程序；</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评价本项目实施中参与环境与社会影响管理各相关部门的机构能力和绩效；</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提出行动建议，按照国家要求和世行</w:t>
      </w:r>
      <w:r>
        <w:rPr>
          <w:rFonts w:ascii="Arial" w:cs="Arial" w:eastAsia="宋体" w:hAnsi="Arial"/>
          <w:sz w:val="22"/>
          <w:szCs w:val="24"/>
        </w:rPr>
        <w:t>PforR</w:t>
      </w:r>
      <w:r>
        <w:rPr>
          <w:rFonts w:ascii="Arial" w:cs="Arial" w:eastAsia="宋体" w:hAnsi="Arial"/>
          <w:bCs/>
          <w:sz w:val="22"/>
        </w:rPr>
        <w:t>核心原则提高环境与社会管理体系的绩效水平。</w:t>
      </w:r>
    </w:p>
    <w:bookmarkStart w:id="8" w:name="_Toc93944794"/>
    <w:bookmarkStart w:id="9" w:name="_Toc79939242"/>
    <w:p>
      <w:pPr>
        <w:pStyle w:val="style2"/>
        <w:numPr>
          <w:ilvl w:val="1"/>
          <w:numId w:val="5"/>
        </w:numPr>
        <w:ind w:left="851" w:hanging="851"/>
        <w:rPr>
          <w:color w:val="1f4e79"/>
          <w:sz w:val="24"/>
          <w:szCs w:val="24"/>
        </w:rPr>
      </w:pPr>
      <w:r>
        <w:rPr>
          <w:color w:val="1f4e79"/>
          <w:sz w:val="24"/>
          <w:szCs w:val="24"/>
        </w:rPr>
        <w:t>评价方法</w:t>
      </w:r>
      <w:bookmarkEnd w:id="6"/>
      <w:bookmarkEnd w:id="7"/>
      <w:bookmarkEnd w:id="8"/>
      <w:bookmarkEnd w:id="9"/>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环境与社会管理系统评价是根据世行PfoR政策和导则，对项目拟支持的政府规划、规划中计划实施的活动、潜在的环境与社会影响和风险、国家和地方管理相关影响和风险的系统进行分析</w:t>
      </w:r>
      <w:r>
        <w:rPr>
          <w:rFonts w:ascii="Arial" w:cs="Arial" w:eastAsia="宋体" w:hAnsi="Arial" w:hint="eastAsia"/>
          <w:sz w:val="22"/>
          <w:szCs w:val="24"/>
        </w:rPr>
        <w:t>和</w:t>
      </w:r>
      <w:r>
        <w:rPr>
          <w:rFonts w:ascii="Arial" w:cs="Arial" w:eastAsia="宋体" w:hAnsi="Arial"/>
          <w:sz w:val="22"/>
          <w:szCs w:val="24"/>
        </w:rPr>
        <w:t>评价，识别现行管理体系与世行PforR政策和导则存在的差距，并提出行动建议。对国家和地方的体系进行评价的方法是，首先识别有关项目活动的潜在环境与社会影响，以及与之对应的国内管理体系，和世行PforR政策对应的原则要求</w:t>
      </w:r>
      <w:r>
        <w:rPr>
          <w:rFonts w:ascii="Arial" w:cs="Arial" w:eastAsia="宋体" w:hAnsi="Arial" w:hint="eastAsia"/>
          <w:sz w:val="22"/>
          <w:szCs w:val="24"/>
        </w:rPr>
        <w:t>；</w:t>
      </w:r>
      <w:r>
        <w:rPr>
          <w:rFonts w:ascii="Arial" w:cs="Arial" w:eastAsia="宋体" w:hAnsi="Arial"/>
          <w:sz w:val="22"/>
          <w:szCs w:val="24"/>
        </w:rPr>
        <w:t>其次将政策法规和管理机构的设置、运行管理、能力评估作为国内管理体系评价的主要内容</w:t>
      </w:r>
      <w:r>
        <w:rPr>
          <w:rFonts w:ascii="Arial" w:cs="Arial" w:eastAsia="宋体" w:hAnsi="Arial" w:hint="eastAsia"/>
          <w:sz w:val="22"/>
          <w:szCs w:val="24"/>
        </w:rPr>
        <w:t>；</w:t>
      </w:r>
      <w:r>
        <w:rPr>
          <w:rFonts w:ascii="Arial" w:cs="Arial" w:eastAsia="宋体" w:hAnsi="Arial"/>
          <w:sz w:val="22"/>
          <w:szCs w:val="24"/>
        </w:rPr>
        <w:t>第三则是通过对样本县已实施或正在实施的类似项目进行调查，评价相关政策法规的履行情况、机构管理能力、公众的满意度。选择项目县时考虑了具有地理代表性（每个市/州至少涵盖一个县）、农药和化肥使用量大、畜禽粪污产生量大、农用塑料使用量大、固体废物管理设施不足、污水管理设施不足、至少包含一个少数民族</w:t>
      </w:r>
      <w:r>
        <w:rPr>
          <w:rFonts w:ascii="Arial" w:cs="Arial" w:eastAsia="宋体" w:hAnsi="Arial" w:hint="eastAsia"/>
          <w:sz w:val="22"/>
          <w:szCs w:val="24"/>
        </w:rPr>
        <w:t>自治</w:t>
      </w:r>
      <w:r>
        <w:rPr>
          <w:rFonts w:ascii="Arial" w:cs="Arial" w:eastAsia="宋体" w:hAnsi="Arial"/>
          <w:sz w:val="22"/>
          <w:szCs w:val="24"/>
        </w:rPr>
        <w:t>州等条件。</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为确保本次评价的顺利进行，世行团队从项目准备初期就与相关政府、机构和企业开展了协商与沟通，</w:t>
      </w:r>
      <w:r>
        <w:rPr>
          <w:rFonts w:ascii="Arial" w:cs="Arial" w:eastAsia="宋体" w:hAnsi="Arial"/>
          <w:bCs/>
          <w:sz w:val="22"/>
          <w:szCs w:val="24"/>
        </w:rPr>
        <w:t>并通过会议、</w:t>
      </w:r>
      <w:r>
        <w:rPr>
          <w:rFonts w:ascii="Arial" w:cs="Arial" w:eastAsia="宋体" w:hAnsi="Arial"/>
          <w:sz w:val="22"/>
          <w:szCs w:val="24"/>
        </w:rPr>
        <w:t>现场查勘、走访、文献查询等方式进行资料收集，据此开展评价和报告编写。在本报告准备过程中主要采用了以下方式进行资料收集、咨询协商：</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第二手资料收集与分析：</w:t>
      </w:r>
      <w:r>
        <w:rPr>
          <w:rFonts w:ascii="Arial" w:cs="Arial" w:eastAsia="宋体" w:hAnsi="Arial"/>
          <w:sz w:val="22"/>
          <w:szCs w:val="24"/>
        </w:rPr>
        <w:t>尽量收集和利用二手资料，例如省级和样本县提供的资料、世行近年来其它类似项目资料、网络上公开资料、相关文献，以及国内在环境与社会安全保障方面的法律、法规、政策、标准、规范、规划、方案等资料；</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第一手资料收集与分析：</w:t>
      </w:r>
      <w:r>
        <w:rPr>
          <w:rFonts w:ascii="Arial" w:cs="Arial" w:eastAsia="宋体" w:hAnsi="Arial"/>
          <w:sz w:val="22"/>
          <w:szCs w:val="24"/>
        </w:rPr>
        <w:t>多方式收集和利用一手数据资料，分别于2021年11月和12</w:t>
      </w:r>
      <w:r>
        <w:rPr>
          <w:rFonts w:ascii="Arial" w:cs="Arial" w:eastAsia="宋体" w:hAnsi="Arial"/>
          <w:bCs/>
          <w:sz w:val="22"/>
        </w:rPr>
        <w:t>月对广西贵州两省的省级和样本县相关行业主管部门进行了现场会议、走访或视频座谈</w:t>
      </w:r>
      <w:r>
        <w:rPr>
          <w:rFonts w:ascii="Arial" w:cs="Arial" w:eastAsia="宋体" w:hAnsi="Arial"/>
          <w:sz w:val="22"/>
          <w:szCs w:val="24"/>
        </w:rPr>
        <w:t>，并对样本县典型活动或项目进行现场查勘，了解环境与社会管理体系的部门分工和实施效果。</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全过程利益相关方咨询：</w:t>
      </w:r>
      <w:r>
        <w:rPr>
          <w:rFonts w:ascii="Arial" w:cs="Arial" w:eastAsia="宋体" w:hAnsi="Arial"/>
          <w:sz w:val="22"/>
          <w:szCs w:val="24"/>
        </w:rPr>
        <w:t>从世行初期进行项目省识别和培训开始，到本报告开始准备，直至报告完稿，</w:t>
      </w:r>
      <w:r>
        <w:rPr>
          <w:rFonts w:ascii="Arial" w:cs="Arial" w:eastAsia="宋体" w:hAnsi="Arial"/>
          <w:bCs/>
          <w:sz w:val="22"/>
        </w:rPr>
        <w:t>评价团队全程参与</w:t>
      </w:r>
      <w:r>
        <w:rPr>
          <w:rFonts w:ascii="Arial" w:cs="Arial" w:eastAsia="宋体" w:hAnsi="Arial"/>
          <w:sz w:val="22"/>
          <w:szCs w:val="24"/>
        </w:rPr>
        <w:t>，并在每个阶段与项目相关方保持沟通。在本报告准备过程中，评价团队对项目涉及环境与社会管理的省级和样本区县政府部门进行了访谈，并与样本地区可能受影响的农村社区领导及居民代表、妇女代表、贫困人口代表和少数民族代表等开展了咨询。咨询形式包括面对面的会议、访谈，以及视频会议。</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环境与社会系统评价报告的协商：</w:t>
      </w:r>
      <w:r>
        <w:rPr>
          <w:rFonts w:ascii="Arial" w:cs="Arial" w:eastAsia="宋体" w:hAnsi="Arial"/>
          <w:sz w:val="22"/>
          <w:szCs w:val="24"/>
        </w:rPr>
        <w:t>2022</w:t>
      </w:r>
      <w:r>
        <w:rPr>
          <w:rFonts w:ascii="Arial" w:cs="Arial" w:eastAsia="宋体" w:hAnsi="Arial" w:hint="eastAsia"/>
          <w:sz w:val="22"/>
          <w:szCs w:val="24"/>
        </w:rPr>
        <w:t>年</w:t>
      </w:r>
      <w:r>
        <w:rPr>
          <w:rFonts w:ascii="Arial" w:cs="Arial" w:eastAsia="宋体" w:hAnsi="Arial"/>
          <w:sz w:val="22"/>
          <w:szCs w:val="24"/>
        </w:rPr>
        <w:t>1月份就本报告与广西和</w:t>
      </w:r>
      <w:bookmarkStart w:id="10" w:name="OLE_LINK1"/>
      <w:bookmarkStart w:id="11" w:name="OLE_LINK2"/>
      <w:r>
        <w:rPr>
          <w:rFonts w:ascii="Arial" w:cs="Arial" w:eastAsia="宋体" w:hAnsi="Arial"/>
          <w:sz w:val="22"/>
          <w:szCs w:val="24"/>
        </w:rPr>
        <w:t>贵州</w:t>
      </w:r>
      <w:bookmarkEnd w:id="10"/>
      <w:bookmarkEnd w:id="11"/>
      <w:r>
        <w:rPr>
          <w:rFonts w:ascii="Arial" w:cs="Arial" w:eastAsia="宋体" w:hAnsi="Arial"/>
          <w:sz w:val="22"/>
          <w:szCs w:val="24"/>
        </w:rPr>
        <w:t>省级和县级相关政府部门进行了磋商。报告第一版初稿发给了两省所有相关省级部门和28个项目</w:t>
      </w:r>
      <w:r>
        <w:rPr>
          <w:rFonts w:ascii="Arial" w:cs="Arial" w:eastAsia="宋体" w:hAnsi="Arial"/>
          <w:bCs/>
          <w:sz w:val="22"/>
        </w:rPr>
        <w:t>县的所有相关县级部门，并获得了书面反馈意见。同时分别与两省省级和县级部门召开了</w:t>
      </w:r>
      <w:r>
        <w:rPr>
          <w:rFonts w:ascii="Arial" w:cs="Arial" w:eastAsia="宋体" w:hAnsi="Arial"/>
          <w:sz w:val="22"/>
          <w:szCs w:val="24"/>
        </w:rPr>
        <w:t>在线磋商会议。获得的反馈意见已反映在本报告中。资料收集活动、公众协商情况详见</w:t>
      </w:r>
      <w:r>
        <w:rPr>
          <w:rFonts w:ascii="Arial" w:cs="Arial" w:eastAsia="宋体" w:hAnsi="Arial"/>
          <w:b/>
          <w:bCs/>
          <w:sz w:val="22"/>
          <w:szCs w:val="24"/>
        </w:rPr>
        <w:t>附件5</w:t>
      </w:r>
      <w:r>
        <w:rPr>
          <w:rFonts w:ascii="Arial" w:cs="Arial" w:eastAsia="宋体" w:hAnsi="Arial"/>
          <w:sz w:val="22"/>
          <w:szCs w:val="24"/>
        </w:rPr>
        <w:t>。</w:t>
      </w:r>
    </w:p>
    <w:p>
      <w:pPr>
        <w:pStyle w:val="style179"/>
        <w:snapToGrid w:val="false"/>
        <w:ind w:left="851" w:firstLine="0" w:firstLineChars="0"/>
        <w:rPr>
          <w:rFonts w:ascii="Arial" w:cs="Arial" w:eastAsia="宋体" w:hAnsi="Arial"/>
          <w:sz w:val="22"/>
          <w:szCs w:val="24"/>
        </w:rPr>
      </w:pPr>
    </w:p>
    <w:bookmarkStart w:id="12" w:name="_Toc93944795"/>
    <w:bookmarkStart w:id="13" w:name="_Toc79939243"/>
    <w:p>
      <w:pPr>
        <w:pStyle w:val="style2"/>
        <w:numPr>
          <w:ilvl w:val="1"/>
          <w:numId w:val="5"/>
        </w:numPr>
        <w:ind w:left="851" w:hanging="851"/>
        <w:rPr>
          <w:color w:val="1f4e79"/>
          <w:sz w:val="24"/>
          <w:szCs w:val="24"/>
        </w:rPr>
      </w:pPr>
      <w:r>
        <w:rPr>
          <w:color w:val="1f4e79"/>
          <w:sz w:val="24"/>
          <w:szCs w:val="24"/>
        </w:rPr>
        <w:t>项目描述</w:t>
      </w:r>
      <w:bookmarkEnd w:id="12"/>
      <w:bookmarkEnd w:id="13"/>
    </w:p>
    <w:bookmarkStart w:id="14" w:name="_Toc91572726"/>
    <w:bookmarkStart w:id="15" w:name="_Toc77947844"/>
    <w:bookmarkStart w:id="16" w:name="_Toc65437512"/>
    <w:bookmarkStart w:id="17" w:name="_Toc77866188"/>
    <w:bookmarkStart w:id="18" w:name="_Toc77355860"/>
    <w:bookmarkStart w:id="19" w:name="_Toc76050606"/>
    <w:bookmarkStart w:id="20" w:name="_Toc66694826"/>
    <w:bookmarkStart w:id="21" w:name="_Toc77355629"/>
    <w:bookmarkStart w:id="22" w:name="_Toc77628967"/>
    <w:bookmarkStart w:id="23" w:name="_Toc77620708"/>
    <w:bookmarkStart w:id="24" w:name="_Toc77864020"/>
    <w:bookmarkStart w:id="25" w:name="_Toc77834825"/>
    <w:bookmarkStart w:id="26" w:name="_Toc77867873"/>
    <w:bookmarkStart w:id="27" w:name="_Toc77867275"/>
    <w:bookmarkStart w:id="28" w:name="_Toc77834778"/>
    <w:bookmarkStart w:id="29" w:name="_Toc77947587"/>
    <w:bookmarkStart w:id="30" w:name="_Toc77947531"/>
    <w:bookmarkStart w:id="31" w:name="_Toc77947794"/>
    <w:bookmarkStart w:id="32" w:name="_Toc89703104"/>
    <w:bookmarkStart w:id="33" w:name="_Toc88858561"/>
    <w:bookmarkStart w:id="34" w:name="_Toc79736421"/>
    <w:bookmarkStart w:id="35" w:name="_Toc78301169"/>
    <w:bookmarkStart w:id="36" w:name="_Toc77948050"/>
    <w:bookmarkStart w:id="37" w:name="_Toc77947988"/>
    <w:bookmarkStart w:id="38" w:name="_Toc77948525"/>
    <w:bookmarkStart w:id="39" w:name="_Toc79402171"/>
    <w:bookmarkStart w:id="40" w:name="_Toc79141942"/>
    <w:bookmarkStart w:id="41" w:name="_Toc79402218"/>
    <w:bookmarkStart w:id="42" w:name="_Toc88857473"/>
    <w:bookmarkStart w:id="43" w:name="_Toc79939244"/>
    <w:bookmarkStart w:id="44" w:name="_Toc79736556"/>
    <w:bookmarkStart w:id="45" w:name="_Toc88842023"/>
    <w:bookmarkStart w:id="46" w:name="_Toc88858327"/>
    <w:bookmarkStart w:id="47" w:name="_Toc88857553"/>
    <w:bookmarkStart w:id="48" w:name="_Toc88858417"/>
    <w:bookmarkStart w:id="49" w:name="_Toc88862088"/>
    <w:bookmarkStart w:id="50" w:name="_Toc88859486"/>
    <w:bookmarkStart w:id="51" w:name="_Toc88858759"/>
    <w:bookmarkStart w:id="52" w:name="_Toc88858648"/>
    <w:bookmarkStart w:id="53" w:name="_Toc88858812"/>
    <w:bookmarkStart w:id="54" w:name="_Toc88861913"/>
    <w:bookmarkStart w:id="55" w:name="_Toc88860743"/>
    <w:bookmarkStart w:id="56" w:name="_Toc88861966"/>
    <w:bookmarkStart w:id="57" w:name="_Toc89241931"/>
    <w:bookmarkStart w:id="58" w:name="_Toc89155492"/>
    <w:bookmarkStart w:id="59" w:name="_Toc89016096"/>
    <w:bookmarkStart w:id="60" w:name="_Toc89155567"/>
    <w:bookmarkStart w:id="61" w:name="_Toc89425485"/>
    <w:bookmarkStart w:id="62" w:name="_Toc89421574"/>
    <w:bookmarkStart w:id="63" w:name="_Toc89703034"/>
    <w:bookmarkStart w:id="64" w:name="_Toc90414814"/>
    <w:bookmarkStart w:id="65" w:name="_Toc90180654"/>
    <w:bookmarkStart w:id="66" w:name="_Toc90173904"/>
    <w:bookmarkStart w:id="67" w:name="_Toc90169496"/>
    <w:bookmarkStart w:id="68" w:name="_Toc90169400"/>
    <w:bookmarkStart w:id="69" w:name="_Toc90173627"/>
    <w:bookmarkStart w:id="70" w:name="_Toc90174133"/>
    <w:bookmarkStart w:id="71" w:name="_Toc90174081"/>
    <w:bookmarkStart w:id="72" w:name="_Toc90176448"/>
    <w:bookmarkStart w:id="73" w:name="_Toc90331880"/>
    <w:bookmarkStart w:id="74" w:name="_Toc90216888"/>
    <w:bookmarkStart w:id="75" w:name="_Toc90181091"/>
    <w:bookmarkStart w:id="76" w:name="_Toc90310577"/>
    <w:bookmarkStart w:id="77" w:name="_Toc90332292"/>
    <w:bookmarkStart w:id="78" w:name="_Toc90332036"/>
    <w:bookmarkStart w:id="79" w:name="_Toc90334666"/>
    <w:bookmarkStart w:id="80" w:name="_Toc90855459"/>
    <w:bookmarkStart w:id="81" w:name="_Toc90590516"/>
    <w:bookmarkStart w:id="82" w:name="_Toc90551044"/>
    <w:bookmarkStart w:id="83" w:name="_Toc90550973"/>
    <w:bookmarkStart w:id="84" w:name="_Toc90551164"/>
    <w:bookmarkStart w:id="85" w:name="_Toc90711505"/>
    <w:bookmarkStart w:id="86" w:name="_Toc90590561"/>
    <w:bookmarkStart w:id="87" w:name="_Toc90840411"/>
    <w:bookmarkStart w:id="88" w:name="_Toc90904778"/>
    <w:bookmarkStart w:id="89" w:name="_Toc90855744"/>
    <w:bookmarkStart w:id="90" w:name="_Toc90855525"/>
    <w:bookmarkStart w:id="91" w:name="_Toc90856361"/>
    <w:bookmarkStart w:id="92" w:name="_Toc91190244"/>
    <w:bookmarkStart w:id="93" w:name="_Toc90905764"/>
    <w:bookmarkStart w:id="94" w:name="_Toc91572658"/>
    <w:bookmarkStart w:id="95" w:name="_Toc92803948"/>
    <w:bookmarkStart w:id="96" w:name="_Toc91573005"/>
    <w:bookmarkStart w:id="97" w:name="_Toc91572873"/>
    <w:bookmarkStart w:id="98" w:name="_Toc91572807"/>
    <w:bookmarkStart w:id="99" w:name="_Toc91572939"/>
    <w:bookmarkStart w:id="100" w:name="_Toc92267116"/>
    <w:bookmarkStart w:id="101" w:name="_Toc91573137"/>
    <w:bookmarkStart w:id="102" w:name="_Toc92726965"/>
    <w:bookmarkStart w:id="103" w:name="_Toc9394479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Pr>
        <w:pStyle w:val="style179"/>
        <w:keepNext/>
        <w:keepLines/>
        <w:numPr>
          <w:ilvl w:val="0"/>
          <w:numId w:val="8"/>
        </w:numPr>
        <w:snapToGrid w:val="false"/>
        <w:ind w:firstLineChars="0"/>
        <w:outlineLvl w:val="1"/>
        <w:rPr>
          <w:rFonts w:ascii="Arial" w:cs="Arial" w:eastAsia="宋体" w:hAnsi="Arial"/>
          <w:b/>
          <w:bCs/>
          <w:vanish/>
          <w:sz w:val="22"/>
          <w:szCs w:val="24"/>
        </w:rPr>
      </w:pPr>
    </w:p>
    <w:p>
      <w:pPr>
        <w:pStyle w:val="style179"/>
        <w:adjustRightInd w:val="false"/>
        <w:snapToGrid w:val="false"/>
        <w:ind w:firstLine="0" w:firstLineChars="0"/>
        <w:rPr>
          <w:rFonts w:ascii="Arial" w:cs="Arial" w:eastAsia="宋体" w:hAnsi="Arial"/>
          <w:b/>
          <w:bCs/>
          <w:color w:val="1f4e79"/>
          <w:sz w:val="22"/>
          <w:szCs w:val="24"/>
        </w:rPr>
      </w:pPr>
      <w:r>
        <w:rPr>
          <w:rFonts w:ascii="Arial" w:cs="Arial" w:eastAsia="宋体" w:hAnsi="Arial"/>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政府规划</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color w:val="000000"/>
          <w:sz w:val="22"/>
          <w:szCs w:val="24"/>
        </w:rPr>
        <w:tab/>
      </w:r>
      <w:r>
        <w:rPr>
          <w:rFonts w:ascii="Arial" w:cs="Arial" w:eastAsia="宋体" w:hAnsi="Arial"/>
          <w:color w:val="000000"/>
          <w:sz w:val="22"/>
          <w:szCs w:val="24"/>
        </w:rPr>
        <w:t>自2017年以来，中国政府实施了雄心勃勃的乡村振兴计划（2018-2035），按五年一个阶段来实施，主要目标是可持续地增加农村收入、强化农村基础设施和公共服务、改善农村地区生活环境。国家乡村振兴计划通过阶段性的乡村振兴战略规划进行实施。第一阶段（2018-2022年）的乡村振兴战略规划提出了七个绿色农业发展领域和六个农村基础设施及公共服务领域（详情见</w:t>
      </w:r>
      <w:r>
        <w:rPr>
          <w:rFonts w:ascii="Arial" w:cs="Arial" w:eastAsia="宋体" w:hAnsi="Arial"/>
          <w:b/>
          <w:bCs/>
          <w:color w:val="000000"/>
          <w:sz w:val="22"/>
          <w:szCs w:val="24"/>
        </w:rPr>
        <w:t>附件1</w:t>
      </w:r>
      <w:r>
        <w:rPr>
          <w:rFonts w:ascii="Arial" w:cs="Arial" w:eastAsia="宋体" w:hAnsi="Arial"/>
          <w:color w:val="000000"/>
          <w:sz w:val="22"/>
          <w:szCs w:val="24"/>
        </w:rPr>
        <w:t>）。这些乡村振兴战略规划已在全国范围内实施，并已纳入“十四五计划”（2021-2025）中。选定的广西和贵州已经分别制定了各自的省级和县级乡村振兴战略规划，具有明确的发展基线、目标和融资计划。各省乡村振兴战略规划都考虑了现有的农业生态环境条件、经济发展水平、可用的财政预算以及农业和农村发展优先项目等。</w:t>
      </w:r>
    </w:p>
    <w:p>
      <w:pPr>
        <w:pStyle w:val="style179"/>
        <w:adjustRightInd w:val="false"/>
        <w:snapToGrid w:val="false"/>
        <w:ind w:firstLine="0" w:firstLineChars="0"/>
        <w:rPr>
          <w:rFonts w:ascii="Arial" w:cs="Arial" w:eastAsia="宋体" w:hAnsi="Arial"/>
          <w:b/>
          <w:bCs/>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P</w:t>
      </w:r>
      <w:r>
        <w:rPr>
          <w:rFonts w:ascii="Arial" w:cs="Arial" w:eastAsia="宋体" w:hAnsi="Arial"/>
          <w:b/>
          <w:bCs/>
          <w:color w:val="1f4e79"/>
          <w:sz w:val="22"/>
          <w:szCs w:val="24"/>
          <w:lang w:val="en-GB"/>
        </w:rPr>
        <w:t>forR</w:t>
      </w:r>
      <w:r>
        <w:rPr>
          <w:rFonts w:ascii="Arial" w:cs="Arial" w:eastAsia="宋体" w:hAnsi="Arial"/>
          <w:b/>
          <w:bCs/>
          <w:color w:val="1f4e79"/>
          <w:sz w:val="22"/>
          <w:szCs w:val="24"/>
        </w:rPr>
        <w:t>范围</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color w:val="000000"/>
          <w:sz w:val="22"/>
          <w:szCs w:val="24"/>
        </w:rPr>
        <w:tab/>
      </w:r>
      <w:r>
        <w:rPr>
          <w:rFonts w:ascii="Arial" w:cs="Arial" w:eastAsia="宋体" w:hAnsi="Arial"/>
          <w:color w:val="000000"/>
          <w:sz w:val="22"/>
          <w:szCs w:val="24"/>
        </w:rPr>
        <w:t>本项目旨在支持广西和贵州乡村振兴战略规划下13个发展领域中的4个绿色农业发展领域和1个农村基础设施及公共服务领域。两省“十四五”期间实施13个领域规划活动的政府预算约为50亿美元，而世行将在2023年至2028年的六年期间为其中5个领域提供总额为3.2亿美元的贷款。广西将获得1.5亿美元贷款，贵州将获得1.7亿美元贷款</w:t>
      </w:r>
      <w:r>
        <w:rPr>
          <w:rFonts w:ascii="Arial" w:cs="Arial" w:eastAsia="宋体" w:hAnsi="Arial"/>
          <w:color w:val="000000"/>
          <w:sz w:val="22"/>
          <w:szCs w:val="24"/>
          <w:lang w:val="en-GB"/>
        </w:rPr>
        <w:t>。</w:t>
      </w:r>
    </w:p>
    <w:p>
      <w:pPr>
        <w:pStyle w:val="style179"/>
        <w:numPr>
          <w:ilvl w:val="0"/>
          <w:numId w:val="6"/>
        </w:numPr>
        <w:adjustRightInd w:val="false"/>
        <w:snapToGrid w:val="false"/>
        <w:spacing w:before="120" w:after="120"/>
        <w:ind w:left="0" w:firstLine="0" w:firstLineChars="0"/>
        <w:rPr>
          <w:rFonts w:ascii="Arial" w:cs="Arial" w:eastAsia="宋体" w:hAnsi="Arial"/>
          <w:bCs/>
          <w:color w:val="000000"/>
          <w:sz w:val="22"/>
          <w:szCs w:val="24"/>
        </w:rPr>
      </w:pPr>
      <w:r>
        <w:rPr>
          <w:rFonts w:ascii="Arial" w:cs="Arial" w:eastAsia="宋体" w:hAnsi="Arial"/>
          <w:bCs/>
          <w:color w:val="000000"/>
          <w:sz w:val="22"/>
          <w:szCs w:val="24"/>
        </w:rPr>
        <w:tab/>
      </w:r>
      <w:r>
        <w:rPr>
          <w:rFonts w:ascii="Arial" w:cs="Arial" w:eastAsia="宋体" w:hAnsi="Arial"/>
          <w:bCs/>
          <w:color w:val="000000"/>
          <w:sz w:val="22"/>
          <w:szCs w:val="24"/>
        </w:rPr>
        <w:t>政府乡村振兴规划中的这5个发展领域符合本项目PforR结果领域（RAs），因为它们的目的是：(a) 加强机构管理能力，从而提高实施乡村振兴规划的有效性；(b) 通过促进环境友好型农业实践来增加农村收入，从而促进温室气体减排和点源及面源污染防治；(c) 强化农村基础设施和公共服务，从而改善农村地区生活条件。不满足这些目标的活动将不被纳入本项目PforR中。</w:t>
      </w:r>
    </w:p>
    <w:p>
      <w:pPr>
        <w:pStyle w:val="style179"/>
        <w:numPr>
          <w:ilvl w:val="0"/>
          <w:numId w:val="6"/>
        </w:numPr>
        <w:adjustRightInd w:val="false"/>
        <w:snapToGrid w:val="false"/>
        <w:spacing w:before="120" w:after="120"/>
        <w:ind w:left="0" w:firstLine="0" w:firstLineChars="0"/>
        <w:rPr>
          <w:rFonts w:ascii="Arial" w:cs="Arial" w:eastAsia="宋体" w:hAnsi="Arial"/>
          <w:b/>
          <w:bCs/>
          <w:color w:val="1f4e79"/>
          <w:sz w:val="22"/>
        </w:rPr>
      </w:pPr>
      <w:r>
        <w:rPr>
          <w:rFonts w:ascii="Arial" w:cs="Arial" w:eastAsia="宋体" w:hAnsi="Arial"/>
          <w:bCs/>
          <w:color w:val="000000"/>
          <w:sz w:val="22"/>
          <w:szCs w:val="24"/>
        </w:rPr>
        <w:tab/>
      </w:r>
      <w:r>
        <w:rPr>
          <w:rFonts w:ascii="Arial" w:cs="Arial" w:eastAsia="宋体" w:hAnsi="Arial"/>
          <w:bCs/>
          <w:color w:val="000000"/>
          <w:sz w:val="22"/>
          <w:szCs w:val="24"/>
        </w:rPr>
        <w:t>本项目将在广西111个区县中的12个区县以及贵州86个区县中的</w:t>
      </w:r>
      <w:r>
        <w:rPr>
          <w:rFonts w:ascii="Arial" w:cs="Arial" w:eastAsia="宋体" w:hAnsi="Arial"/>
          <w:color w:val="000000"/>
          <w:sz w:val="22"/>
          <w:szCs w:val="24"/>
        </w:rPr>
        <w:t>15个</w:t>
      </w:r>
      <w:r>
        <w:rPr>
          <w:rFonts w:ascii="Arial" w:cs="Arial" w:eastAsia="宋体" w:hAnsi="Arial"/>
          <w:bCs/>
          <w:color w:val="000000"/>
          <w:sz w:val="22"/>
          <w:szCs w:val="24"/>
        </w:rPr>
        <w:t>区县开展。广西的项目区县包括平桂区、资源县、罗城县、天等县、融安县、兴宾区、忻城县、田东县、博白县、宜州区、马山县、钟山县。贵州的项目区县包括碧江区、</w:t>
      </w:r>
      <w:r>
        <w:rPr>
          <w:rFonts w:ascii="Arial" w:cs="Arial" w:eastAsia="宋体" w:hAnsi="Arial"/>
          <w:color w:val="000000"/>
          <w:sz w:val="22"/>
          <w:szCs w:val="24"/>
        </w:rPr>
        <w:t>思南县、印江县、松桃县、</w:t>
      </w:r>
      <w:r>
        <w:rPr>
          <w:rFonts w:ascii="Arial" w:cs="Arial" w:eastAsia="宋体" w:hAnsi="Arial"/>
          <w:bCs/>
          <w:color w:val="000000"/>
          <w:sz w:val="22"/>
          <w:szCs w:val="24"/>
        </w:rPr>
        <w:t>锦屏县、</w:t>
      </w:r>
      <w:r>
        <w:rPr>
          <w:rFonts w:ascii="Arial" w:cs="Arial" w:eastAsia="宋体" w:hAnsi="Arial"/>
          <w:color w:val="000000"/>
          <w:sz w:val="22"/>
          <w:szCs w:val="24"/>
        </w:rPr>
        <w:t>施秉县</w:t>
      </w:r>
      <w:r>
        <w:rPr>
          <w:rFonts w:ascii="Arial" w:cs="Arial" w:eastAsia="宋体" w:hAnsi="Arial"/>
          <w:bCs/>
          <w:color w:val="000000"/>
          <w:sz w:val="22"/>
          <w:szCs w:val="24"/>
        </w:rPr>
        <w:t>、台江县</w:t>
      </w:r>
      <w:r>
        <w:rPr>
          <w:rFonts w:ascii="Arial" w:cs="Arial" w:eastAsia="宋体" w:hAnsi="Arial"/>
          <w:color w:val="000000"/>
          <w:sz w:val="22"/>
          <w:szCs w:val="24"/>
        </w:rPr>
        <w:t>、罗甸县、贵定县、三都县、荔波县、兴仁市、贞丰县、修文县、息烽县</w:t>
      </w:r>
      <w:r>
        <w:rPr>
          <w:rFonts w:ascii="Arial" w:cs="Arial" w:eastAsia="宋体" w:hAnsi="Arial"/>
          <w:bCs/>
          <w:color w:val="000000"/>
          <w:sz w:val="22"/>
          <w:szCs w:val="24"/>
        </w:rPr>
        <w:t>。</w:t>
      </w:r>
    </w:p>
    <w:p>
      <w:pPr>
        <w:pStyle w:val="style179"/>
        <w:numPr>
          <w:ilvl w:val="0"/>
          <w:numId w:val="6"/>
        </w:numPr>
        <w:adjustRightInd w:val="false"/>
        <w:snapToGrid w:val="false"/>
        <w:spacing w:before="120" w:after="120"/>
        <w:ind w:left="0" w:firstLine="0" w:firstLineChars="0"/>
        <w:rPr>
          <w:rFonts w:ascii="Arial" w:cs="Arial" w:eastAsia="宋体" w:hAnsi="Arial"/>
          <w:bCs/>
          <w:sz w:val="22"/>
          <w:szCs w:val="24"/>
        </w:rPr>
      </w:pPr>
      <w:r>
        <w:rPr>
          <w:rFonts w:ascii="Arial" w:cs="Arial" w:eastAsia="宋体" w:hAnsi="Arial"/>
          <w:bCs/>
          <w:sz w:val="22"/>
          <w:szCs w:val="24"/>
        </w:rPr>
        <w:tab/>
      </w:r>
      <w:r>
        <w:rPr>
          <w:rFonts w:ascii="Arial" w:cs="Arial" w:eastAsia="宋体" w:hAnsi="Arial"/>
          <w:bCs/>
          <w:sz w:val="22"/>
          <w:szCs w:val="24"/>
        </w:rPr>
        <w:t>本项目将支持广西和贵州两省的以下三个结果领域（RA</w:t>
      </w:r>
      <w:r>
        <w:rPr>
          <w:rFonts w:ascii="Arial" w:cs="Arial" w:eastAsia="宋体" w:hAnsi="Arial"/>
          <w:bCs/>
          <w:sz w:val="22"/>
          <w:szCs w:val="24"/>
          <w:lang w:val="en-GB"/>
        </w:rPr>
        <w:t>s</w:t>
      </w:r>
      <w:r>
        <w:rPr>
          <w:rFonts w:ascii="Arial" w:cs="Arial" w:eastAsia="宋体" w:hAnsi="Arial"/>
          <w:bCs/>
          <w:sz w:val="22"/>
          <w:szCs w:val="24"/>
        </w:rPr>
        <w:t>）：</w:t>
      </w:r>
    </w:p>
    <w:p>
      <w:pPr>
        <w:pStyle w:val="style179"/>
        <w:adjustRightInd w:val="false"/>
        <w:snapToGrid w:val="false"/>
        <w:ind w:left="851" w:firstLine="0" w:firstLineChars="0"/>
        <w:rPr>
          <w:rFonts w:ascii="Arial" w:cs="Arial" w:eastAsia="宋体" w:hAnsi="Arial"/>
          <w:sz w:val="22"/>
          <w:lang w:val="en-GB"/>
        </w:rPr>
      </w:pPr>
      <w:r>
        <w:rPr>
          <w:rFonts w:ascii="Arial" w:cs="Arial" w:eastAsia="宋体" w:hAnsi="Arial"/>
          <w:b/>
          <w:bCs/>
          <w:sz w:val="22"/>
        </w:rPr>
        <w:t>RA1</w:t>
      </w:r>
      <w:r>
        <w:rPr>
          <w:rFonts w:ascii="Arial" w:cs="Arial" w:eastAsia="宋体" w:hAnsi="Arial"/>
          <w:sz w:val="22"/>
        </w:rPr>
        <w:t xml:space="preserve"> - </w:t>
      </w:r>
      <w:r>
        <w:rPr>
          <w:rFonts w:ascii="Arial" w:cs="Arial" w:eastAsia="宋体" w:hAnsi="Arial"/>
          <w:b/>
          <w:bCs/>
          <w:color w:val="000000"/>
          <w:sz w:val="22"/>
        </w:rPr>
        <w:t>加强机构管理能力</w:t>
      </w:r>
      <w:r>
        <w:rPr>
          <w:rFonts w:ascii="Arial" w:cs="Arial" w:eastAsia="宋体" w:hAnsi="Arial"/>
          <w:sz w:val="22"/>
        </w:rPr>
        <w:t>：旨在建立项目管理</w:t>
      </w:r>
      <w:r>
        <w:rPr>
          <w:rFonts w:ascii="Arial" w:cs="Arial" w:eastAsia="宋体" w:hAnsi="Arial" w:hint="eastAsia"/>
          <w:sz w:val="22"/>
        </w:rPr>
        <w:t>及</w:t>
      </w:r>
      <w:r>
        <w:rPr>
          <w:rFonts w:ascii="Arial" w:cs="Arial" w:eastAsia="宋体" w:hAnsi="Arial"/>
          <w:sz w:val="22"/>
        </w:rPr>
        <w:t>培训和能力建设框架，以增强政府</w:t>
      </w:r>
      <w:r>
        <w:rPr>
          <w:rFonts w:ascii="Arial" w:cs="Arial" w:eastAsia="宋体" w:hAnsi="Arial" w:hint="eastAsia"/>
          <w:sz w:val="22"/>
        </w:rPr>
        <w:t>分期</w:t>
      </w:r>
      <w:r>
        <w:rPr>
          <w:rFonts w:ascii="Arial" w:cs="Arial" w:eastAsia="宋体" w:hAnsi="Arial"/>
          <w:sz w:val="22"/>
        </w:rPr>
        <w:t>实施乡村振兴计划的效</w:t>
      </w:r>
      <w:r>
        <w:rPr>
          <w:rFonts w:ascii="Arial" w:cs="Arial" w:eastAsia="宋体" w:hAnsi="Arial" w:hint="eastAsia"/>
          <w:sz w:val="22"/>
        </w:rPr>
        <w:t>果</w:t>
      </w:r>
      <w:r>
        <w:rPr>
          <w:rFonts w:ascii="Arial" w:cs="Arial" w:eastAsia="宋体" w:hAnsi="Arial"/>
          <w:sz w:val="22"/>
        </w:rPr>
        <w:t>。</w:t>
      </w:r>
    </w:p>
    <w:p>
      <w:pPr>
        <w:pStyle w:val="style179"/>
        <w:adjustRightInd w:val="false"/>
        <w:snapToGrid w:val="false"/>
        <w:ind w:left="851" w:firstLine="0" w:firstLineChars="0"/>
        <w:rPr>
          <w:rFonts w:ascii="Arial" w:cs="Arial" w:eastAsia="宋体" w:hAnsi="Arial"/>
          <w:sz w:val="22"/>
        </w:rPr>
      </w:pPr>
      <w:r>
        <w:rPr>
          <w:rFonts w:ascii="Arial" w:cs="Arial" w:eastAsia="宋体" w:hAnsi="Arial"/>
          <w:b/>
          <w:bCs/>
          <w:sz w:val="22"/>
        </w:rPr>
        <w:t>RA2</w:t>
      </w:r>
      <w:r>
        <w:rPr>
          <w:rFonts w:ascii="Arial" w:cs="Arial" w:eastAsia="宋体" w:hAnsi="Arial"/>
          <w:sz w:val="22"/>
        </w:rPr>
        <w:t xml:space="preserve"> - </w:t>
      </w:r>
      <w:r>
        <w:rPr>
          <w:rFonts w:ascii="Arial" w:cs="Arial" w:eastAsia="宋体" w:hAnsi="Arial"/>
          <w:b/>
          <w:bCs/>
          <w:color w:val="000000"/>
          <w:sz w:val="22"/>
        </w:rPr>
        <w:t>绿色农业全产业链发展</w:t>
      </w:r>
      <w:r>
        <w:rPr>
          <w:rFonts w:ascii="Arial" w:cs="Arial" w:eastAsia="宋体" w:hAnsi="Arial"/>
          <w:sz w:val="22"/>
        </w:rPr>
        <w:t>：旨在</w:t>
      </w:r>
      <w:r>
        <w:rPr>
          <w:rFonts w:ascii="Arial" w:cs="Arial" w:eastAsia="宋体" w:hAnsi="Arial" w:hint="eastAsia"/>
          <w:sz w:val="22"/>
        </w:rPr>
        <w:t>通过支持</w:t>
      </w:r>
      <w:r>
        <w:rPr>
          <w:rFonts w:ascii="Arial" w:cs="Arial" w:eastAsia="宋体" w:hAnsi="Arial"/>
          <w:sz w:val="22"/>
        </w:rPr>
        <w:t>环境友好型农业生产实践</w:t>
      </w:r>
      <w:r>
        <w:rPr>
          <w:rFonts w:ascii="Arial" w:cs="Arial" w:eastAsia="宋体" w:hAnsi="Arial" w:hint="eastAsia"/>
          <w:sz w:val="22"/>
        </w:rPr>
        <w:t>和增值活动，提</w:t>
      </w:r>
      <w:r>
        <w:rPr>
          <w:rFonts w:ascii="Arial" w:cs="Arial" w:eastAsia="宋体" w:hAnsi="Arial"/>
          <w:sz w:val="22"/>
        </w:rPr>
        <w:t>高农业和非农业收入</w:t>
      </w:r>
      <w:r>
        <w:rPr>
          <w:rFonts w:ascii="Arial" w:cs="Arial" w:eastAsia="宋体" w:hAnsi="Arial" w:hint="eastAsia"/>
          <w:sz w:val="22"/>
        </w:rPr>
        <w:t>，从而维持和巩固扶贫成果</w:t>
      </w:r>
      <w:r>
        <w:rPr>
          <w:rFonts w:ascii="Arial" w:cs="Arial" w:eastAsia="宋体" w:hAnsi="Arial"/>
          <w:sz w:val="22"/>
        </w:rPr>
        <w:t>。</w:t>
      </w:r>
    </w:p>
    <w:p>
      <w:pPr>
        <w:pStyle w:val="style179"/>
        <w:adjustRightInd w:val="false"/>
        <w:snapToGrid w:val="false"/>
        <w:ind w:left="851" w:firstLine="0" w:firstLineChars="0"/>
        <w:rPr>
          <w:rFonts w:ascii="Arial" w:cs="Arial" w:eastAsia="宋体" w:hAnsi="Arial"/>
          <w:sz w:val="22"/>
        </w:rPr>
      </w:pPr>
      <w:r>
        <w:rPr>
          <w:rFonts w:ascii="Arial" w:cs="Arial" w:eastAsia="宋体" w:hAnsi="Arial"/>
          <w:b/>
          <w:bCs/>
          <w:sz w:val="22"/>
        </w:rPr>
        <w:t>RA3</w:t>
      </w:r>
      <w:r>
        <w:rPr>
          <w:rFonts w:ascii="Arial" w:cs="Arial" w:eastAsia="宋体" w:hAnsi="Arial"/>
          <w:sz w:val="22"/>
        </w:rPr>
        <w:t xml:space="preserve"> - </w:t>
      </w:r>
      <w:r>
        <w:rPr>
          <w:rFonts w:ascii="Arial" w:cs="Arial" w:eastAsia="宋体" w:hAnsi="Arial"/>
          <w:b/>
          <w:bCs/>
          <w:color w:val="000000"/>
          <w:sz w:val="22"/>
        </w:rPr>
        <w:t>改善农村生活垃圾和生活污水服务</w:t>
      </w:r>
      <w:r>
        <w:rPr>
          <w:rFonts w:ascii="Arial" w:cs="Arial" w:eastAsia="宋体" w:hAnsi="Arial"/>
          <w:sz w:val="22"/>
        </w:rPr>
        <w:t>：旨在改善农村地区生活条件、</w:t>
      </w:r>
      <w:r>
        <w:rPr>
          <w:rFonts w:ascii="Arial" w:cs="Arial" w:eastAsia="宋体" w:hAnsi="Arial" w:hint="eastAsia"/>
          <w:sz w:val="22"/>
        </w:rPr>
        <w:t>减轻</w:t>
      </w:r>
      <w:r>
        <w:rPr>
          <w:rFonts w:ascii="Arial" w:cs="Arial" w:eastAsia="宋体" w:hAnsi="Arial"/>
          <w:sz w:val="22"/>
        </w:rPr>
        <w:t>点源和面源污染</w:t>
      </w:r>
      <w:r>
        <w:rPr>
          <w:rFonts w:ascii="Arial" w:cs="Arial" w:eastAsia="宋体" w:hAnsi="Arial" w:hint="eastAsia"/>
          <w:sz w:val="22"/>
        </w:rPr>
        <w:t>，为温室气体减排做贡献</w:t>
      </w:r>
      <w:r>
        <w:rPr>
          <w:rFonts w:ascii="Arial" w:cs="Arial" w:eastAsia="宋体" w:hAnsi="Arial"/>
          <w:sz w:val="22"/>
        </w:rPr>
        <w:t>。</w:t>
      </w:r>
    </w:p>
    <w:p>
      <w:pPr>
        <w:pStyle w:val="style179"/>
        <w:numPr>
          <w:ilvl w:val="0"/>
          <w:numId w:val="6"/>
        </w:numPr>
        <w:adjustRightInd w:val="false"/>
        <w:snapToGrid w:val="false"/>
        <w:spacing w:before="120" w:after="120"/>
        <w:ind w:left="0" w:firstLine="0" w:firstLineChars="0"/>
        <w:rPr>
          <w:rFonts w:ascii="Arial" w:cs="Arial" w:eastAsia="宋体" w:hAnsi="Arial"/>
          <w:bCs/>
          <w:sz w:val="22"/>
          <w:szCs w:val="24"/>
        </w:rPr>
      </w:pPr>
      <w:r>
        <w:rPr>
          <w:rFonts w:ascii="Arial" w:cs="Arial" w:eastAsia="宋体" w:hAnsi="Arial"/>
          <w:bCs/>
          <w:sz w:val="22"/>
          <w:szCs w:val="24"/>
        </w:rPr>
        <w:tab/>
      </w:r>
      <w:r>
        <w:rPr>
          <w:rFonts w:ascii="Arial" w:cs="Arial" w:eastAsia="宋体" w:hAnsi="Arial"/>
          <w:bCs/>
          <w:sz w:val="22"/>
          <w:szCs w:val="24"/>
        </w:rPr>
        <w:t>本项目典型活动和支付关联指标（DLIs）</w:t>
      </w:r>
      <w:r>
        <w:rPr>
          <w:rFonts w:ascii="Arial" w:cs="Arial" w:eastAsia="宋体" w:hAnsi="Arial"/>
          <w:sz w:val="22"/>
          <w:szCs w:val="24"/>
        </w:rPr>
        <w:t>如</w:t>
      </w:r>
      <w:r>
        <w:rPr>
          <w:rFonts w:ascii="Arial" w:cs="Arial" w:eastAsia="宋体" w:hAnsi="Arial"/>
        </w:rPr>
        <w:fldChar w:fldCharType="begin"/>
      </w:r>
      <w:r>
        <w:rPr>
          <w:rFonts w:ascii="Arial" w:cs="Arial" w:eastAsia="宋体" w:hAnsi="Arial"/>
        </w:rPr>
        <w:instrText xml:space="preserve"> REF _Ref77795555 \h  \* MERGEFORMAT </w:instrText>
      </w:r>
      <w:r>
        <w:rPr>
          <w:rFonts w:ascii="Arial" w:cs="Arial" w:eastAsia="宋体" w:hAnsi="Arial"/>
        </w:rPr>
        <w:fldChar w:fldCharType="separate"/>
      </w:r>
      <w:r>
        <w:rPr>
          <w:rFonts w:ascii="Arial" w:cs="Arial" w:eastAsia="宋体" w:hAnsi="Arial"/>
          <w:sz w:val="22"/>
          <w:szCs w:val="24"/>
        </w:rPr>
        <w:t>表</w:t>
      </w:r>
      <w:r>
        <w:rPr>
          <w:rFonts w:ascii="Arial" w:cs="Arial" w:eastAsia="宋体" w:hAnsi="Arial"/>
          <w:b/>
          <w:bCs/>
          <w:sz w:val="22"/>
          <w:szCs w:val="24"/>
        </w:rPr>
        <w:t>1</w:t>
      </w:r>
      <w:r>
        <w:rPr>
          <w:rFonts w:ascii="Arial" w:cs="Arial" w:eastAsia="宋体" w:hAnsi="Arial"/>
          <w:b/>
          <w:bCs/>
          <w:sz w:val="22"/>
          <w:szCs w:val="24"/>
        </w:rPr>
        <w:noBreakHyphen/>
      </w:r>
      <w:r>
        <w:rPr>
          <w:rFonts w:ascii="Arial" w:cs="Arial" w:eastAsia="宋体" w:hAnsi="Arial"/>
          <w:b/>
          <w:bCs/>
          <w:sz w:val="22"/>
          <w:szCs w:val="24"/>
        </w:rPr>
        <w:t>1</w:t>
      </w:r>
      <w:r>
        <w:rPr>
          <w:rFonts w:ascii="Arial" w:cs="Arial" w:eastAsia="宋体" w:hAnsi="Arial"/>
        </w:rPr>
        <w:fldChar w:fldCharType="end"/>
      </w:r>
      <w:r>
        <w:rPr>
          <w:rFonts w:ascii="Arial" w:cs="Arial" w:eastAsia="宋体" w:hAnsi="Arial"/>
          <w:sz w:val="22"/>
          <w:szCs w:val="24"/>
        </w:rPr>
        <w:t>所示：</w:t>
      </w:r>
    </w:p>
    <w:p>
      <w:pPr>
        <w:pStyle w:val="style34"/>
        <w:adjustRightInd w:val="false"/>
        <w:snapToGrid w:val="false"/>
        <w:spacing w:before="120" w:after="120"/>
        <w:ind w:left="720"/>
        <w:jc w:val="center"/>
        <w:rPr>
          <w:rFonts w:ascii="Arial" w:cs="Arial" w:eastAsia="宋体" w:hAnsi="Arial"/>
          <w:b/>
          <w:color w:val="1f4e79"/>
          <w:sz w:val="22"/>
          <w:szCs w:val="22"/>
        </w:rPr>
      </w:pPr>
      <w:r>
        <w:rPr>
          <w:rFonts w:ascii="Arial" w:cs="Arial" w:eastAsia="宋体" w:hAnsi="Arial"/>
          <w:b/>
          <w:bCs/>
          <w:color w:val="1f4e79"/>
          <w:sz w:val="22"/>
          <w:szCs w:val="22"/>
        </w:rPr>
        <w:t>表</w:t>
      </w:r>
      <w:r>
        <w:rPr>
          <w:rFonts w:ascii="Arial" w:cs="Arial" w:eastAsia="宋体" w:hAnsi="Arial"/>
          <w:b/>
          <w:bCs/>
          <w:color w:val="1f4e79"/>
          <w:sz w:val="22"/>
          <w:szCs w:val="22"/>
        </w:rPr>
        <w:fldChar w:fldCharType="begin"/>
      </w:r>
      <w:r>
        <w:rPr>
          <w:rFonts w:ascii="Arial" w:cs="Arial" w:eastAsia="宋体" w:hAnsi="Arial"/>
          <w:b/>
          <w:bCs/>
          <w:color w:val="1f4e79"/>
          <w:sz w:val="22"/>
          <w:szCs w:val="22"/>
        </w:rPr>
        <w:instrText xml:space="preserve"> STYLEREF 1 \s </w:instrText>
      </w:r>
      <w:r>
        <w:rPr>
          <w:rFonts w:ascii="Arial" w:cs="Arial" w:eastAsia="宋体" w:hAnsi="Arial"/>
          <w:b/>
          <w:bCs/>
          <w:color w:val="1f4e79"/>
          <w:sz w:val="22"/>
          <w:szCs w:val="22"/>
        </w:rPr>
        <w:fldChar w:fldCharType="separate"/>
      </w:r>
      <w:r>
        <w:rPr>
          <w:rFonts w:ascii="Arial" w:cs="Arial" w:eastAsia="宋体" w:hAnsi="Arial"/>
          <w:b/>
          <w:bCs/>
          <w:color w:val="1f4e79"/>
          <w:sz w:val="22"/>
          <w:szCs w:val="22"/>
        </w:rPr>
        <w:t>1</w:t>
      </w:r>
      <w:r>
        <w:rPr>
          <w:rFonts w:ascii="Arial" w:cs="Arial" w:eastAsia="宋体" w:hAnsi="Arial"/>
          <w:b/>
          <w:bCs/>
          <w:color w:val="1f4e79"/>
          <w:sz w:val="22"/>
          <w:szCs w:val="22"/>
        </w:rPr>
        <w:fldChar w:fldCharType="end"/>
      </w:r>
      <w:r>
        <w:rPr>
          <w:rFonts w:ascii="Arial" w:cs="Arial" w:eastAsia="宋体" w:hAnsi="Arial"/>
          <w:b/>
          <w:bCs/>
          <w:color w:val="1f4e79"/>
          <w:sz w:val="22"/>
          <w:szCs w:val="22"/>
        </w:rPr>
        <w:noBreakHyphen/>
      </w:r>
      <w:r>
        <w:rPr>
          <w:rFonts w:ascii="Arial" w:cs="Arial" w:eastAsia="宋体" w:hAnsi="Arial"/>
          <w:b/>
          <w:bCs/>
          <w:color w:val="1f4e79"/>
          <w:sz w:val="22"/>
          <w:szCs w:val="22"/>
        </w:rPr>
        <w:fldChar w:fldCharType="begin"/>
      </w:r>
      <w:r>
        <w:rPr>
          <w:rFonts w:ascii="Arial" w:cs="Arial" w:eastAsia="宋体" w:hAnsi="Arial"/>
          <w:b/>
          <w:bCs/>
          <w:color w:val="1f4e79"/>
          <w:sz w:val="22"/>
          <w:szCs w:val="22"/>
        </w:rPr>
        <w:instrText xml:space="preserve"> SEQ 表 \* ARABIC \s 1 </w:instrText>
      </w:r>
      <w:r>
        <w:rPr>
          <w:rFonts w:ascii="Arial" w:cs="Arial" w:eastAsia="宋体" w:hAnsi="Arial"/>
          <w:b/>
          <w:bCs/>
          <w:color w:val="1f4e79"/>
          <w:sz w:val="22"/>
          <w:szCs w:val="22"/>
        </w:rPr>
        <w:fldChar w:fldCharType="separate"/>
      </w:r>
      <w:r>
        <w:rPr>
          <w:rFonts w:ascii="Arial" w:cs="Arial" w:eastAsia="宋体" w:hAnsi="Arial"/>
          <w:b/>
          <w:bCs/>
          <w:color w:val="1f4e79"/>
          <w:sz w:val="22"/>
          <w:szCs w:val="22"/>
        </w:rPr>
        <w:t>1</w:t>
      </w:r>
      <w:r>
        <w:rPr>
          <w:rFonts w:ascii="Arial" w:cs="Arial" w:eastAsia="宋体" w:hAnsi="Arial"/>
          <w:b/>
          <w:bCs/>
          <w:color w:val="1f4e79"/>
          <w:sz w:val="22"/>
          <w:szCs w:val="22"/>
        </w:rPr>
        <w:fldChar w:fldCharType="end"/>
      </w:r>
      <w:r>
        <w:rPr>
          <w:rFonts w:ascii="Arial" w:cs="Arial" w:eastAsia="宋体" w:hAnsi="Arial"/>
          <w:color w:val="1f4e79"/>
          <w:sz w:val="22"/>
          <w:szCs w:val="22"/>
        </w:rPr>
        <w:t>：</w:t>
      </w:r>
      <w:r>
        <w:rPr>
          <w:rFonts w:ascii="Arial" w:cs="Arial" w:eastAsia="宋体" w:hAnsi="Arial"/>
          <w:b/>
          <w:color w:val="1f4e79"/>
          <w:sz w:val="22"/>
          <w:szCs w:val="22"/>
        </w:rPr>
        <w:t>PforR边界内活动和支付关联指标</w:t>
      </w:r>
    </w:p>
    <w:tbl>
      <w:tblPr>
        <w:tblStyle w:val="style10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5" w:type="dxa"/>
          <w:bottom w:w="0" w:type="dxa"/>
          <w:right w:w="15" w:type="dxa"/>
        </w:tblCellMar>
      </w:tblPr>
      <w:tblGrid>
        <w:gridCol w:w="5713"/>
        <w:gridCol w:w="3991"/>
      </w:tblGrid>
      <w:tr>
        <w:trPr>
          <w:trHeight w:val="20" w:hRule="atLeast"/>
          <w:tblHeader/>
          <w:jc w:val="center"/>
        </w:trPr>
        <w:tc>
          <w:tcPr>
            <w:tcW w:w="2944" w:type="pct"/>
            <w:tcBorders/>
            <w:shd w:val="clear" w:color="auto" w:fill="e7e6e6"/>
            <w:tcMar>
              <w:top w:w="57" w:type="dxa"/>
              <w:left w:w="57" w:type="dxa"/>
              <w:bottom w:w="28" w:type="dxa"/>
              <w:right w:w="57" w:type="dxa"/>
            </w:tcMar>
          </w:tcPr>
          <w:p>
            <w:pPr>
              <w:pStyle w:val="style0"/>
              <w:widowControl/>
              <w:adjustRightInd w:val="false"/>
              <w:snapToGrid w:val="false"/>
              <w:jc w:val="center"/>
              <w:textAlignment w:val="center"/>
              <w:rPr>
                <w:rFonts w:ascii="Arial" w:cs="Arial" w:eastAsia="宋体" w:hAnsi="Arial"/>
                <w:b/>
                <w:bCs/>
                <w:sz w:val="20"/>
                <w:szCs w:val="20"/>
              </w:rPr>
            </w:pPr>
            <w:r>
              <w:rPr>
                <w:rFonts w:ascii="Arial" w:cs="Arial" w:eastAsia="宋体" w:hAnsi="Arial"/>
                <w:b/>
                <w:bCs/>
                <w:sz w:val="20"/>
                <w:szCs w:val="20"/>
              </w:rPr>
              <w:t>典型活动</w:t>
            </w:r>
          </w:p>
        </w:tc>
        <w:tc>
          <w:tcPr>
            <w:tcW w:w="2056" w:type="pct"/>
            <w:tcBorders/>
            <w:shd w:val="clear" w:color="auto" w:fill="e7e6e6"/>
            <w:tcMar/>
          </w:tcPr>
          <w:p>
            <w:pPr>
              <w:pStyle w:val="style0"/>
              <w:widowControl/>
              <w:adjustRightInd w:val="false"/>
              <w:snapToGrid w:val="false"/>
              <w:jc w:val="center"/>
              <w:textAlignment w:val="center"/>
              <w:rPr>
                <w:rFonts w:ascii="Arial" w:cs="Arial" w:eastAsia="宋体" w:hAnsi="Arial"/>
                <w:b/>
                <w:bCs/>
                <w:sz w:val="20"/>
                <w:szCs w:val="20"/>
              </w:rPr>
            </w:pPr>
            <w:r>
              <w:rPr>
                <w:rFonts w:ascii="Arial" w:cs="Arial" w:eastAsia="宋体" w:hAnsi="Arial"/>
                <w:b/>
                <w:sz w:val="20"/>
                <w:szCs w:val="20"/>
              </w:rPr>
              <w:t>支付关联指标（DLIs）</w:t>
            </w:r>
          </w:p>
        </w:tc>
      </w:tr>
      <w:tr>
        <w:tblPrEx/>
        <w:trPr>
          <w:trHeight w:val="20" w:hRule="atLeast"/>
          <w:jc w:val="center"/>
        </w:trPr>
        <w:tc>
          <w:tcPr>
            <w:tcW w:w="5000" w:type="pct"/>
            <w:gridSpan w:val="2"/>
            <w:tcBorders/>
            <w:tcMar>
              <w:top w:w="57" w:type="dxa"/>
              <w:left w:w="57" w:type="dxa"/>
              <w:bottom w:w="28" w:type="dxa"/>
              <w:right w:w="57" w:type="dxa"/>
            </w:tcMar>
          </w:tcPr>
          <w:p>
            <w:pPr>
              <w:pStyle w:val="style0"/>
              <w:adjustRightInd w:val="false"/>
              <w:snapToGrid w:val="false"/>
              <w:jc w:val="left"/>
              <w:rPr>
                <w:rFonts w:ascii="Arial" w:cs="Arial" w:eastAsia="宋体" w:hAnsi="Arial"/>
                <w:b/>
                <w:bCs/>
                <w:sz w:val="20"/>
                <w:szCs w:val="20"/>
              </w:rPr>
            </w:pPr>
            <w:r>
              <w:rPr>
                <w:rFonts w:ascii="Arial" w:cs="Arial" w:eastAsia="宋体" w:hAnsi="Arial"/>
                <w:b/>
                <w:bCs/>
                <w:color w:val="000000"/>
                <w:sz w:val="20"/>
                <w:szCs w:val="20"/>
              </w:rPr>
              <w:t>RA1 - 加强机构管理能力</w:t>
            </w:r>
          </w:p>
        </w:tc>
      </w:tr>
      <w:tr>
        <w:tblPrEx/>
        <w:trPr>
          <w:trHeight w:val="20" w:hRule="atLeast"/>
          <w:jc w:val="center"/>
        </w:trPr>
        <w:tc>
          <w:tcPr>
            <w:tcW w:w="2944" w:type="pct"/>
            <w:tcBorders/>
            <w:tcMar>
              <w:top w:w="57" w:type="dxa"/>
              <w:left w:w="57" w:type="dxa"/>
              <w:bottom w:w="28" w:type="dxa"/>
              <w:right w:w="57" w:type="dxa"/>
            </w:tcMar>
          </w:tcPr>
          <w:p>
            <w:pPr>
              <w:pStyle w:val="style179"/>
              <w:numPr>
                <w:ilvl w:val="0"/>
                <w:numId w:val="9"/>
              </w:numPr>
              <w:adjustRightInd w:val="false"/>
              <w:snapToGrid w:val="false"/>
              <w:ind w:left="361" w:hanging="361" w:firstLineChars="0"/>
              <w:rPr>
                <w:rFonts w:ascii="Arial" w:cs="Arial" w:eastAsia="宋体" w:hAnsi="Arial"/>
                <w:color w:val="000000"/>
                <w:sz w:val="20"/>
                <w:szCs w:val="20"/>
              </w:rPr>
            </w:pPr>
            <w:r>
              <w:rPr>
                <w:rFonts w:ascii="Arial" w:cs="Arial" w:eastAsia="宋体" w:hAnsi="Arial" w:hint="eastAsia"/>
                <w:color w:val="000000"/>
                <w:sz w:val="20"/>
                <w:szCs w:val="20"/>
              </w:rPr>
              <w:t>制定省</w:t>
            </w:r>
            <w:r>
              <w:rPr>
                <w:rFonts w:ascii="Arial" w:cs="Arial" w:eastAsia="宋体" w:hAnsi="Arial"/>
                <w:color w:val="000000"/>
                <w:sz w:val="20"/>
                <w:szCs w:val="20"/>
                <w:lang w:val="en-GB"/>
              </w:rPr>
              <w:t>/</w:t>
            </w:r>
            <w:r>
              <w:rPr>
                <w:rFonts w:ascii="Arial" w:cs="Arial" w:eastAsia="宋体" w:hAnsi="Arial" w:hint="eastAsia"/>
                <w:color w:val="000000"/>
                <w:sz w:val="20"/>
                <w:szCs w:val="20"/>
                <w:lang w:val="en-GB"/>
              </w:rPr>
              <w:t>自治区</w:t>
            </w:r>
            <w:r>
              <w:rPr>
                <w:rFonts w:ascii="Arial" w:cs="Arial" w:eastAsia="宋体" w:hAnsi="Arial"/>
                <w:color w:val="000000"/>
                <w:sz w:val="20"/>
                <w:szCs w:val="20"/>
              </w:rPr>
              <w:t>绿色农业</w:t>
            </w:r>
            <w:r>
              <w:rPr>
                <w:rFonts w:ascii="Arial" w:cs="Arial" w:eastAsia="宋体" w:hAnsi="Arial" w:hint="eastAsia"/>
                <w:color w:val="000000"/>
                <w:sz w:val="20"/>
                <w:szCs w:val="20"/>
              </w:rPr>
              <w:t>发展</w:t>
            </w:r>
            <w:r>
              <w:rPr>
                <w:rFonts w:ascii="Arial" w:cs="Arial" w:eastAsia="宋体" w:hAnsi="Arial"/>
                <w:color w:val="000000"/>
                <w:sz w:val="20"/>
                <w:szCs w:val="20"/>
              </w:rPr>
              <w:t>相关规定、标准、导则</w:t>
            </w:r>
          </w:p>
          <w:p>
            <w:pPr>
              <w:pStyle w:val="style179"/>
              <w:numPr>
                <w:ilvl w:val="0"/>
                <w:numId w:val="9"/>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建立</w:t>
            </w:r>
            <w:r>
              <w:rPr>
                <w:rFonts w:ascii="Arial" w:cs="Arial" w:eastAsia="宋体" w:hAnsi="Arial" w:hint="eastAsia"/>
                <w:color w:val="000000"/>
                <w:sz w:val="20"/>
                <w:szCs w:val="20"/>
              </w:rPr>
              <w:t>省</w:t>
            </w:r>
            <w:r>
              <w:rPr>
                <w:rFonts w:ascii="Arial" w:cs="Arial" w:eastAsia="宋体" w:hAnsi="Arial"/>
                <w:color w:val="000000"/>
                <w:sz w:val="20"/>
                <w:szCs w:val="20"/>
                <w:lang w:val="en-GB"/>
              </w:rPr>
              <w:t>/</w:t>
            </w:r>
            <w:r>
              <w:rPr>
                <w:rFonts w:ascii="Arial" w:cs="Arial" w:eastAsia="宋体" w:hAnsi="Arial" w:hint="eastAsia"/>
                <w:color w:val="000000"/>
                <w:sz w:val="20"/>
                <w:szCs w:val="20"/>
                <w:lang w:val="en-GB"/>
              </w:rPr>
              <w:t>自治区</w:t>
            </w:r>
            <w:r>
              <w:rPr>
                <w:rFonts w:ascii="Arial" w:cs="Arial" w:eastAsia="宋体" w:hAnsi="Arial"/>
                <w:color w:val="000000"/>
                <w:sz w:val="20"/>
                <w:szCs w:val="20"/>
              </w:rPr>
              <w:t>绿色农业</w:t>
            </w:r>
            <w:r>
              <w:rPr>
                <w:rFonts w:ascii="Arial" w:cs="Arial" w:eastAsia="宋体" w:hAnsi="Arial" w:hint="eastAsia"/>
                <w:color w:val="000000"/>
                <w:sz w:val="20"/>
                <w:szCs w:val="20"/>
              </w:rPr>
              <w:t>发展规划</w:t>
            </w:r>
            <w:r>
              <w:rPr>
                <w:rFonts w:ascii="Arial" w:cs="Arial" w:eastAsia="宋体" w:hAnsi="Arial"/>
                <w:color w:val="000000"/>
                <w:sz w:val="20"/>
                <w:szCs w:val="20"/>
              </w:rPr>
              <w:t>预算、支出和报告机制</w:t>
            </w:r>
          </w:p>
          <w:p>
            <w:pPr>
              <w:pStyle w:val="style179"/>
              <w:numPr>
                <w:ilvl w:val="0"/>
                <w:numId w:val="9"/>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建立</w:t>
            </w:r>
            <w:r>
              <w:rPr>
                <w:rFonts w:ascii="Arial" w:cs="Arial" w:eastAsia="宋体" w:hAnsi="Arial" w:hint="eastAsia"/>
                <w:color w:val="000000"/>
                <w:sz w:val="20"/>
                <w:szCs w:val="20"/>
              </w:rPr>
              <w:t>省</w:t>
            </w:r>
            <w:r>
              <w:rPr>
                <w:rFonts w:ascii="Arial" w:cs="Arial" w:eastAsia="宋体" w:hAnsi="Arial"/>
                <w:color w:val="000000"/>
                <w:sz w:val="20"/>
                <w:szCs w:val="20"/>
                <w:lang w:val="en-GB"/>
              </w:rPr>
              <w:t>/</w:t>
            </w:r>
            <w:r>
              <w:rPr>
                <w:rFonts w:ascii="Arial" w:cs="Arial" w:eastAsia="宋体" w:hAnsi="Arial" w:hint="eastAsia"/>
                <w:color w:val="000000"/>
                <w:sz w:val="20"/>
                <w:szCs w:val="20"/>
                <w:lang w:val="en-GB"/>
              </w:rPr>
              <w:t>自治区</w:t>
            </w:r>
            <w:r>
              <w:rPr>
                <w:rFonts w:ascii="Arial" w:cs="Arial" w:eastAsia="宋体" w:hAnsi="Arial"/>
                <w:color w:val="000000"/>
                <w:sz w:val="20"/>
                <w:szCs w:val="20"/>
              </w:rPr>
              <w:t>农村基础设施与公共服务监测评价机制</w:t>
            </w:r>
          </w:p>
          <w:p>
            <w:pPr>
              <w:pStyle w:val="style179"/>
              <w:numPr>
                <w:ilvl w:val="0"/>
                <w:numId w:val="9"/>
              </w:numPr>
              <w:adjustRightInd w:val="false"/>
              <w:snapToGrid w:val="false"/>
              <w:ind w:left="361" w:hanging="361" w:firstLineChars="0"/>
              <w:rPr>
                <w:rFonts w:ascii="Arial" w:cs="Arial" w:eastAsia="宋体" w:hAnsi="Arial"/>
                <w:kern w:val="0"/>
                <w:sz w:val="20"/>
                <w:szCs w:val="20"/>
              </w:rPr>
            </w:pPr>
            <w:r>
              <w:rPr>
                <w:rFonts w:ascii="Arial" w:cs="Arial" w:eastAsia="宋体" w:hAnsi="Arial"/>
                <w:color w:val="000000"/>
                <w:sz w:val="20"/>
                <w:szCs w:val="20"/>
              </w:rPr>
              <w:t>制定</w:t>
            </w:r>
            <w:r>
              <w:rPr>
                <w:rFonts w:ascii="Arial" w:cs="Arial" w:eastAsia="宋体" w:hAnsi="Arial" w:hint="eastAsia"/>
                <w:color w:val="000000"/>
                <w:sz w:val="20"/>
                <w:szCs w:val="20"/>
              </w:rPr>
              <w:t>省</w:t>
            </w:r>
            <w:r>
              <w:rPr>
                <w:rFonts w:ascii="Arial" w:cs="Arial" w:eastAsia="宋体" w:hAnsi="Arial"/>
                <w:color w:val="000000"/>
                <w:sz w:val="20"/>
                <w:szCs w:val="20"/>
                <w:lang w:val="en-GB"/>
              </w:rPr>
              <w:t>/</w:t>
            </w:r>
            <w:r>
              <w:rPr>
                <w:rFonts w:ascii="Arial" w:cs="Arial" w:eastAsia="宋体" w:hAnsi="Arial" w:hint="eastAsia"/>
                <w:color w:val="000000"/>
                <w:sz w:val="20"/>
                <w:szCs w:val="20"/>
                <w:lang w:val="en-GB"/>
              </w:rPr>
              <w:t>自治区</w:t>
            </w:r>
            <w:r>
              <w:rPr>
                <w:rFonts w:ascii="Arial" w:cs="Arial" w:eastAsia="宋体" w:hAnsi="Arial"/>
                <w:color w:val="000000"/>
                <w:sz w:val="20"/>
                <w:szCs w:val="20"/>
              </w:rPr>
              <w:t>农村地区绿色农技与人才培养框架</w:t>
            </w:r>
            <w:r>
              <w:rPr>
                <w:rFonts w:ascii="Arial" w:cs="Arial" w:eastAsia="宋体" w:hAnsi="Arial" w:hint="eastAsia"/>
                <w:color w:val="000000"/>
                <w:sz w:val="20"/>
                <w:szCs w:val="20"/>
              </w:rPr>
              <w:t>/</w:t>
            </w:r>
            <w:r>
              <w:rPr>
                <w:rFonts w:ascii="Arial" w:cs="Arial" w:eastAsia="宋体" w:hAnsi="Arial"/>
                <w:color w:val="000000"/>
                <w:sz w:val="20"/>
                <w:szCs w:val="20"/>
              </w:rPr>
              <w:t>行动计划</w:t>
            </w:r>
          </w:p>
        </w:tc>
        <w:tc>
          <w:tcPr>
            <w:tcW w:w="2056" w:type="pct"/>
            <w:tcBorders/>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b/>
                <w:bCs/>
                <w:color w:val="000000"/>
                <w:sz w:val="20"/>
                <w:szCs w:val="20"/>
              </w:rPr>
              <w:t>DLI1</w:t>
            </w:r>
            <w:r>
              <w:rPr>
                <w:rFonts w:ascii="Arial" w:cs="Arial" w:eastAsia="宋体" w:hAnsi="Arial" w:hint="eastAsia"/>
                <w:b/>
                <w:bCs/>
                <w:color w:val="000000"/>
                <w:sz w:val="20"/>
                <w:szCs w:val="20"/>
              </w:rPr>
              <w:t>：</w:t>
            </w:r>
            <w:r>
              <w:rPr>
                <w:rFonts w:ascii="Arial" w:cs="Arial" w:eastAsia="宋体" w:hAnsi="Arial" w:hint="eastAsia"/>
                <w:color w:val="000000"/>
                <w:sz w:val="20"/>
                <w:szCs w:val="20"/>
              </w:rPr>
              <w:t>实施乡村振兴规划监测与评价系统（</w:t>
            </w:r>
            <w:r>
              <w:rPr>
                <w:rFonts w:ascii="Arial" w:cs="Arial" w:eastAsia="宋体" w:hAnsi="Arial"/>
                <w:color w:val="000000"/>
                <w:sz w:val="20"/>
                <w:szCs w:val="20"/>
              </w:rPr>
              <w:t>M&amp;E</w:t>
            </w:r>
            <w:r>
              <w:rPr>
                <w:rFonts w:ascii="Arial" w:cs="Arial" w:eastAsia="宋体" w:hAnsi="Arial" w:hint="eastAsia"/>
                <w:color w:val="000000"/>
                <w:sz w:val="20"/>
                <w:szCs w:val="20"/>
              </w:rPr>
              <w:t>）的项目县数</w:t>
            </w:r>
          </w:p>
          <w:p>
            <w:pPr>
              <w:pStyle w:val="style0"/>
              <w:adjustRightInd w:val="false"/>
              <w:snapToGrid w:val="false"/>
              <w:jc w:val="left"/>
              <w:rPr>
                <w:rFonts w:ascii="Arial" w:cs="Arial" w:eastAsia="宋体" w:hAnsi="Arial"/>
                <w:color w:val="000000"/>
                <w:sz w:val="20"/>
                <w:szCs w:val="20"/>
              </w:rPr>
            </w:pPr>
            <w:r>
              <w:rPr>
                <w:rFonts w:ascii="Arial" w:cs="Arial" w:eastAsia="宋体" w:hAnsi="Arial"/>
                <w:b/>
                <w:bCs/>
                <w:color w:val="000000"/>
                <w:sz w:val="20"/>
                <w:szCs w:val="20"/>
              </w:rPr>
              <w:t>DLI2</w:t>
            </w:r>
            <w:r>
              <w:rPr>
                <w:rFonts w:ascii="Arial" w:cs="Arial" w:eastAsia="宋体" w:hAnsi="Arial" w:hint="eastAsia"/>
                <w:b/>
                <w:bCs/>
                <w:color w:val="000000"/>
                <w:sz w:val="20"/>
                <w:szCs w:val="20"/>
              </w:rPr>
              <w:t>:</w:t>
            </w:r>
            <w:r>
              <w:rPr>
                <w:rFonts w:ascii="Arial" w:cs="Arial" w:eastAsia="宋体" w:hAnsi="Arial"/>
                <w:color w:val="000000"/>
                <w:sz w:val="20"/>
                <w:szCs w:val="20"/>
              </w:rPr>
              <w:t xml:space="preserve"> </w:t>
            </w:r>
            <w:r>
              <w:rPr>
                <w:rFonts w:ascii="Arial" w:cs="Arial" w:eastAsia="宋体" w:hAnsi="Arial" w:hint="eastAsia"/>
                <w:color w:val="000000"/>
                <w:sz w:val="20"/>
                <w:szCs w:val="20"/>
              </w:rPr>
              <w:t>实施绿色农业项目预算和支出信息化报告的县</w:t>
            </w:r>
          </w:p>
          <w:p>
            <w:pPr>
              <w:pStyle w:val="style0"/>
              <w:rPr>
                <w:rFonts w:ascii="Arial" w:cs="Arial" w:eastAsia="宋体" w:hAnsi="Arial"/>
                <w:color w:val="000000"/>
                <w:sz w:val="20"/>
                <w:szCs w:val="20"/>
              </w:rPr>
            </w:pPr>
            <w:r>
              <w:rPr>
                <w:rFonts w:ascii="Arial" w:cs="Arial" w:eastAsia="宋体" w:hAnsi="Arial"/>
                <w:b/>
                <w:bCs/>
                <w:color w:val="000000"/>
                <w:sz w:val="20"/>
                <w:szCs w:val="20"/>
              </w:rPr>
              <w:t>DLI3</w:t>
            </w:r>
            <w:r>
              <w:rPr>
                <w:rFonts w:ascii="Arial" w:cs="Arial" w:eastAsia="宋体" w:hAnsi="Arial" w:hint="eastAsia"/>
                <w:color w:val="000000"/>
                <w:sz w:val="20"/>
                <w:szCs w:val="20"/>
              </w:rPr>
              <w:t>：项目县通过已经批准的地区</w:t>
            </w:r>
            <w:r>
              <w:rPr>
                <w:rFonts w:ascii="Arial" w:cs="Arial" w:eastAsia="宋体" w:hAnsi="Arial"/>
                <w:color w:val="000000"/>
                <w:sz w:val="20"/>
                <w:szCs w:val="20"/>
              </w:rPr>
              <w:t>/</w:t>
            </w:r>
            <w:r>
              <w:rPr>
                <w:rFonts w:ascii="Arial" w:cs="Arial" w:eastAsia="宋体" w:hAnsi="Arial" w:hint="eastAsia"/>
                <w:color w:val="000000"/>
                <w:sz w:val="20"/>
                <w:szCs w:val="20"/>
              </w:rPr>
              <w:t>省级条例、标准和指南认证为绿色、有机农产品及</w:t>
            </w:r>
            <w:r>
              <w:rPr>
                <w:rFonts w:ascii="Arial" w:cs="Arial" w:eastAsia="宋体" w:hAnsi="Arial"/>
                <w:color w:val="000000"/>
                <w:sz w:val="20"/>
                <w:szCs w:val="20"/>
              </w:rPr>
              <w:t>/</w:t>
            </w:r>
            <w:r>
              <w:rPr>
                <w:rFonts w:ascii="Arial" w:cs="Arial" w:eastAsia="宋体" w:hAnsi="Arial" w:hint="eastAsia"/>
                <w:color w:val="000000"/>
                <w:sz w:val="20"/>
                <w:szCs w:val="20"/>
              </w:rPr>
              <w:t>或注册地理标志</w:t>
            </w:r>
            <w:r>
              <w:rPr>
                <w:rFonts w:ascii="Arial" w:cs="Arial" w:eastAsia="宋体" w:hAnsi="Arial"/>
                <w:color w:val="000000"/>
                <w:sz w:val="20"/>
                <w:szCs w:val="20"/>
              </w:rPr>
              <w:t>(GI)</w:t>
            </w:r>
            <w:r>
              <w:rPr>
                <w:rFonts w:ascii="Arial" w:cs="Arial" w:eastAsia="宋体" w:hAnsi="Arial" w:hint="eastAsia"/>
                <w:color w:val="000000"/>
                <w:sz w:val="20"/>
                <w:szCs w:val="20"/>
              </w:rPr>
              <w:t>的农产品数量</w:t>
            </w:r>
          </w:p>
        </w:tc>
      </w:tr>
      <w:tr>
        <w:tblPrEx/>
        <w:trPr>
          <w:trHeight w:val="20" w:hRule="atLeast"/>
          <w:jc w:val="center"/>
        </w:trPr>
        <w:tc>
          <w:tcPr>
            <w:tcW w:w="5000" w:type="pct"/>
            <w:gridSpan w:val="2"/>
            <w:tcBorders/>
            <w:tcMar>
              <w:top w:w="57" w:type="dxa"/>
              <w:left w:w="57" w:type="dxa"/>
              <w:bottom w:w="28" w:type="dxa"/>
              <w:right w:w="57" w:type="dxa"/>
            </w:tcMar>
          </w:tcPr>
          <w:p>
            <w:pPr>
              <w:pStyle w:val="style0"/>
              <w:adjustRightInd w:val="false"/>
              <w:snapToGrid w:val="false"/>
              <w:rPr>
                <w:rFonts w:ascii="Arial" w:cs="Arial" w:eastAsia="宋体" w:hAnsi="Arial"/>
                <w:b/>
                <w:bCs/>
                <w:sz w:val="20"/>
                <w:szCs w:val="20"/>
              </w:rPr>
            </w:pPr>
            <w:r>
              <w:rPr>
                <w:rFonts w:ascii="Arial" w:cs="Arial" w:eastAsia="宋体" w:hAnsi="Arial"/>
                <w:b/>
                <w:bCs/>
                <w:color w:val="000000"/>
                <w:sz w:val="20"/>
                <w:szCs w:val="20"/>
              </w:rPr>
              <w:t>RA2 - 绿色农业全产业链发展</w:t>
            </w:r>
          </w:p>
        </w:tc>
      </w:tr>
      <w:tr>
        <w:tblPrEx/>
        <w:trPr>
          <w:trHeight w:val="20" w:hRule="atLeast"/>
          <w:jc w:val="center"/>
        </w:trPr>
        <w:tc>
          <w:tcPr>
            <w:tcW w:w="2944" w:type="pct"/>
            <w:tcBorders/>
            <w:tcMar>
              <w:top w:w="57" w:type="dxa"/>
              <w:left w:w="57" w:type="dxa"/>
              <w:bottom w:w="28" w:type="dxa"/>
              <w:right w:w="57" w:type="dxa"/>
            </w:tcMar>
          </w:tcPr>
          <w:p>
            <w:pPr>
              <w:pStyle w:val="style179"/>
              <w:numPr>
                <w:ilvl w:val="0"/>
                <w:numId w:val="10"/>
              </w:numPr>
              <w:adjustRightInd w:val="false"/>
              <w:snapToGrid w:val="false"/>
              <w:ind w:left="361" w:firstLineChars="0"/>
              <w:rPr>
                <w:rFonts w:ascii="Arial" w:cs="Arial" w:eastAsia="宋体" w:hAnsi="Arial"/>
                <w:color w:val="000000"/>
                <w:sz w:val="20"/>
                <w:szCs w:val="20"/>
              </w:rPr>
            </w:pPr>
            <w:r>
              <w:rPr>
                <w:rFonts w:ascii="Arial" w:cs="Arial" w:eastAsia="宋体" w:hAnsi="Arial"/>
                <w:color w:val="000000"/>
                <w:sz w:val="20"/>
                <w:szCs w:val="20"/>
              </w:rPr>
              <w:t>加强农业资源保护和利用（如建立</w:t>
            </w:r>
            <w:r>
              <w:rPr>
                <w:rFonts w:ascii="Arial" w:cs="Arial" w:eastAsia="宋体" w:hAnsi="Arial" w:hint="eastAsia"/>
                <w:color w:val="000000"/>
                <w:sz w:val="20"/>
                <w:szCs w:val="20"/>
              </w:rPr>
              <w:t>适应</w:t>
            </w:r>
            <w:r>
              <w:rPr>
                <w:rFonts w:ascii="Arial" w:cs="Arial" w:eastAsia="宋体" w:hAnsi="Arial"/>
                <w:color w:val="000000"/>
                <w:sz w:val="20"/>
                <w:szCs w:val="20"/>
              </w:rPr>
              <w:t>能力）</w:t>
            </w:r>
            <w:r>
              <w:rPr>
                <w:rFonts w:ascii="Arial" w:cs="Arial" w:eastAsia="宋体" w:hAnsi="Arial" w:hint="eastAsia"/>
                <w:color w:val="000000"/>
                <w:sz w:val="20"/>
                <w:szCs w:val="20"/>
              </w:rPr>
              <w:t>，比如</w:t>
            </w:r>
            <w:r>
              <w:rPr>
                <w:rFonts w:ascii="Arial" w:cs="Arial" w:eastAsia="宋体" w:hAnsi="Arial"/>
                <w:color w:val="000000"/>
                <w:sz w:val="20"/>
                <w:szCs w:val="20"/>
              </w:rPr>
              <w:t>保护和提高农田质量，提高农业灌溉用水效率（如</w:t>
            </w:r>
            <w:r>
              <w:rPr>
                <w:rFonts w:ascii="Arial" w:cs="Arial" w:eastAsia="宋体" w:hAnsi="Arial" w:hint="eastAsia"/>
                <w:color w:val="000000"/>
                <w:sz w:val="20"/>
                <w:szCs w:val="20"/>
              </w:rPr>
              <w:t>改善灌溉系统、</w:t>
            </w:r>
            <w:r>
              <w:rPr>
                <w:rFonts w:ascii="Arial" w:cs="Arial" w:eastAsia="宋体" w:hAnsi="Arial"/>
                <w:color w:val="000000"/>
                <w:sz w:val="20"/>
                <w:szCs w:val="20"/>
              </w:rPr>
              <w:t xml:space="preserve">发展滴灌）； </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农业面源污染防治</w:t>
            </w:r>
            <w:r>
              <w:rPr>
                <w:rFonts w:ascii="Arial" w:cs="Arial" w:eastAsia="宋体" w:hAnsi="Arial" w:hint="eastAsia"/>
                <w:color w:val="000000"/>
                <w:sz w:val="20"/>
                <w:szCs w:val="20"/>
              </w:rPr>
              <w:t>，比如</w:t>
            </w:r>
            <w:r>
              <w:rPr>
                <w:rFonts w:ascii="Arial" w:cs="Arial" w:eastAsia="宋体" w:hAnsi="Arial"/>
                <w:color w:val="000000"/>
                <w:sz w:val="20"/>
                <w:szCs w:val="20"/>
              </w:rPr>
              <w:t>化肥减量、提高施肥效率（如水肥一体化、深耕）、推行低残留农药、测土配方施肥、增施有机肥、畜禽粪污和秸秆循环利用、农用塑料</w:t>
            </w:r>
            <w:r>
              <w:rPr>
                <w:rFonts w:ascii="Arial" w:cs="Arial" w:eastAsia="宋体" w:hAnsi="Arial" w:hint="eastAsia"/>
                <w:color w:val="000000"/>
                <w:sz w:val="20"/>
                <w:szCs w:val="20"/>
              </w:rPr>
              <w:t>回收利用</w:t>
            </w:r>
            <w:r>
              <w:rPr>
                <w:rFonts w:ascii="Arial" w:cs="Arial" w:eastAsia="宋体" w:hAnsi="Arial"/>
                <w:color w:val="000000"/>
                <w:sz w:val="20"/>
                <w:szCs w:val="20"/>
              </w:rPr>
              <w:t>等—</w:t>
            </w:r>
            <w:r>
              <w:rPr>
                <w:rFonts w:ascii="Arial" w:cs="Arial" w:eastAsia="宋体" w:hAnsi="Arial" w:hint="eastAsia"/>
                <w:color w:val="000000"/>
                <w:sz w:val="20"/>
                <w:szCs w:val="20"/>
              </w:rPr>
              <w:t>目的是减少温室气体排放、促进碳捕捉</w:t>
            </w:r>
            <w:r>
              <w:rPr>
                <w:rFonts w:ascii="Arial" w:cs="Arial" w:eastAsia="宋体" w:hAnsi="Arial"/>
                <w:color w:val="000000"/>
                <w:sz w:val="20"/>
                <w:szCs w:val="20"/>
              </w:rPr>
              <w:t>；</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构建绿色低碳农业产业链</w:t>
            </w:r>
            <w:r>
              <w:rPr>
                <w:rFonts w:ascii="Arial" w:cs="Arial" w:eastAsia="宋体" w:hAnsi="Arial" w:hint="eastAsia"/>
                <w:color w:val="000000"/>
                <w:sz w:val="20"/>
                <w:szCs w:val="20"/>
              </w:rPr>
              <w:t>，比如发展</w:t>
            </w:r>
            <w:r>
              <w:rPr>
                <w:rFonts w:ascii="Arial" w:cs="Arial" w:eastAsia="宋体" w:hAnsi="Arial"/>
                <w:color w:val="000000"/>
                <w:sz w:val="20"/>
                <w:szCs w:val="20"/>
              </w:rPr>
              <w:t>绿色、有机和地理标志农产品；</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发展绿色农业价值链基础设施</w:t>
            </w:r>
            <w:r>
              <w:rPr>
                <w:rFonts w:ascii="Arial" w:cs="Arial" w:eastAsia="宋体" w:hAnsi="Arial" w:hint="eastAsia"/>
                <w:color w:val="000000"/>
                <w:sz w:val="20"/>
                <w:szCs w:val="20"/>
              </w:rPr>
              <w:t>（如</w:t>
            </w:r>
            <w:r>
              <w:rPr>
                <w:rFonts w:ascii="Arial" w:cs="Arial" w:eastAsia="宋体" w:hAnsi="Arial"/>
                <w:color w:val="000000"/>
                <w:sz w:val="20"/>
                <w:szCs w:val="20"/>
              </w:rPr>
              <w:t>新建或修复气候智慧型田间道路或</w:t>
            </w:r>
            <w:r>
              <w:rPr>
                <w:rFonts w:ascii="Arial" w:cs="Arial" w:eastAsia="宋体" w:hAnsi="Arial" w:hint="eastAsia"/>
                <w:color w:val="000000"/>
                <w:sz w:val="20"/>
                <w:szCs w:val="20"/>
              </w:rPr>
              <w:t>生产</w:t>
            </w:r>
            <w:r>
              <w:rPr>
                <w:rFonts w:ascii="Arial" w:cs="Arial" w:eastAsia="宋体" w:hAnsi="Arial"/>
                <w:color w:val="000000"/>
                <w:sz w:val="20"/>
                <w:szCs w:val="20"/>
              </w:rPr>
              <w:t>通路、修复灌溉与排水系统、新建或修复冷库设施</w:t>
            </w:r>
            <w:r>
              <w:rPr>
                <w:rFonts w:ascii="Arial" w:cs="Arial" w:eastAsia="宋体" w:hAnsi="Arial" w:hint="eastAsia"/>
                <w:color w:val="000000"/>
                <w:sz w:val="20"/>
                <w:szCs w:val="20"/>
              </w:rPr>
              <w:t>以减少食品损失与浪费）</w:t>
            </w:r>
            <w:r>
              <w:rPr>
                <w:rFonts w:ascii="Arial" w:cs="Arial" w:eastAsia="宋体" w:hAnsi="Arial"/>
                <w:color w:val="000000"/>
                <w:sz w:val="20"/>
                <w:szCs w:val="20"/>
              </w:rPr>
              <w:t>；</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农村地区绿色农技与人才培养</w:t>
            </w:r>
            <w:r>
              <w:rPr>
                <w:rFonts w:ascii="Arial" w:cs="Arial" w:eastAsia="宋体" w:hAnsi="Arial" w:hint="eastAsia"/>
                <w:color w:val="000000"/>
                <w:sz w:val="20"/>
                <w:szCs w:val="20"/>
              </w:rPr>
              <w:t>（如</w:t>
            </w:r>
            <w:r>
              <w:rPr>
                <w:rFonts w:ascii="Arial" w:cs="Arial" w:eastAsia="宋体" w:hAnsi="Arial"/>
                <w:color w:val="000000"/>
                <w:sz w:val="20"/>
                <w:szCs w:val="20"/>
              </w:rPr>
              <w:t>针对农民合作社、农民用水协会、农资经销商、农业职业经理人等开展培训和能力建设</w:t>
            </w:r>
            <w:r>
              <w:rPr>
                <w:rFonts w:ascii="Arial" w:cs="Arial" w:eastAsia="宋体" w:hAnsi="Arial" w:hint="eastAsia"/>
                <w:color w:val="000000"/>
                <w:sz w:val="20"/>
                <w:szCs w:val="20"/>
              </w:rPr>
              <w:t>）</w:t>
            </w:r>
            <w:r>
              <w:rPr>
                <w:rFonts w:ascii="Arial" w:cs="Arial" w:eastAsia="宋体" w:hAnsi="Arial"/>
                <w:color w:val="000000"/>
                <w:sz w:val="20"/>
                <w:szCs w:val="20"/>
              </w:rPr>
              <w:t>；</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hint="eastAsia"/>
                <w:color w:val="000000"/>
                <w:sz w:val="20"/>
                <w:szCs w:val="20"/>
              </w:rPr>
              <w:t>强化</w:t>
            </w:r>
            <w:r>
              <w:rPr>
                <w:rFonts w:ascii="Arial" w:cs="Arial" w:eastAsia="宋体" w:hAnsi="Arial"/>
                <w:color w:val="000000"/>
                <w:sz w:val="20"/>
                <w:szCs w:val="20"/>
              </w:rPr>
              <w:t>绿色农业发展相关规范和标准</w:t>
            </w:r>
            <w:r>
              <w:rPr>
                <w:rFonts w:ascii="Arial" w:cs="Arial" w:eastAsia="宋体" w:hAnsi="Arial" w:hint="eastAsia"/>
                <w:color w:val="000000"/>
                <w:sz w:val="20"/>
                <w:szCs w:val="20"/>
              </w:rPr>
              <w:t>（如</w:t>
            </w:r>
            <w:r>
              <w:rPr>
                <w:rFonts w:ascii="Arial" w:cs="Arial" w:eastAsia="宋体" w:hAnsi="Arial"/>
                <w:color w:val="000000"/>
                <w:sz w:val="20"/>
                <w:szCs w:val="20"/>
              </w:rPr>
              <w:t>有毒农药使用、污水排放、秸秆焚烧等</w:t>
            </w:r>
            <w:r>
              <w:rPr>
                <w:rFonts w:ascii="Arial" w:cs="Arial" w:eastAsia="宋体" w:hAnsi="Arial" w:hint="eastAsia"/>
                <w:color w:val="000000"/>
                <w:sz w:val="20"/>
                <w:szCs w:val="20"/>
              </w:rPr>
              <w:t>）</w:t>
            </w:r>
          </w:p>
        </w:tc>
        <w:tc>
          <w:tcPr>
            <w:tcW w:w="2056" w:type="pct"/>
            <w:tcBorders/>
            <w:tcMar/>
          </w:tcPr>
          <w:p>
            <w:pPr>
              <w:pStyle w:val="style0"/>
              <w:adjustRightInd w:val="false"/>
              <w:snapToGrid w:val="false"/>
              <w:rPr>
                <w:rFonts w:ascii="Arial" w:cs="Arial" w:eastAsia="宋体" w:hAnsi="Arial"/>
                <w:bCs/>
                <w:sz w:val="20"/>
                <w:szCs w:val="20"/>
              </w:rPr>
            </w:pPr>
            <w:r>
              <w:rPr>
                <w:rFonts w:ascii="Arial" w:cs="Arial" w:eastAsia="宋体" w:hAnsi="Arial"/>
                <w:b/>
                <w:sz w:val="20"/>
                <w:szCs w:val="20"/>
              </w:rPr>
              <w:t>DLI4</w:t>
            </w:r>
            <w:r>
              <w:rPr>
                <w:rFonts w:ascii="Arial" w:cs="Arial" w:eastAsia="宋体" w:hAnsi="Arial" w:hint="eastAsia"/>
                <w:b/>
                <w:sz w:val="20"/>
                <w:szCs w:val="20"/>
              </w:rPr>
              <w:t>：</w:t>
            </w:r>
            <w:r>
              <w:rPr>
                <w:rFonts w:ascii="Arial" w:cs="Arial" w:eastAsia="宋体" w:hAnsi="Arial" w:hint="eastAsia"/>
                <w:color w:val="000000"/>
                <w:sz w:val="20"/>
                <w:szCs w:val="20"/>
              </w:rPr>
              <w:t>项目县选定农作物生产系统减少的化肥用量吨数</w:t>
            </w:r>
          </w:p>
          <w:p>
            <w:pPr>
              <w:pStyle w:val="style0"/>
              <w:adjustRightInd w:val="false"/>
              <w:snapToGrid w:val="false"/>
              <w:rPr>
                <w:rFonts w:ascii="Arial" w:cs="Arial" w:eastAsia="宋体" w:hAnsi="Arial" w:hint="eastAsia"/>
                <w:bCs/>
                <w:sz w:val="20"/>
                <w:szCs w:val="20"/>
              </w:rPr>
            </w:pPr>
            <w:r>
              <w:rPr>
                <w:rFonts w:ascii="Arial" w:cs="Arial" w:eastAsia="宋体" w:hAnsi="Arial"/>
                <w:b/>
                <w:sz w:val="20"/>
                <w:szCs w:val="20"/>
              </w:rPr>
              <w:t>DLI5</w:t>
            </w:r>
            <w:r>
              <w:rPr>
                <w:rFonts w:ascii="Arial" w:cs="Arial" w:eastAsia="宋体" w:hAnsi="Arial" w:hint="eastAsia"/>
                <w:b/>
                <w:sz w:val="20"/>
                <w:szCs w:val="20"/>
              </w:rPr>
              <w:t>：</w:t>
            </w:r>
            <w:r>
              <w:rPr>
                <w:rFonts w:ascii="Arial" w:cs="Arial" w:eastAsia="宋体" w:hAnsi="Arial" w:hint="eastAsia"/>
                <w:bCs/>
                <w:sz w:val="20"/>
                <w:szCs w:val="20"/>
              </w:rPr>
              <w:t>项目县大型和小型农场</w:t>
            </w:r>
            <w:r>
              <w:rPr>
                <w:rFonts w:ascii="Arial" w:cs="Arial" w:eastAsia="宋体" w:hAnsi="Arial"/>
                <w:color w:val="000000"/>
                <w:sz w:val="20"/>
                <w:szCs w:val="20"/>
              </w:rPr>
              <w:t>畜禽粪污</w:t>
            </w:r>
            <w:r>
              <w:rPr>
                <w:rFonts w:ascii="Arial" w:cs="Arial" w:eastAsia="宋体" w:hAnsi="Arial" w:hint="eastAsia"/>
                <w:color w:val="000000"/>
                <w:sz w:val="20"/>
                <w:szCs w:val="20"/>
              </w:rPr>
              <w:t>处理和利用率百分比的提高</w:t>
            </w:r>
          </w:p>
          <w:p>
            <w:pPr>
              <w:pStyle w:val="style0"/>
              <w:widowControl/>
              <w:adjustRightInd w:val="false"/>
              <w:snapToGrid w:val="false"/>
              <w:textAlignment w:val="center"/>
              <w:rPr>
                <w:rFonts w:ascii="Arial" w:cs="Arial" w:eastAsia="宋体" w:hAnsi="Arial"/>
                <w:color w:val="000000"/>
                <w:sz w:val="20"/>
                <w:szCs w:val="20"/>
              </w:rPr>
            </w:pPr>
            <w:r>
              <w:rPr>
                <w:rFonts w:ascii="Arial" w:cs="Arial" w:eastAsia="宋体" w:hAnsi="Arial"/>
                <w:b/>
                <w:sz w:val="20"/>
                <w:szCs w:val="20"/>
              </w:rPr>
              <w:t>DLI</w:t>
            </w:r>
            <w:r>
              <w:rPr>
                <w:rFonts w:ascii="Arial" w:cs="Arial" w:eastAsia="宋体" w:hAnsi="Arial"/>
                <w:b/>
                <w:color w:val="000000"/>
                <w:sz w:val="20"/>
                <w:szCs w:val="20"/>
              </w:rPr>
              <w:t>6</w:t>
            </w:r>
            <w:r>
              <w:rPr>
                <w:rFonts w:ascii="Arial" w:cs="Arial" w:eastAsia="宋体" w:hAnsi="Arial" w:hint="eastAsia"/>
                <w:b/>
                <w:sz w:val="20"/>
                <w:szCs w:val="20"/>
              </w:rPr>
              <w:t>：</w:t>
            </w:r>
            <w:r>
              <w:rPr>
                <w:rFonts w:ascii="Arial" w:cs="Arial" w:eastAsia="宋体" w:hAnsi="Arial" w:hint="eastAsia"/>
                <w:bCs/>
                <w:sz w:val="20"/>
                <w:szCs w:val="20"/>
              </w:rPr>
              <w:t>项目县</w:t>
            </w:r>
            <w:r>
              <w:rPr>
                <w:rFonts w:ascii="Arial" w:cs="Arial" w:eastAsia="宋体" w:hAnsi="Arial"/>
                <w:color w:val="000000"/>
                <w:sz w:val="20"/>
                <w:szCs w:val="20"/>
              </w:rPr>
              <w:t>废弃农用塑料</w:t>
            </w:r>
            <w:r>
              <w:rPr>
                <w:rFonts w:ascii="Arial" w:cs="Arial" w:eastAsia="宋体" w:hAnsi="Arial" w:hint="eastAsia"/>
                <w:color w:val="000000"/>
                <w:sz w:val="20"/>
                <w:szCs w:val="20"/>
              </w:rPr>
              <w:t>回收和利用率百分比的提高</w:t>
            </w:r>
          </w:p>
        </w:tc>
      </w:tr>
      <w:tr>
        <w:tblPrEx/>
        <w:trPr>
          <w:trHeight w:val="20" w:hRule="atLeast"/>
          <w:jc w:val="center"/>
        </w:trPr>
        <w:tc>
          <w:tcPr>
            <w:tcW w:w="5000" w:type="pct"/>
            <w:gridSpan w:val="2"/>
            <w:tcBorders/>
            <w:tcMar>
              <w:top w:w="57" w:type="dxa"/>
              <w:left w:w="57" w:type="dxa"/>
              <w:bottom w:w="28" w:type="dxa"/>
              <w:right w:w="57" w:type="dxa"/>
            </w:tcMar>
          </w:tcPr>
          <w:p>
            <w:pPr>
              <w:pStyle w:val="style0"/>
              <w:adjustRightInd w:val="false"/>
              <w:snapToGrid w:val="false"/>
              <w:rPr>
                <w:rFonts w:ascii="Arial" w:cs="Arial" w:eastAsia="宋体" w:hAnsi="Arial"/>
                <w:b/>
                <w:bCs/>
                <w:sz w:val="20"/>
                <w:szCs w:val="20"/>
              </w:rPr>
            </w:pPr>
            <w:r>
              <w:rPr>
                <w:rFonts w:ascii="Arial" w:cs="Arial" w:eastAsia="宋体" w:hAnsi="Arial"/>
                <w:b/>
                <w:bCs/>
                <w:color w:val="000000"/>
                <w:sz w:val="20"/>
                <w:szCs w:val="20"/>
              </w:rPr>
              <w:t>RA3 - 改善农村生活垃圾和生活污水服务</w:t>
            </w:r>
          </w:p>
        </w:tc>
      </w:tr>
      <w:tr>
        <w:tblPrEx/>
        <w:trPr>
          <w:trHeight w:val="20" w:hRule="atLeast"/>
          <w:jc w:val="center"/>
        </w:trPr>
        <w:tc>
          <w:tcPr>
            <w:tcW w:w="2944" w:type="pct"/>
            <w:tcBorders/>
            <w:tcMar>
              <w:top w:w="57" w:type="dxa"/>
              <w:left w:w="57" w:type="dxa"/>
              <w:bottom w:w="28" w:type="dxa"/>
              <w:right w:w="57" w:type="dxa"/>
            </w:tcMar>
          </w:tcPr>
          <w:p>
            <w:pPr>
              <w:pStyle w:val="style179"/>
              <w:numPr>
                <w:ilvl w:val="0"/>
                <w:numId w:val="11"/>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制定多规合一村庄规划，用以指导未来农村投资建设</w:t>
            </w:r>
            <w:r>
              <w:rPr>
                <w:rFonts w:ascii="Arial" w:cs="Arial" w:eastAsia="宋体" w:hAnsi="Arial" w:hint="eastAsia"/>
                <w:color w:val="000000"/>
                <w:sz w:val="20"/>
                <w:szCs w:val="20"/>
              </w:rPr>
              <w:t>；</w:t>
            </w:r>
          </w:p>
          <w:p>
            <w:pPr>
              <w:pStyle w:val="style179"/>
              <w:numPr>
                <w:ilvl w:val="0"/>
                <w:numId w:val="11"/>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改善农村生活环境，</w:t>
            </w:r>
            <w:r>
              <w:rPr>
                <w:rFonts w:ascii="Arial" w:cs="Arial" w:eastAsia="宋体" w:hAnsi="Arial" w:hint="eastAsia"/>
                <w:color w:val="000000"/>
                <w:sz w:val="20"/>
                <w:szCs w:val="20"/>
              </w:rPr>
              <w:t>比如新</w:t>
            </w:r>
            <w:r>
              <w:rPr>
                <w:rFonts w:ascii="Arial" w:cs="Arial" w:eastAsia="宋体" w:hAnsi="Arial"/>
                <w:color w:val="000000"/>
                <w:sz w:val="20"/>
                <w:szCs w:val="20"/>
              </w:rPr>
              <w:t>建</w:t>
            </w:r>
            <w:r>
              <w:rPr>
                <w:rFonts w:ascii="Arial" w:cs="Arial" w:eastAsia="宋体" w:hAnsi="Arial" w:hint="eastAsia"/>
                <w:color w:val="000000"/>
                <w:sz w:val="20"/>
                <w:szCs w:val="20"/>
              </w:rPr>
              <w:t>或修复</w:t>
            </w:r>
            <w:r>
              <w:rPr>
                <w:rFonts w:ascii="Arial" w:cs="Arial" w:eastAsia="宋体" w:hAnsi="Arial"/>
                <w:color w:val="000000"/>
                <w:sz w:val="20"/>
                <w:szCs w:val="20"/>
              </w:rPr>
              <w:t>气候智慧型农村</w:t>
            </w:r>
            <w:r>
              <w:rPr>
                <w:rFonts w:ascii="Arial" w:cs="Arial" w:eastAsia="宋体" w:hAnsi="Arial" w:hint="eastAsia"/>
                <w:color w:val="000000"/>
                <w:sz w:val="20"/>
                <w:szCs w:val="20"/>
              </w:rPr>
              <w:t>固体废物/</w:t>
            </w:r>
            <w:r>
              <w:rPr>
                <w:rFonts w:ascii="Arial" w:cs="Arial" w:eastAsia="宋体" w:hAnsi="Arial"/>
                <w:color w:val="000000"/>
                <w:sz w:val="20"/>
                <w:szCs w:val="20"/>
              </w:rPr>
              <w:t>生活垃圾</w:t>
            </w:r>
            <w:r>
              <w:rPr>
                <w:rFonts w:ascii="Arial" w:cs="Arial" w:eastAsia="宋体" w:hAnsi="Arial" w:hint="eastAsia"/>
                <w:color w:val="000000"/>
                <w:sz w:val="20"/>
                <w:szCs w:val="20"/>
              </w:rPr>
              <w:t>转运系统和农村</w:t>
            </w:r>
            <w:r>
              <w:rPr>
                <w:rFonts w:ascii="Arial" w:cs="Arial" w:eastAsia="宋体" w:hAnsi="Arial"/>
                <w:color w:val="000000"/>
                <w:sz w:val="20"/>
                <w:szCs w:val="20"/>
              </w:rPr>
              <w:t>生活污水</w:t>
            </w:r>
            <w:r>
              <w:rPr>
                <w:rFonts w:ascii="Arial" w:cs="Arial" w:eastAsia="宋体" w:hAnsi="Arial" w:hint="eastAsia"/>
                <w:color w:val="000000"/>
                <w:sz w:val="20"/>
                <w:szCs w:val="20"/>
              </w:rPr>
              <w:t>处理设施</w:t>
            </w:r>
            <w:r>
              <w:rPr>
                <w:rFonts w:ascii="Arial" w:cs="Arial" w:eastAsia="宋体" w:hAnsi="Arial"/>
                <w:color w:val="000000"/>
                <w:sz w:val="20"/>
                <w:szCs w:val="20"/>
              </w:rPr>
              <w:t>，</w:t>
            </w:r>
            <w:r>
              <w:rPr>
                <w:rFonts w:ascii="Arial" w:cs="Arial" w:eastAsia="宋体" w:hAnsi="Arial" w:hint="eastAsia"/>
                <w:color w:val="000000"/>
                <w:sz w:val="20"/>
                <w:szCs w:val="20"/>
              </w:rPr>
              <w:t>改善农村生活垃圾</w:t>
            </w:r>
            <w:r>
              <w:rPr>
                <w:rFonts w:ascii="Arial" w:cs="Arial" w:eastAsia="宋体" w:hAnsi="Arial"/>
                <w:color w:val="000000"/>
                <w:sz w:val="20"/>
                <w:szCs w:val="20"/>
              </w:rPr>
              <w:t>收集</w:t>
            </w:r>
            <w:r>
              <w:rPr>
                <w:rFonts w:ascii="Arial" w:cs="Arial" w:eastAsia="宋体" w:hAnsi="Arial" w:hint="eastAsia"/>
                <w:color w:val="000000"/>
                <w:sz w:val="20"/>
                <w:szCs w:val="20"/>
              </w:rPr>
              <w:t>与处置系统，包括固体废物的</w:t>
            </w:r>
            <w:r>
              <w:rPr>
                <w:rFonts w:ascii="Arial" w:cs="Arial" w:eastAsia="宋体" w:hAnsi="Arial"/>
                <w:color w:val="000000"/>
                <w:sz w:val="20"/>
                <w:szCs w:val="20"/>
              </w:rPr>
              <w:t>分类</w:t>
            </w:r>
            <w:r>
              <w:rPr>
                <w:rFonts w:ascii="Arial" w:cs="Arial" w:eastAsia="宋体" w:hAnsi="Arial" w:hint="eastAsia"/>
                <w:color w:val="000000"/>
                <w:sz w:val="20"/>
                <w:szCs w:val="20"/>
              </w:rPr>
              <w:t>收集</w:t>
            </w:r>
            <w:r>
              <w:rPr>
                <w:rFonts w:ascii="Arial" w:cs="Arial" w:eastAsia="宋体" w:hAnsi="Arial"/>
                <w:color w:val="000000"/>
                <w:sz w:val="20"/>
                <w:szCs w:val="20"/>
              </w:rPr>
              <w:t>、</w:t>
            </w:r>
            <w:r>
              <w:rPr>
                <w:rFonts w:ascii="Arial" w:cs="Arial" w:eastAsia="宋体" w:hAnsi="Arial" w:hint="eastAsia"/>
                <w:color w:val="000000"/>
                <w:sz w:val="20"/>
                <w:szCs w:val="20"/>
              </w:rPr>
              <w:t>回收</w:t>
            </w:r>
            <w:r>
              <w:rPr>
                <w:rFonts w:ascii="Arial" w:cs="Arial" w:eastAsia="宋体" w:hAnsi="Arial"/>
                <w:color w:val="000000"/>
                <w:sz w:val="20"/>
                <w:szCs w:val="20"/>
              </w:rPr>
              <w:t>利用</w:t>
            </w:r>
            <w:r>
              <w:rPr>
                <w:rFonts w:ascii="Arial" w:cs="Arial" w:eastAsia="宋体" w:hAnsi="Arial" w:hint="eastAsia"/>
                <w:color w:val="000000"/>
                <w:sz w:val="20"/>
                <w:szCs w:val="20"/>
              </w:rPr>
              <w:t>、改善卫生条件即</w:t>
            </w:r>
            <w:r>
              <w:rPr>
                <w:rFonts w:ascii="Arial" w:cs="Arial" w:eastAsia="宋体" w:hAnsi="Arial"/>
                <w:color w:val="000000"/>
                <w:sz w:val="20"/>
                <w:szCs w:val="20"/>
              </w:rPr>
              <w:t>厕所革命</w:t>
            </w:r>
            <w:r>
              <w:rPr>
                <w:rFonts w:ascii="Arial" w:cs="Arial" w:eastAsia="宋体" w:hAnsi="Arial" w:hint="eastAsia"/>
                <w:color w:val="000000"/>
                <w:sz w:val="20"/>
                <w:szCs w:val="20"/>
              </w:rPr>
              <w:t>等；</w:t>
            </w:r>
          </w:p>
          <w:p>
            <w:pPr>
              <w:pStyle w:val="style179"/>
              <w:numPr>
                <w:ilvl w:val="0"/>
                <w:numId w:val="11"/>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针对污水与垃圾管理设施运行维护开展培训和能力建设</w:t>
            </w:r>
          </w:p>
        </w:tc>
        <w:tc>
          <w:tcPr>
            <w:tcW w:w="2056" w:type="pct"/>
            <w:tcBorders/>
            <w:tcMar/>
          </w:tcPr>
          <w:p>
            <w:pPr>
              <w:pStyle w:val="style0"/>
              <w:adjustRightInd w:val="false"/>
              <w:snapToGrid w:val="false"/>
              <w:rPr>
                <w:rFonts w:ascii="Arial" w:cs="Arial" w:eastAsia="宋体" w:hAnsi="Arial"/>
                <w:bCs/>
                <w:sz w:val="20"/>
                <w:szCs w:val="20"/>
              </w:rPr>
            </w:pPr>
            <w:r>
              <w:rPr>
                <w:rFonts w:ascii="Arial" w:cs="Arial" w:eastAsia="宋体" w:hAnsi="Arial"/>
                <w:b/>
                <w:sz w:val="20"/>
                <w:szCs w:val="20"/>
              </w:rPr>
              <w:t>DLI7</w:t>
            </w:r>
            <w:r>
              <w:rPr>
                <w:rFonts w:ascii="Arial" w:cs="Arial" w:eastAsia="宋体" w:hAnsi="Arial" w:hint="eastAsia"/>
                <w:b/>
                <w:sz w:val="20"/>
                <w:szCs w:val="20"/>
              </w:rPr>
              <w:t>：</w:t>
            </w:r>
            <w:r>
              <w:rPr>
                <w:rFonts w:ascii="Arial" w:cs="Arial" w:eastAsia="宋体" w:hAnsi="Arial" w:hint="eastAsia"/>
                <w:color w:val="000000"/>
                <w:sz w:val="20"/>
                <w:szCs w:val="20"/>
              </w:rPr>
              <w:t>项目县主管部门通过的（包括空间规划）的多规合一村庄规划数</w:t>
            </w:r>
            <w:r>
              <w:rPr>
                <w:rFonts w:ascii="Arial" w:cs="Arial" w:eastAsia="宋体" w:hAnsi="Arial"/>
                <w:color w:val="000000"/>
                <w:sz w:val="20"/>
                <w:szCs w:val="20"/>
              </w:rPr>
              <w:t>(IVDPs)</w:t>
            </w:r>
          </w:p>
          <w:p>
            <w:pPr>
              <w:pStyle w:val="style0"/>
              <w:widowControl/>
              <w:adjustRightInd w:val="false"/>
              <w:snapToGrid w:val="false"/>
              <w:rPr>
                <w:rFonts w:ascii="Arial" w:cs="Arial" w:eastAsia="宋体" w:hAnsi="Arial"/>
                <w:color w:val="000000"/>
                <w:sz w:val="20"/>
                <w:szCs w:val="20"/>
              </w:rPr>
            </w:pPr>
            <w:r>
              <w:rPr>
                <w:rFonts w:ascii="Arial" w:cs="Arial" w:eastAsia="宋体" w:hAnsi="Arial"/>
                <w:b/>
                <w:sz w:val="20"/>
                <w:szCs w:val="20"/>
              </w:rPr>
              <w:t>DLI8</w:t>
            </w:r>
            <w:r>
              <w:rPr>
                <w:rFonts w:ascii="Arial" w:cs="Arial" w:eastAsia="宋体" w:hAnsi="Arial" w:hint="eastAsia"/>
                <w:b/>
                <w:sz w:val="20"/>
                <w:szCs w:val="20"/>
              </w:rPr>
              <w:t>：</w:t>
            </w:r>
            <w:r>
              <w:rPr>
                <w:rFonts w:ascii="Arial" w:cs="Arial" w:eastAsia="宋体" w:hAnsi="Arial" w:hint="eastAsia"/>
                <w:color w:val="000000"/>
                <w:sz w:val="20"/>
                <w:szCs w:val="20"/>
              </w:rPr>
              <w:t>项目县新建气候适应性污水处理系统，并建立固体垃圾收集、分类和转运系统的示范村数量</w:t>
            </w:r>
          </w:p>
        </w:tc>
      </w:tr>
    </w:tbl>
    <w:p>
      <w:pPr>
        <w:pStyle w:val="style179"/>
        <w:numPr>
          <w:ilvl w:val="0"/>
          <w:numId w:val="6"/>
        </w:numPr>
        <w:adjustRightInd w:val="false"/>
        <w:snapToGrid w:val="false"/>
        <w:spacing w:before="120" w:after="120"/>
        <w:ind w:left="0" w:firstLine="0" w:firstLineChars="0"/>
        <w:rPr>
          <w:rFonts w:ascii="Arial" w:cs="Arial" w:eastAsia="宋体" w:hAnsi="Arial"/>
          <w:bCs/>
          <w:sz w:val="22"/>
          <w:szCs w:val="24"/>
        </w:rPr>
      </w:pPr>
      <w:r>
        <w:rPr>
          <w:rFonts w:ascii="Arial" w:cs="Arial" w:eastAsia="宋体" w:hAnsi="Arial"/>
          <w:sz w:val="22"/>
          <w:szCs w:val="24"/>
        </w:rPr>
        <w:tab/>
      </w:r>
      <w:r>
        <w:rPr>
          <w:rFonts w:ascii="Arial" w:cs="Arial" w:eastAsia="宋体" w:hAnsi="Arial"/>
          <w:bCs/>
          <w:sz w:val="22"/>
          <w:szCs w:val="24"/>
        </w:rPr>
        <w:t>本项目支持的省级技术援助活动类型主要包括制定标准规范；建立财政预算机制；建立监测评价机制；制定人才培养计划；制定多规合一村庄规划；培训和能力建设活动等。本项目支持的实体工程是农业生产和农村基础设施相关的建设项目，主要类型包括</w:t>
      </w:r>
      <w:r>
        <w:rPr>
          <w:rFonts w:ascii="Arial" w:cs="Arial" w:eastAsia="宋体" w:hAnsi="Arial"/>
          <w:sz w:val="22"/>
          <w:szCs w:val="24"/>
        </w:rPr>
        <w:t>农村户厕改造及生活污水收集与处理；农村生活垃圾收集与转运；废弃农用塑料收集；秸秆收集与综合利用；畜禽粪污处理与综合利用；建设或修复田间道路、农村通路、灌溉与排水系统、冷库设施等</w:t>
      </w:r>
      <w:r>
        <w:rPr>
          <w:rFonts w:ascii="Arial" w:cs="Arial" w:eastAsia="宋体" w:hAnsi="Arial"/>
          <w:bCs/>
          <w:sz w:val="22"/>
          <w:szCs w:val="24"/>
        </w:rPr>
        <w:t>。</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本项目将从多个行业和级别来确保项目监督管理及跨领域和跨政府协调。广西和贵州两省乡村振兴局下设的项目管理团队负责总体项目协调和管理。项目活动实施单位</w:t>
      </w:r>
      <w:r>
        <w:rPr>
          <w:rFonts w:ascii="Arial" w:cs="Arial" w:eastAsia="宋体" w:hAnsi="Arial"/>
          <w:bCs/>
          <w:sz w:val="22"/>
          <w:szCs w:val="24"/>
        </w:rPr>
        <w:t>包括不同级别和行业的政府机关</w:t>
      </w:r>
      <w:r>
        <w:rPr>
          <w:rFonts w:ascii="Arial" w:cs="Arial" w:eastAsia="宋体" w:hAnsi="Arial"/>
          <w:sz w:val="22"/>
          <w:szCs w:val="24"/>
        </w:rPr>
        <w:t>。省级行业主管部门负责相关活动实施阶段的总体管理和监督；县级行业主管部门负责具体活动的规划、实施和监测。</w:t>
      </w:r>
      <w:r>
        <w:rPr>
          <w:rFonts w:ascii="Arial" w:cs="Arial" w:eastAsia="宋体" w:hAnsi="Arial"/>
          <w:b/>
          <w:bCs/>
          <w:sz w:val="22"/>
          <w:szCs w:val="24"/>
        </w:rPr>
        <w:t>农业农村部门</w:t>
      </w:r>
      <w:r>
        <w:rPr>
          <w:rFonts w:ascii="Arial" w:cs="Arial" w:eastAsia="宋体" w:hAnsi="Arial"/>
          <w:sz w:val="22"/>
          <w:szCs w:val="24"/>
        </w:rPr>
        <w:t>负责病虫害防治与农药减量、化肥减量、畜禽粪污处理与利用、秸秆收集与综合利用、农膜及农药化肥包装废弃物回收；</w:t>
      </w:r>
      <w:r>
        <w:rPr>
          <w:rFonts w:ascii="Arial" w:cs="Arial" w:eastAsia="宋体" w:hAnsi="Arial"/>
          <w:b/>
          <w:bCs/>
          <w:sz w:val="22"/>
          <w:szCs w:val="24"/>
        </w:rPr>
        <w:t>住建部门</w:t>
      </w:r>
      <w:r>
        <w:rPr>
          <w:rFonts w:ascii="Arial" w:cs="Arial" w:eastAsia="宋体" w:hAnsi="Arial"/>
          <w:sz w:val="22"/>
          <w:szCs w:val="24"/>
        </w:rPr>
        <w:t>牵头负责农村生活垃圾管理；</w:t>
      </w:r>
      <w:r>
        <w:rPr>
          <w:rFonts w:ascii="Arial" w:cs="Arial" w:eastAsia="宋体" w:hAnsi="Arial"/>
          <w:b/>
          <w:bCs/>
          <w:sz w:val="22"/>
          <w:szCs w:val="24"/>
        </w:rPr>
        <w:t>生态环境部门</w:t>
      </w:r>
      <w:r>
        <w:rPr>
          <w:rFonts w:ascii="Arial" w:cs="Arial" w:eastAsia="宋体" w:hAnsi="Arial"/>
          <w:sz w:val="22"/>
          <w:szCs w:val="24"/>
        </w:rPr>
        <w:t>负责农村生活污水管理、秸秆焚烧污染监管、畜禽养殖污染监管、水土环境监测、生态保护红线管理等；</w:t>
      </w:r>
      <w:r>
        <w:rPr>
          <w:rFonts w:ascii="Arial" w:cs="Arial" w:eastAsia="宋体" w:hAnsi="Arial"/>
          <w:b/>
          <w:bCs/>
          <w:sz w:val="22"/>
          <w:szCs w:val="24"/>
        </w:rPr>
        <w:t>自然资源部门</w:t>
      </w:r>
      <w:r>
        <w:rPr>
          <w:rFonts w:ascii="Arial" w:cs="Arial" w:eastAsia="宋体" w:hAnsi="Arial"/>
          <w:sz w:val="22"/>
          <w:szCs w:val="24"/>
        </w:rPr>
        <w:t>负责指导村庄规划、土地利用、生态保护红线划分与管理；</w:t>
      </w:r>
      <w:r>
        <w:rPr>
          <w:rFonts w:ascii="Arial" w:cs="Arial" w:eastAsia="宋体" w:hAnsi="Arial"/>
          <w:b/>
          <w:bCs/>
          <w:sz w:val="22"/>
          <w:szCs w:val="24"/>
        </w:rPr>
        <w:t>林业部门</w:t>
      </w:r>
      <w:r>
        <w:rPr>
          <w:rFonts w:ascii="Arial" w:cs="Arial" w:eastAsia="宋体" w:hAnsi="Arial"/>
          <w:sz w:val="22"/>
          <w:szCs w:val="24"/>
        </w:rPr>
        <w:t>负责自然保护地管理；</w:t>
      </w:r>
      <w:r>
        <w:rPr>
          <w:rFonts w:ascii="Arial" w:cs="Arial" w:eastAsia="宋体" w:hAnsi="Arial"/>
          <w:b/>
          <w:bCs/>
          <w:sz w:val="22"/>
          <w:szCs w:val="24"/>
        </w:rPr>
        <w:t>水利部门</w:t>
      </w:r>
      <w:r>
        <w:rPr>
          <w:rFonts w:ascii="Arial" w:cs="Arial" w:eastAsia="宋体" w:hAnsi="Arial"/>
          <w:sz w:val="22"/>
          <w:szCs w:val="24"/>
        </w:rPr>
        <w:t>负责灌溉水源和灌区干支渠管理；</w:t>
      </w:r>
      <w:r>
        <w:rPr>
          <w:rFonts w:ascii="Arial" w:cs="Arial" w:eastAsia="宋体" w:hAnsi="Arial"/>
          <w:b/>
          <w:bCs/>
          <w:sz w:val="22"/>
          <w:szCs w:val="24"/>
        </w:rPr>
        <w:t>卫生健康、应急管理</w:t>
      </w:r>
      <w:r>
        <w:rPr>
          <w:rFonts w:ascii="Arial" w:cs="Arial" w:eastAsia="宋体" w:hAnsi="Arial"/>
          <w:sz w:val="22"/>
          <w:szCs w:val="24"/>
        </w:rPr>
        <w:t>及相关行业主管部门负责职业健康与安全生产监督管理。</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广西和贵州两省政府都具有丰富的国际贷款项目经验。广西农业农村厅下属的农业外资项目管理中心（以下简称</w:t>
      </w:r>
      <w:r>
        <w:rPr>
          <w:rFonts w:ascii="Arial" w:cs="Arial" w:eastAsia="宋体" w:hAnsi="Arial"/>
          <w:b/>
          <w:bCs/>
          <w:sz w:val="22"/>
          <w:szCs w:val="24"/>
        </w:rPr>
        <w:t>广西项目办</w:t>
      </w:r>
      <w:r>
        <w:rPr>
          <w:rFonts w:ascii="Arial" w:cs="Arial" w:eastAsia="宋体" w:hAnsi="Arial"/>
          <w:sz w:val="22"/>
          <w:szCs w:val="24"/>
        </w:rPr>
        <w:t>）是1996年成立的正处级参公事业单位，现有编制18人，下设4个科室（综合科、财务科、项目一科、项目二科），其中项目一科负责项目环境与社会管理。广西项目办迄今已实施了9个世行、亚行等国际金融组织及联合国机构贷款</w:t>
      </w:r>
      <w:r>
        <w:rPr>
          <w:rFonts w:ascii="Arial" w:cs="Arial" w:eastAsia="宋体" w:hAnsi="Arial"/>
          <w:sz w:val="22"/>
          <w:szCs w:val="24"/>
          <w:lang w:val="en-GB"/>
        </w:rPr>
        <w:t>/</w:t>
      </w:r>
      <w:r>
        <w:rPr>
          <w:rFonts w:ascii="Arial" w:cs="Arial" w:eastAsia="宋体" w:hAnsi="Arial"/>
          <w:sz w:val="22"/>
          <w:szCs w:val="24"/>
        </w:rPr>
        <w:t>赠款项目，如正在实施的广西世行贷款扶贫PfoR项目，其中包含了与本项目相似类型的活动。贵州省乡村振兴局外资项目管理中心（以下简称</w:t>
      </w:r>
      <w:r>
        <w:rPr>
          <w:rFonts w:ascii="Arial" w:cs="Arial" w:eastAsia="宋体" w:hAnsi="Arial"/>
          <w:b/>
          <w:bCs/>
          <w:sz w:val="22"/>
          <w:szCs w:val="24"/>
        </w:rPr>
        <w:t>贵州项目办</w:t>
      </w:r>
      <w:r>
        <w:rPr>
          <w:rFonts w:ascii="Arial" w:cs="Arial" w:eastAsia="宋体" w:hAnsi="Arial"/>
          <w:sz w:val="22"/>
          <w:szCs w:val="24"/>
        </w:rPr>
        <w:t>）是1994年成立的副厅级参公事业单位，现有编制29人，下设5个处室（综合处、计划处、项目处、财务处、监测与国际合作处），其中监测与国际合作处负责项目环境与社会管理工作。贵州项目办迄今已实施了6个世行、亚行、日本协力银行等国际金融组织贷款</w:t>
      </w:r>
      <w:r>
        <w:rPr>
          <w:rFonts w:ascii="Arial" w:cs="Arial" w:eastAsia="宋体" w:hAnsi="Arial"/>
          <w:sz w:val="22"/>
          <w:szCs w:val="24"/>
          <w:lang w:val="en-GB"/>
        </w:rPr>
        <w:t>/</w:t>
      </w:r>
      <w:r>
        <w:rPr>
          <w:rFonts w:ascii="Arial" w:cs="Arial" w:eastAsia="宋体" w:hAnsi="Arial"/>
          <w:sz w:val="22"/>
          <w:szCs w:val="24"/>
        </w:rPr>
        <w:t>赠款项目，如日本协力银行贵州环境与社会发展项目、世行贷款贵州农村发展项目、世行贷款中国贫困片区产业扶贫试点示范项目等均包含与本项目相似类型的活动。</w:t>
      </w:r>
      <w:r>
        <w:rPr>
          <w:rFonts w:ascii="Arial" w:cs="Arial" w:eastAsia="宋体" w:hAnsi="Arial"/>
          <w:bCs/>
          <w:sz w:val="22"/>
          <w:szCs w:val="24"/>
        </w:rPr>
        <w:t>根据对过往项目实地考察</w:t>
      </w:r>
      <w:r>
        <w:rPr>
          <w:rFonts w:ascii="Arial" w:cs="Arial" w:eastAsia="宋体" w:hAnsi="Arial"/>
          <w:sz w:val="22"/>
          <w:szCs w:val="24"/>
        </w:rPr>
        <w:t>，两省在依照世行和亚行标准进行环境与社会管理和监测方面，拥有丰富的经验和良好的过往业绩, 相应的环境与社会管理绩效迄今为止较为满意。除了两个省级项目办，在其他相关省级和县级行业部门也设置了专门人员，对本项目环境与社会问题进行协调和管理。</w:t>
      </w:r>
    </w:p>
    <w:bookmarkStart w:id="104" w:name="_Toc79939245"/>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105" w:name="_Toc93944797"/>
      <w:r>
        <w:rPr>
          <w:rFonts w:ascii="Arial" w:cs="Arial" w:eastAsia="宋体" w:hAnsi="Arial"/>
          <w:color w:val="1f4e79"/>
          <w:sz w:val="28"/>
          <w:szCs w:val="28"/>
        </w:rPr>
        <w:t>环境与社会影响</w:t>
      </w:r>
      <w:bookmarkEnd w:id="104"/>
      <w:r>
        <w:rPr>
          <w:rFonts w:ascii="Arial" w:cs="Arial" w:eastAsia="宋体" w:hAnsi="Arial"/>
          <w:color w:val="1f4e79"/>
          <w:sz w:val="28"/>
          <w:szCs w:val="28"/>
        </w:rPr>
        <w:t>分析</w:t>
      </w:r>
      <w:bookmarkEnd w:id="105"/>
    </w:p>
    <w:bookmarkStart w:id="106" w:name="_Toc77947533"/>
    <w:bookmarkStart w:id="107" w:name="_Toc77947589"/>
    <w:bookmarkStart w:id="108" w:name="_Toc77947796"/>
    <w:bookmarkStart w:id="109" w:name="_Toc77947846"/>
    <w:bookmarkStart w:id="110" w:name="_Toc78301171"/>
    <w:bookmarkStart w:id="111" w:name="_Toc77947990"/>
    <w:bookmarkStart w:id="112" w:name="_Toc77948527"/>
    <w:bookmarkStart w:id="113" w:name="_Toc77948052"/>
    <w:bookmarkStart w:id="114" w:name="_Toc79141944"/>
    <w:bookmarkStart w:id="115" w:name="_Toc79402173"/>
    <w:bookmarkStart w:id="116" w:name="_Toc79402220"/>
    <w:bookmarkStart w:id="117" w:name="_Toc79736423"/>
    <w:bookmarkStart w:id="118" w:name="_Toc79736558"/>
    <w:bookmarkStart w:id="119" w:name="_Toc79939246"/>
    <w:bookmarkStart w:id="120" w:name="_Toc88842025"/>
    <w:bookmarkStart w:id="121" w:name="_Toc88857475"/>
    <w:bookmarkStart w:id="122" w:name="_Toc88857555"/>
    <w:bookmarkStart w:id="123" w:name="_Toc88858329"/>
    <w:bookmarkStart w:id="124" w:name="_Toc88858419"/>
    <w:bookmarkStart w:id="125" w:name="_Toc88858563"/>
    <w:bookmarkStart w:id="126" w:name="_Toc88858650"/>
    <w:bookmarkStart w:id="127" w:name="_Toc88858761"/>
    <w:bookmarkStart w:id="128" w:name="_Toc88858814"/>
    <w:bookmarkStart w:id="129" w:name="_Toc88859488"/>
    <w:bookmarkStart w:id="130" w:name="_Toc88860745"/>
    <w:bookmarkStart w:id="131" w:name="_Toc88861915"/>
    <w:bookmarkStart w:id="132" w:name="_Toc88861968"/>
    <w:bookmarkStart w:id="133" w:name="_Toc88862090"/>
    <w:bookmarkStart w:id="134" w:name="_Toc89016098"/>
    <w:bookmarkStart w:id="135" w:name="_Toc89155494"/>
    <w:bookmarkStart w:id="136" w:name="_Toc89155569"/>
    <w:bookmarkStart w:id="137" w:name="_Toc89241933"/>
    <w:bookmarkStart w:id="138" w:name="_Toc89421576"/>
    <w:bookmarkStart w:id="139" w:name="_Toc89425487"/>
    <w:bookmarkStart w:id="140" w:name="_Toc89703036"/>
    <w:bookmarkStart w:id="141" w:name="_Toc89703106"/>
    <w:bookmarkStart w:id="142" w:name="_Toc90169402"/>
    <w:bookmarkStart w:id="143" w:name="_Toc90169498"/>
    <w:bookmarkStart w:id="144" w:name="_Toc90173629"/>
    <w:bookmarkStart w:id="145" w:name="_Toc90173906"/>
    <w:bookmarkStart w:id="146" w:name="_Toc90174083"/>
    <w:bookmarkStart w:id="147" w:name="_Toc90174135"/>
    <w:bookmarkStart w:id="148" w:name="_Toc90176450"/>
    <w:bookmarkStart w:id="149" w:name="_Toc90180656"/>
    <w:bookmarkStart w:id="150" w:name="_Toc90181093"/>
    <w:bookmarkStart w:id="151" w:name="_Toc90216890"/>
    <w:bookmarkStart w:id="152" w:name="_Toc90310579"/>
    <w:bookmarkStart w:id="153" w:name="_Toc90331882"/>
    <w:bookmarkStart w:id="154" w:name="_Toc90332038"/>
    <w:bookmarkStart w:id="155" w:name="_Toc90332294"/>
    <w:bookmarkStart w:id="156" w:name="_Toc90334668"/>
    <w:bookmarkStart w:id="157" w:name="_Toc90414816"/>
    <w:bookmarkStart w:id="158" w:name="_Toc90550975"/>
    <w:bookmarkStart w:id="159" w:name="_Toc90551046"/>
    <w:bookmarkStart w:id="160" w:name="_Toc90551166"/>
    <w:bookmarkStart w:id="161" w:name="_Toc90590518"/>
    <w:bookmarkStart w:id="162" w:name="_Toc90590563"/>
    <w:bookmarkStart w:id="163" w:name="_Toc90711507"/>
    <w:bookmarkStart w:id="164" w:name="_Toc90840413"/>
    <w:bookmarkStart w:id="165" w:name="_Toc90855461"/>
    <w:bookmarkStart w:id="166" w:name="_Toc90855527"/>
    <w:bookmarkStart w:id="167" w:name="_Toc90855746"/>
    <w:bookmarkStart w:id="168" w:name="_Toc90856363"/>
    <w:bookmarkStart w:id="169" w:name="_Toc90904780"/>
    <w:bookmarkStart w:id="170" w:name="_Toc90905766"/>
    <w:bookmarkStart w:id="171" w:name="_Toc91190246"/>
    <w:bookmarkStart w:id="172" w:name="_Toc91572660"/>
    <w:bookmarkStart w:id="173" w:name="_Toc91572728"/>
    <w:bookmarkStart w:id="174" w:name="_Toc91572809"/>
    <w:bookmarkStart w:id="175" w:name="_Toc91572875"/>
    <w:bookmarkStart w:id="176" w:name="_Toc91572941"/>
    <w:bookmarkStart w:id="177" w:name="_Toc91573007"/>
    <w:bookmarkStart w:id="178" w:name="_Toc91573139"/>
    <w:bookmarkStart w:id="179" w:name="_Toc92267118"/>
    <w:bookmarkStart w:id="180" w:name="_Toc92726967"/>
    <w:bookmarkStart w:id="181" w:name="_Toc92803950"/>
    <w:bookmarkStart w:id="182" w:name="_Toc9394479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Pr>
        <w:pStyle w:val="style179"/>
        <w:keepNext/>
        <w:keepLines/>
        <w:numPr>
          <w:ilvl w:val="0"/>
          <w:numId w:val="8"/>
        </w:numPr>
        <w:adjustRightInd w:val="false"/>
        <w:snapToGrid w:val="false"/>
        <w:spacing w:before="120" w:after="120"/>
        <w:ind w:firstLineChars="0"/>
        <w:outlineLvl w:val="1"/>
        <w:rPr>
          <w:rFonts w:ascii="Arial" w:cs="Arial" w:eastAsia="宋体" w:hAnsi="Arial"/>
          <w:b/>
          <w:bCs/>
          <w:vanish/>
          <w:color w:val="1f4e79"/>
          <w:sz w:val="22"/>
          <w:szCs w:val="24"/>
        </w:rPr>
      </w:pPr>
    </w:p>
    <w:bookmarkStart w:id="183" w:name="_Toc79939247"/>
    <w:bookmarkStart w:id="184" w:name="_Toc93944799"/>
    <w:p>
      <w:pPr>
        <w:pStyle w:val="style2"/>
        <w:rPr>
          <w:color w:val="1f4e79"/>
          <w:sz w:val="24"/>
          <w:szCs w:val="24"/>
        </w:rPr>
      </w:pPr>
      <w:r>
        <w:rPr>
          <w:color w:val="1f4e79"/>
          <w:sz w:val="24"/>
          <w:szCs w:val="24"/>
        </w:rPr>
        <w:t>2.1</w:t>
      </w:r>
      <w:r>
        <w:rPr>
          <w:color w:val="1f4e79"/>
          <w:sz w:val="24"/>
          <w:szCs w:val="24"/>
        </w:rPr>
        <w:tab/>
      </w:r>
      <w:r>
        <w:rPr>
          <w:color w:val="1f4e79"/>
          <w:sz w:val="24"/>
          <w:szCs w:val="24"/>
        </w:rPr>
        <w:tab/>
      </w:r>
      <w:r>
        <w:rPr>
          <w:color w:val="1f4e79"/>
          <w:sz w:val="24"/>
          <w:szCs w:val="24"/>
        </w:rPr>
        <w:t>环境与社会排除清单</w:t>
      </w:r>
      <w:bookmarkEnd w:id="183"/>
      <w:bookmarkEnd w:id="184"/>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目的</w:t>
      </w:r>
      <w:r>
        <w:rPr>
          <w:rFonts w:ascii="Arial" w:cs="Arial" w:eastAsia="宋体" w:hAnsi="Arial"/>
          <w:sz w:val="22"/>
          <w:szCs w:val="24"/>
        </w:rPr>
        <w:t>：本项目在概念鉴别和环境与社会管理体系评估过程中，</w:t>
      </w:r>
      <w:r>
        <w:rPr>
          <w:rFonts w:ascii="Arial" w:cs="Arial" w:eastAsia="宋体" w:hAnsi="Arial"/>
          <w:bCs/>
          <w:sz w:val="22"/>
          <w:szCs w:val="24"/>
        </w:rPr>
        <w:t>充分考虑了世行政策中对环境与社会影响筛查的原则要求</w:t>
      </w:r>
      <w:r>
        <w:rPr>
          <w:rFonts w:ascii="Arial" w:cs="Arial" w:eastAsia="宋体" w:hAnsi="Arial"/>
          <w:sz w:val="22"/>
          <w:szCs w:val="24"/>
        </w:rPr>
        <w:t>，对政府规划中纳入本项目的规划活动进行了筛选，旨在</w:t>
      </w:r>
      <w:r>
        <w:rPr>
          <w:rFonts w:ascii="Arial" w:cs="Arial" w:eastAsia="宋体" w:hAnsi="Arial"/>
          <w:sz w:val="22"/>
          <w:szCs w:val="24"/>
          <w:lang w:val="en-GB"/>
        </w:rPr>
        <w:t>：</w:t>
      </w:r>
      <w:r>
        <w:rPr>
          <w:rFonts w:ascii="Arial" w:cs="Arial" w:eastAsia="宋体" w:hAnsi="Arial"/>
          <w:sz w:val="22"/>
          <w:szCs w:val="24"/>
        </w:rPr>
        <w:t>1) 识别那些可能产生潜在的严重的环境与社会影响而不适于纳入本项目的内容；2) 确定需要进一步开展环境与社会体系评估的领域。</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总体原则</w:t>
      </w:r>
      <w:r>
        <w:rPr>
          <w:rFonts w:ascii="Arial" w:cs="Arial" w:eastAsia="宋体" w:hAnsi="Arial"/>
          <w:sz w:val="22"/>
          <w:szCs w:val="24"/>
        </w:rPr>
        <w:t>：本项目范围的界定首先考虑了环境与社会排除原则，即凡是存在下述潜在重大环境或社会影响的活动，均排除在本项目范围之外：</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将导致重要的自然栖息地或重要的文化遗产地发生重大转化或退化；</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污染空气、水或土壤，而对个人和社区健康与安全或生态系统造成重大不利影响；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使工人面临健康和人身安全重大风险的工作环境；</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对受影响的人产生重大不利影响的征地拆迁，或强制拆迁、强制流转土地；</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导致大规模土地利用转变或对土地/自然资源获取方式产生重大变化；</w:t>
      </w:r>
    </w:p>
    <w:bookmarkStart w:id="185" w:name="_Hlk85029235"/>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在较大的地理区域内产生重大的环境与社会不利影响，包括跨地域影响或全球影响，比如温室气体排放</w:t>
      </w:r>
      <w:bookmarkEnd w:id="185"/>
      <w:r>
        <w:rPr>
          <w:rFonts w:ascii="Arial" w:cs="Arial" w:eastAsia="宋体" w:hAnsi="Arial"/>
          <w:bCs/>
          <w:sz w:val="22"/>
        </w:rPr>
        <w:t>；</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导致重大的累积、诱发或间接环境与社会影响；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涉及强迫劳动或童工的活动；</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导致社会（包括少数民族）群体内部或之间的边缘化、歧视或冲突；</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对受传统所有权或习惯使用或占用的土地和自然资源产生不利影响的活动；导致原住民从传统拥有权或习惯使用或占领下的土地和自然资源中迁出；对少数民族的文化遗产具有重大影响。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国家《建设项目环境影响评价分类管理名录》需要编制环境影响评价报告书的项目。</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其他排除活动</w:t>
      </w:r>
      <w:r>
        <w:rPr>
          <w:rFonts w:ascii="Arial" w:cs="Arial" w:eastAsia="宋体" w:hAnsi="Arial"/>
          <w:sz w:val="22"/>
          <w:szCs w:val="24"/>
        </w:rPr>
        <w:t>：鉴于畜禽养殖设施关闭搬迁对当地农民生计的巨大影响、生活垃圾处理等大型基础设施建设的潜在环境与社会影响（包括征地和邻避效应（NIMBY）</w:t>
      </w:r>
      <w:r>
        <w:rPr>
          <w:rStyle w:val="style38"/>
          <w:rFonts w:ascii="Arial" w:cs="Arial" w:eastAsia="宋体" w:hAnsi="Arial"/>
          <w:sz w:val="22"/>
          <w:szCs w:val="24"/>
        </w:rPr>
        <w:footnoteReference w:id="1"/>
      </w:r>
      <w:r>
        <w:rPr>
          <w:rFonts w:ascii="Arial" w:cs="Arial" w:eastAsia="宋体" w:hAnsi="Arial"/>
          <w:sz w:val="22"/>
          <w:szCs w:val="24"/>
        </w:rPr>
        <w:t>风险）、新增灌溉用水可能涉及国际水域等纠纷，本项目将进一步排除：</w:t>
      </w:r>
      <w:r>
        <w:rPr>
          <w:rFonts w:ascii="Arial" w:cs="Arial" w:eastAsia="宋体" w:hAnsi="Arial"/>
          <w:sz w:val="22"/>
          <w:szCs w:val="24"/>
          <w:lang w:val="en-GB"/>
        </w:rPr>
        <w:t xml:space="preserve">1) </w:t>
      </w:r>
      <w:r>
        <w:rPr>
          <w:rFonts w:ascii="Arial" w:cs="Arial" w:eastAsia="宋体" w:hAnsi="Arial"/>
          <w:sz w:val="22"/>
          <w:szCs w:val="24"/>
        </w:rPr>
        <w:t>新建扩建畜禽养殖场；</w:t>
      </w:r>
      <w:r>
        <w:rPr>
          <w:rFonts w:ascii="Arial" w:cs="Arial" w:eastAsia="宋体" w:hAnsi="Arial"/>
          <w:sz w:val="22"/>
          <w:szCs w:val="24"/>
          <w:lang w:val="en-GB"/>
        </w:rPr>
        <w:t xml:space="preserve">2) </w:t>
      </w:r>
      <w:r>
        <w:rPr>
          <w:rFonts w:ascii="Arial" w:cs="Arial" w:eastAsia="宋体" w:hAnsi="Arial"/>
          <w:sz w:val="22"/>
          <w:szCs w:val="24"/>
        </w:rPr>
        <w:t>畜禽养殖设施搬迁或关停；3</w:t>
      </w:r>
      <w:r>
        <w:rPr>
          <w:rFonts w:ascii="Arial" w:cs="Arial" w:eastAsia="宋体" w:hAnsi="Arial"/>
          <w:sz w:val="22"/>
          <w:szCs w:val="24"/>
          <w:lang w:val="en-GB"/>
        </w:rPr>
        <w:t xml:space="preserve">) </w:t>
      </w:r>
      <w:r>
        <w:rPr>
          <w:rFonts w:ascii="Arial" w:cs="Arial" w:eastAsia="宋体" w:hAnsi="Arial"/>
          <w:sz w:val="22"/>
          <w:szCs w:val="24"/>
        </w:rPr>
        <w:t>新建、扩建、提升改造生活垃圾处理（如焚烧或填埋设施）；4</w:t>
      </w:r>
      <w:r>
        <w:rPr>
          <w:rFonts w:ascii="Arial" w:cs="Arial" w:eastAsia="宋体" w:hAnsi="Arial"/>
          <w:sz w:val="22"/>
          <w:szCs w:val="24"/>
          <w:lang w:val="en-GB"/>
        </w:rPr>
        <w:t>)</w:t>
      </w:r>
      <w:r>
        <w:rPr>
          <w:rFonts w:ascii="Arial" w:cs="Arial" w:eastAsia="宋体" w:hAnsi="Arial"/>
          <w:sz w:val="22"/>
          <w:szCs w:val="24"/>
        </w:rPr>
        <w:t xml:space="preserve"> 新建、扩建、提升改造乡镇以上城镇污水集中处理设施；5</w:t>
      </w:r>
      <w:r>
        <w:rPr>
          <w:rFonts w:ascii="Arial" w:cs="Arial" w:eastAsia="宋体" w:hAnsi="Arial"/>
          <w:sz w:val="22"/>
          <w:szCs w:val="24"/>
          <w:lang w:val="en-GB"/>
        </w:rPr>
        <w:t xml:space="preserve">) </w:t>
      </w:r>
      <w:r>
        <w:rPr>
          <w:rFonts w:ascii="Arial" w:cs="Arial" w:eastAsia="宋体" w:hAnsi="Arial"/>
          <w:sz w:val="22"/>
        </w:rPr>
        <w:t>秸秆和畜禽粪污沼气发电；</w:t>
      </w:r>
      <w:r>
        <w:rPr>
          <w:rFonts w:ascii="Arial" w:cs="Arial" w:eastAsia="宋体" w:hAnsi="Arial"/>
          <w:sz w:val="22"/>
          <w:szCs w:val="24"/>
        </w:rPr>
        <w:t>6</w:t>
      </w:r>
      <w:r>
        <w:rPr>
          <w:rFonts w:ascii="Arial" w:cs="Arial" w:eastAsia="宋体" w:hAnsi="Arial"/>
          <w:sz w:val="22"/>
          <w:szCs w:val="24"/>
          <w:lang w:val="en-GB"/>
        </w:rPr>
        <w:t xml:space="preserve">) </w:t>
      </w:r>
      <w:r>
        <w:rPr>
          <w:rFonts w:ascii="Arial" w:cs="Arial" w:eastAsia="宋体" w:hAnsi="Arial"/>
          <w:sz w:val="22"/>
          <w:szCs w:val="24"/>
        </w:rPr>
        <w:t>新建灌溉系统等活动；7) 交通为目的农村道路（如三、级四道路）。</w:t>
      </w:r>
    </w:p>
    <w:bookmarkStart w:id="186" w:name="_Toc79939248"/>
    <w:bookmarkStart w:id="187" w:name="_Toc93944800"/>
    <w:p>
      <w:pPr>
        <w:pStyle w:val="style2"/>
        <w:rPr>
          <w:color w:val="1f4e79"/>
          <w:sz w:val="24"/>
          <w:szCs w:val="24"/>
        </w:rPr>
      </w:pPr>
      <w:r>
        <w:rPr>
          <w:color w:val="1f4e79"/>
          <w:sz w:val="24"/>
          <w:szCs w:val="24"/>
        </w:rPr>
        <w:t>2.2</w:t>
      </w:r>
      <w:r>
        <w:rPr>
          <w:color w:val="1f4e79"/>
          <w:sz w:val="24"/>
          <w:szCs w:val="24"/>
        </w:rPr>
        <w:tab/>
      </w:r>
      <w:r>
        <w:rPr>
          <w:color w:val="1f4e79"/>
          <w:sz w:val="24"/>
          <w:szCs w:val="24"/>
        </w:rPr>
        <w:tab/>
      </w:r>
      <w:r>
        <w:rPr>
          <w:color w:val="1f4e79"/>
          <w:sz w:val="24"/>
          <w:szCs w:val="24"/>
        </w:rPr>
        <w:t>项目活动</w:t>
      </w:r>
      <w:bookmarkEnd w:id="186"/>
      <w:r>
        <w:rPr>
          <w:color w:val="1f4e79"/>
          <w:sz w:val="24"/>
          <w:szCs w:val="24"/>
        </w:rPr>
        <w:t>及相关设施</w:t>
      </w:r>
      <w:bookmarkEnd w:id="187"/>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本项目活动类型</w:t>
      </w:r>
      <w:r>
        <w:rPr>
          <w:rFonts w:ascii="Arial" w:cs="Arial" w:eastAsia="宋体" w:hAnsi="Arial"/>
          <w:sz w:val="22"/>
          <w:szCs w:val="24"/>
        </w:rPr>
        <w:t>：在排除了以上环境与社会高风险活动后，本项目支持的主要实体活动包括：</w:t>
      </w:r>
      <w:r>
        <w:rPr>
          <w:rFonts w:ascii="Arial" w:cs="Arial" w:eastAsia="宋体" w:hAnsi="Arial"/>
          <w:sz w:val="22"/>
          <w:lang w:val="en-GB"/>
        </w:rPr>
        <w:t xml:space="preserve">1) 农药化肥减量；2) </w:t>
      </w:r>
      <w:r>
        <w:rPr>
          <w:rFonts w:ascii="Arial" w:cs="Arial" w:eastAsia="宋体" w:hAnsi="Arial"/>
          <w:sz w:val="22"/>
        </w:rPr>
        <w:t>废旧农用塑料（农膜、</w:t>
      </w:r>
      <w:r>
        <w:rPr>
          <w:rFonts w:ascii="Arial" w:cs="Arial" w:eastAsia="宋体" w:hAnsi="Arial"/>
          <w:sz w:val="22"/>
          <w:lang w:val="en-GB"/>
        </w:rPr>
        <w:t>农药和化肥包装废弃物等</w:t>
      </w:r>
      <w:r>
        <w:rPr>
          <w:rFonts w:ascii="Arial" w:cs="Arial" w:eastAsia="宋体" w:hAnsi="Arial"/>
          <w:sz w:val="22"/>
        </w:rPr>
        <w:t>）回收</w:t>
      </w:r>
      <w:r>
        <w:rPr>
          <w:rFonts w:ascii="Arial" w:cs="Arial" w:eastAsia="宋体" w:hAnsi="Arial"/>
          <w:sz w:val="22"/>
          <w:lang w:val="en-GB"/>
        </w:rPr>
        <w:t xml:space="preserve">； 3) </w:t>
      </w:r>
      <w:r>
        <w:rPr>
          <w:rFonts w:ascii="Arial" w:cs="Arial" w:eastAsia="宋体" w:hAnsi="Arial"/>
          <w:sz w:val="22"/>
        </w:rPr>
        <w:t>畜禽粪污处理与利用</w:t>
      </w:r>
      <w:r>
        <w:rPr>
          <w:rFonts w:ascii="Arial" w:cs="Arial" w:eastAsia="宋体" w:hAnsi="Arial"/>
          <w:sz w:val="22"/>
          <w:lang w:val="en-GB"/>
        </w:rPr>
        <w:t xml:space="preserve">； 4) </w:t>
      </w:r>
      <w:r>
        <w:rPr>
          <w:rFonts w:ascii="Arial" w:cs="Arial" w:eastAsia="宋体" w:hAnsi="Arial"/>
          <w:sz w:val="22"/>
        </w:rPr>
        <w:t>秸秆收集与综合利用；</w:t>
      </w:r>
      <w:r>
        <w:rPr>
          <w:rFonts w:ascii="Arial" w:cs="Arial" w:eastAsia="宋体" w:hAnsi="Arial"/>
          <w:sz w:val="22"/>
          <w:lang w:val="en-GB"/>
        </w:rPr>
        <w:t xml:space="preserve">5) 田间道路和农村道路和冷库设施、节水灌溉；6) </w:t>
      </w:r>
      <w:r>
        <w:rPr>
          <w:rFonts w:ascii="Arial" w:cs="Arial" w:eastAsia="宋体" w:hAnsi="Arial"/>
          <w:sz w:val="22"/>
          <w:szCs w:val="24"/>
        </w:rPr>
        <w:t>农村户厕改造及</w:t>
      </w:r>
      <w:r>
        <w:rPr>
          <w:rFonts w:ascii="Arial" w:cs="Arial" w:eastAsia="宋体" w:hAnsi="Arial"/>
          <w:sz w:val="22"/>
        </w:rPr>
        <w:t>污水收集与处理</w:t>
      </w:r>
      <w:r>
        <w:rPr>
          <w:rFonts w:ascii="Arial" w:cs="Arial" w:eastAsia="宋体" w:hAnsi="Arial"/>
          <w:sz w:val="22"/>
          <w:lang w:val="en-GB"/>
        </w:rPr>
        <w:t xml:space="preserve">；7) 农村生活垃圾收集、转运、转储；8）绿色农业培训和人才培养；9) </w:t>
      </w:r>
      <w:r>
        <w:rPr>
          <w:rFonts w:ascii="Arial" w:cs="Arial" w:eastAsia="宋体" w:hAnsi="Arial"/>
          <w:color w:val="000000"/>
          <w:sz w:val="22"/>
        </w:rPr>
        <w:t>机构能力建设和课题研究（如</w:t>
      </w:r>
      <w:r>
        <w:rPr>
          <w:rFonts w:ascii="Arial" w:cs="Arial" w:eastAsia="宋体" w:hAnsi="Arial"/>
          <w:sz w:val="22"/>
          <w:lang w:val="en-GB"/>
        </w:rPr>
        <w:t>编制村庄规划等）</w:t>
      </w:r>
      <w:r>
        <w:rPr>
          <w:rFonts w:ascii="Arial" w:cs="Arial" w:eastAsia="宋体" w:hAnsi="Arial"/>
          <w:color w:val="000000"/>
          <w:sz w:val="22"/>
        </w:rPr>
        <w:t>。</w:t>
      </w:r>
    </w:p>
    <w:p>
      <w:pPr>
        <w:pStyle w:val="style179"/>
        <w:widowControl/>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通过与省级和地方行业主管部门沟通，以及对样本县的实地考察，可以看出：1</w:t>
      </w:r>
      <w:r>
        <w:rPr>
          <w:rFonts w:ascii="Arial" w:cs="Arial" w:eastAsia="宋体" w:hAnsi="Arial"/>
          <w:sz w:val="22"/>
          <w:szCs w:val="24"/>
          <w:lang w:val="en-GB"/>
        </w:rPr>
        <w:t>) 农村</w:t>
      </w:r>
      <w:r>
        <w:rPr>
          <w:rFonts w:ascii="Arial" w:cs="Arial" w:eastAsia="宋体" w:hAnsi="Arial"/>
          <w:sz w:val="22"/>
          <w:szCs w:val="24"/>
        </w:rPr>
        <w:t>污水处理设施的建设规模比较小（0.5-500m</w:t>
      </w:r>
      <w:r>
        <w:rPr>
          <w:rFonts w:ascii="Arial" w:cs="Arial" w:eastAsia="宋体" w:hAnsi="Arial"/>
          <w:sz w:val="22"/>
          <w:szCs w:val="24"/>
          <w:vertAlign w:val="superscript"/>
        </w:rPr>
        <w:t>3</w:t>
      </w:r>
      <w:r>
        <w:rPr>
          <w:rFonts w:ascii="Arial" w:cs="Arial" w:eastAsia="宋体" w:hAnsi="Arial"/>
          <w:sz w:val="22"/>
          <w:szCs w:val="24"/>
        </w:rPr>
        <w:t xml:space="preserve">/天），并根据场地条件铺设一定长度的收集管网；2) 不新建填埋场或焚烧厂等垃圾处理设施，仅支持农村垃圾收集和转运设施，规模较小、内容简单；3) 仅支持废弃农用塑料回收，相关设施和活动相对简单，回收后将利用现有设施进行处理或回用；4) 不新建畜禽养殖场，仅对现有畜禽养殖场开展粪污处理与利用，旨在进一步提高资源利用率；5) </w:t>
      </w:r>
      <w:r>
        <w:rPr>
          <w:rFonts w:ascii="Arial" w:cs="Arial" w:eastAsia="宋体" w:hAnsi="Arial"/>
          <w:sz w:val="22"/>
        </w:rPr>
        <w:t>秸秆综合利用一般是利用秸秆生产肥料、饲料、基料、原料等，生产工艺较为简单，如发酵或物理切割、粉碎，排除利用秸秆进行沼气发电的活动；6</w:t>
      </w:r>
      <w:r>
        <w:rPr>
          <w:rFonts w:ascii="Arial" w:cs="Arial" w:eastAsia="宋体" w:hAnsi="Arial"/>
          <w:sz w:val="22"/>
          <w:lang w:val="en-GB"/>
        </w:rPr>
        <w:t>) 不新建灌溉设施或水源工程，仅针对现有灌区进行节水改造；7) 田间道路、农村及冷库设施等工程建设占地不大</w:t>
      </w:r>
      <w:r>
        <w:rPr>
          <w:rFonts w:ascii="Arial" w:cs="Arial" w:eastAsia="宋体" w:hAnsi="Arial"/>
          <w:sz w:val="22"/>
          <w:szCs w:val="24"/>
        </w:rPr>
        <w:t>。根据这些活动的规模和性质，可以初步推断其不属于上述排除清单界定的条件。机构加强和村庄规划等活动的目的是改善农村基础设施和生态环境，也不属于排除清单的范围。因此，这些类型的活动可以纳入本项目范围，并开展进一步的环境与社会影响分析，如</w:t>
      </w:r>
      <w:r>
        <w:rPr>
          <w:rFonts w:ascii="Arial" w:cs="Arial" w:eastAsia="宋体" w:hAnsi="Arial"/>
          <w:b/>
          <w:bCs/>
          <w:sz w:val="22"/>
          <w:szCs w:val="24"/>
        </w:rPr>
        <w:fldChar w:fldCharType="begin"/>
      </w:r>
      <w:r>
        <w:rPr>
          <w:rFonts w:ascii="Arial" w:cs="Arial" w:eastAsia="宋体" w:hAnsi="Arial"/>
          <w:b/>
          <w:bCs/>
          <w:sz w:val="22"/>
          <w:szCs w:val="24"/>
        </w:rPr>
        <w:instrText xml:space="preserve"> REF _Ref91101953 \r \h  \* MERGEFORMAT </w:instrText>
      </w:r>
      <w:r>
        <w:rPr>
          <w:rFonts w:ascii="Arial" w:cs="Arial" w:eastAsia="宋体" w:hAnsi="Arial"/>
          <w:b/>
          <w:bCs/>
          <w:sz w:val="22"/>
          <w:szCs w:val="24"/>
        </w:rPr>
        <w:fldChar w:fldCharType="separate"/>
      </w:r>
      <w:r>
        <w:rPr>
          <w:rFonts w:ascii="Arial" w:cs="Arial" w:eastAsia="宋体" w:hAnsi="Arial"/>
          <w:b/>
          <w:bCs/>
          <w:sz w:val="22"/>
          <w:szCs w:val="24"/>
        </w:rPr>
        <w:t>附件2</w:t>
      </w:r>
      <w:r>
        <w:rPr>
          <w:rFonts w:ascii="Arial" w:cs="Arial" w:eastAsia="宋体" w:hAnsi="Arial"/>
          <w:b/>
          <w:bCs/>
          <w:sz w:val="22"/>
          <w:szCs w:val="24"/>
        </w:rPr>
        <w:fldChar w:fldCharType="end"/>
      </w:r>
      <w:r>
        <w:rPr>
          <w:rFonts w:ascii="Arial" w:cs="Arial" w:eastAsia="宋体" w:hAnsi="Arial"/>
          <w:sz w:val="22"/>
          <w:szCs w:val="24"/>
        </w:rPr>
        <w:t>所示。</w:t>
      </w:r>
    </w:p>
    <w:bookmarkStart w:id="188" w:name="_Hlk79168248"/>
    <w:p>
      <w:pPr>
        <w:pStyle w:val="style179"/>
        <w:numPr>
          <w:ilvl w:val="0"/>
          <w:numId w:val="6"/>
        </w:numPr>
        <w:adjustRightInd w:val="false"/>
        <w:snapToGrid w:val="false"/>
        <w:ind w:left="0" w:firstLine="0" w:firstLineChars="0"/>
        <w:rPr>
          <w:rFonts w:ascii="Arial" w:cs="Arial" w:eastAsia="宋体" w:hAnsi="Arial"/>
          <w:sz w:val="22"/>
          <w:szCs w:val="24"/>
        </w:rPr>
      </w:pPr>
      <w:r>
        <w:rPr>
          <w:rFonts w:ascii="Arial" w:cs="Arial" w:eastAsia="宋体" w:hAnsi="Arial"/>
          <w:b/>
          <w:bCs/>
          <w:sz w:val="22"/>
          <w:szCs w:val="24"/>
        </w:rPr>
        <w:tab/>
      </w:r>
      <w:r>
        <w:rPr>
          <w:rFonts w:ascii="Arial" w:cs="Arial" w:eastAsia="宋体" w:hAnsi="Arial"/>
          <w:b/>
          <w:bCs/>
          <w:sz w:val="22"/>
          <w:szCs w:val="24"/>
        </w:rPr>
        <w:t>关联设施或活动</w:t>
      </w:r>
      <w:r>
        <w:rPr>
          <w:rFonts w:ascii="Arial" w:cs="Arial" w:eastAsia="宋体" w:hAnsi="Arial"/>
          <w:sz w:val="22"/>
          <w:szCs w:val="24"/>
        </w:rPr>
        <w:t>：本项目不涉及世行ESF政策所定义的关联设施。取而代之根据世行《结果导向型贷款环境与社会管理系统评估指南》的定义，PforR项目的关联设施或活动是指满足项目目标所需但并未明确定义为项目活动或纳入支付框架的相关活动；如果关联设施属于环境或社会高风险，则推荐的活动不具备使用</w:t>
      </w:r>
      <w:r>
        <w:rPr>
          <w:rFonts w:ascii="Arial" w:cs="Arial" w:eastAsia="宋体" w:hAnsi="Arial"/>
          <w:sz w:val="22"/>
          <w:szCs w:val="24"/>
          <w:lang w:val="en-GB"/>
        </w:rPr>
        <w:t>PforR资金的资格</w:t>
      </w:r>
      <w:r>
        <w:rPr>
          <w:rFonts w:ascii="Arial" w:cs="Arial" w:eastAsia="宋体" w:hAnsi="Arial"/>
          <w:sz w:val="22"/>
          <w:szCs w:val="24"/>
        </w:rPr>
        <w:t>。据此，世行团队对本项目PforR活动所关联的设施或活动进行了环境与社会风险识别、排除、筛查和分级。某些推荐活动（如新建灌溉系统）已被排除在本项目之外，因为其关联活动可能从国际水域新增引水量而具备高环境与社会风险。其他关联设施或活动也得到了识别，对相应的环境与社会风险也进行了筛查和评级，如表2-1所示。</w:t>
      </w:r>
    </w:p>
    <w:p>
      <w:pPr>
        <w:pStyle w:val="style0"/>
        <w:rPr>
          <w:rFonts w:ascii="Arial" w:cs="Arial" w:eastAsia="宋体" w:hAnsi="Arial"/>
          <w:b/>
          <w:bCs/>
          <w:sz w:val="22"/>
          <w:szCs w:val="24"/>
        </w:rPr>
      </w:pPr>
    </w:p>
    <w:p>
      <w:pPr>
        <w:pStyle w:val="style0"/>
        <w:jc w:val="center"/>
        <w:rPr>
          <w:rFonts w:ascii="Arial" w:cs="Arial" w:eastAsia="宋体" w:hAnsi="Arial"/>
          <w:b/>
          <w:bCs/>
          <w:sz w:val="22"/>
          <w:szCs w:val="24"/>
          <w:lang w:val="en-GB"/>
        </w:rPr>
      </w:pPr>
      <w:r>
        <w:rPr>
          <w:rFonts w:ascii="Arial" w:cs="Arial" w:eastAsia="宋体" w:hAnsi="Arial"/>
          <w:b/>
          <w:bCs/>
          <w:sz w:val="22"/>
          <w:szCs w:val="24"/>
        </w:rPr>
        <w:t>表2-1：关联设施或活动识别及环境与社会筛查</w:t>
      </w:r>
    </w:p>
    <w:tbl>
      <w:tblPr>
        <w:tblStyle w:val="style154"/>
        <w:tblW w:w="515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1422"/>
        <w:gridCol w:w="1998"/>
        <w:gridCol w:w="6566"/>
      </w:tblGrid>
      <w:tr>
        <w:trPr/>
        <w:tc>
          <w:tcPr>
            <w:tcW w:w="712" w:type="pct"/>
            <w:tcBorders/>
            <w:shd w:val="clear" w:color="auto" w:fill="e7e6e6"/>
          </w:tcPr>
          <w:p>
            <w:pPr>
              <w:pStyle w:val="style179"/>
              <w:ind w:firstLine="0" w:firstLineChars="0"/>
              <w:jc w:val="left"/>
              <w:rPr>
                <w:rFonts w:ascii="Arial" w:cs="Arial" w:eastAsia="宋体" w:hAnsi="Arial"/>
                <w:b/>
                <w:bCs/>
                <w:sz w:val="20"/>
                <w:szCs w:val="20"/>
              </w:rPr>
            </w:pPr>
            <w:r>
              <w:rPr>
                <w:rFonts w:ascii="Arial" w:cs="Arial" w:eastAsia="宋体" w:hAnsi="Arial"/>
                <w:b/>
                <w:bCs/>
                <w:sz w:val="20"/>
                <w:szCs w:val="20"/>
              </w:rPr>
              <w:t>主要项目活动</w:t>
            </w:r>
          </w:p>
        </w:tc>
        <w:tc>
          <w:tcPr>
            <w:tcW w:w="1000" w:type="pct"/>
            <w:tcBorders/>
            <w:shd w:val="clear" w:color="auto" w:fill="e7e6e6"/>
          </w:tcPr>
          <w:p>
            <w:pPr>
              <w:pStyle w:val="style179"/>
              <w:ind w:firstLine="0" w:firstLineChars="0"/>
              <w:rPr>
                <w:rFonts w:ascii="Arial" w:cs="Arial" w:eastAsia="宋体" w:hAnsi="Arial"/>
                <w:b/>
                <w:bCs/>
                <w:sz w:val="20"/>
                <w:szCs w:val="20"/>
              </w:rPr>
            </w:pPr>
            <w:r>
              <w:rPr>
                <w:rFonts w:ascii="Arial" w:cs="Arial" w:eastAsia="宋体" w:hAnsi="Arial"/>
                <w:b/>
                <w:bCs/>
                <w:sz w:val="20"/>
                <w:szCs w:val="20"/>
              </w:rPr>
              <w:t>关联设施或活动</w:t>
            </w:r>
          </w:p>
        </w:tc>
        <w:tc>
          <w:tcPr>
            <w:tcW w:w="3287" w:type="pct"/>
            <w:tcBorders/>
            <w:shd w:val="clear" w:color="auto" w:fill="e7e6e6"/>
          </w:tcPr>
          <w:p>
            <w:pPr>
              <w:pStyle w:val="style179"/>
              <w:ind w:firstLine="0" w:firstLineChars="0"/>
              <w:jc w:val="left"/>
              <w:rPr>
                <w:rFonts w:ascii="Arial" w:cs="Arial" w:eastAsia="宋体" w:hAnsi="Arial"/>
                <w:b/>
                <w:bCs/>
                <w:sz w:val="20"/>
                <w:szCs w:val="20"/>
              </w:rPr>
            </w:pPr>
            <w:r>
              <w:rPr>
                <w:rFonts w:ascii="Arial" w:cs="Arial" w:eastAsia="宋体" w:hAnsi="Arial"/>
                <w:b/>
                <w:bCs/>
                <w:sz w:val="20"/>
                <w:szCs w:val="20"/>
              </w:rPr>
              <w:t>关联设施或活动的环境与社会风险及影响</w:t>
            </w:r>
          </w:p>
        </w:tc>
      </w:tr>
      <w:tr>
        <w:tblPrEx/>
        <w:trPr/>
        <w:tc>
          <w:tcPr>
            <w:tcW w:w="712"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1. 农村生活垃圾收集与转运</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现有生活垃圾处置设施如焚烧厂、填埋场</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现有生活垃圾处置设施的渗滤注液、臭气、职业健康与安全等问题均通过现有国内环境与社会管理系统进行常规监管，综合风险水平为中等。</w:t>
            </w:r>
          </w:p>
        </w:tc>
      </w:tr>
      <w:tr>
        <w:tblPrEx/>
        <w:trPr/>
        <w:tc>
          <w:tcPr>
            <w:tcW w:w="712"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2. 农膜、农药和化肥包装废弃物收集</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 xml:space="preserve">处理塑料垃圾的现有塑料加工与回用设施 </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现有塑料加工设施的粉尘、废气、污水、固废、职业健康与安全等问题均通过现有国内环境与社会管理系统进行常规监管，综合风险水平为中等。</w:t>
            </w:r>
          </w:p>
        </w:tc>
      </w:tr>
      <w:tr>
        <w:tblPrEx/>
        <w:trPr/>
        <w:tc>
          <w:tcPr>
            <w:tcW w:w="712" w:type="pct"/>
            <w:tcBorders/>
          </w:tcPr>
          <w:p>
            <w:pPr>
              <w:pStyle w:val="style179"/>
              <w:ind w:firstLine="0" w:firstLineChars="0"/>
              <w:jc w:val="left"/>
              <w:rPr>
                <w:rFonts w:ascii="Arial" w:cs="Arial" w:eastAsia="宋体" w:hAnsi="Arial"/>
                <w:sz w:val="20"/>
                <w:szCs w:val="20"/>
                <w:lang w:val="en-GB"/>
              </w:rPr>
            </w:pPr>
            <w:r>
              <w:rPr>
                <w:rFonts w:ascii="Arial" w:cs="Arial" w:eastAsia="宋体" w:hAnsi="Arial"/>
                <w:sz w:val="20"/>
                <w:szCs w:val="20"/>
              </w:rPr>
              <w:t>3. 畜禽粪污处理与利用</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产生粪污的现有畜禽养殖场</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粪便、污水、臭气、职业健康与安全等问题均通过现有国内环境与社会管理系统进行常规监管，综合风险水平为中等。</w:t>
            </w:r>
          </w:p>
        </w:tc>
      </w:tr>
      <w:tr>
        <w:tblPrEx/>
        <w:trPr/>
        <w:tc>
          <w:tcPr>
            <w:tcW w:w="712" w:type="pct"/>
            <w:vMerge w:val="restar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4. 现有灌溉系统节水增效改造</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提供灌溉用水的现有水库</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水库大坝严格按国内大坝安全管理系统的要求进行监测和除险加固改造。综合风险水平为中等。</w:t>
            </w:r>
          </w:p>
        </w:tc>
      </w:tr>
      <w:tr>
        <w:tblPrEx/>
        <w:trPr/>
        <w:tc>
          <w:tcPr>
            <w:tcW w:w="712" w:type="pct"/>
            <w:vMerge w:val="continue"/>
            <w:tcBorders/>
          </w:tcPr>
          <w:p>
            <w:pPr>
              <w:pStyle w:val="style179"/>
              <w:ind w:firstLine="0" w:firstLineChars="0"/>
              <w:jc w:val="left"/>
              <w:rPr>
                <w:rFonts w:ascii="Arial" w:cs="Arial" w:eastAsia="宋体" w:hAnsi="Arial"/>
                <w:sz w:val="20"/>
                <w:szCs w:val="20"/>
                <w:lang w:val="en-GB"/>
              </w:rPr>
            </w:pP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灌溉排水受纳水体</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lang w:val="en-GB"/>
              </w:rPr>
              <w:t>国家鼓励灌溉排水再利用，</w:t>
            </w:r>
            <w:r>
              <w:rPr>
                <w:rFonts w:ascii="Arial" w:cs="Arial" w:eastAsia="宋体" w:hAnsi="Arial"/>
                <w:sz w:val="20"/>
                <w:szCs w:val="20"/>
              </w:rPr>
              <w:t>灌区排水可通过排水沟、田间排水湿地、蓄水池等设施回用于灌溉，因此未来灌溉排水对受纳水体的影响将越来越小。综合风险水平为中等。</w:t>
            </w:r>
          </w:p>
        </w:tc>
      </w:tr>
    </w:tbl>
    <w:p>
      <w:pPr>
        <w:pStyle w:val="style179"/>
        <w:ind w:firstLine="440"/>
        <w:rPr>
          <w:rFonts w:ascii="Arial" w:cs="Arial" w:eastAsia="宋体" w:hAnsi="Arial"/>
          <w:sz w:val="22"/>
          <w:szCs w:val="24"/>
        </w:rPr>
      </w:pPr>
    </w:p>
    <w:p>
      <w:pPr>
        <w:pStyle w:val="style179"/>
        <w:numPr>
          <w:ilvl w:val="0"/>
          <w:numId w:val="6"/>
        </w:numPr>
        <w:tabs>
          <w:tab w:val="left" w:leader="none" w:pos="851"/>
        </w:tabs>
        <w:adjustRightInd w:val="false"/>
        <w:snapToGrid w:val="false"/>
        <w:ind w:left="0" w:firstLine="0" w:firstLineChars="0"/>
        <w:rPr>
          <w:rFonts w:ascii="Arial" w:cs="Arial" w:eastAsia="宋体" w:hAnsi="Arial"/>
          <w:sz w:val="22"/>
          <w:szCs w:val="24"/>
        </w:rPr>
      </w:pPr>
      <w:r>
        <w:rPr>
          <w:rFonts w:ascii="Arial" w:cs="Arial" w:eastAsia="宋体" w:hAnsi="Arial"/>
          <w:sz w:val="22"/>
          <w:szCs w:val="24"/>
        </w:rPr>
        <w:t>世行团队对样本设施如垃圾填埋场、垃圾焚烧厂、塑料回收加工厂等开展了尽职调查，验证了其环境与社会风险都可以通过国内环境与社会管理系统得到较好的管理。</w:t>
      </w:r>
      <w:bookmarkEnd w:id="188"/>
      <w:r>
        <w:rPr>
          <w:rFonts w:ascii="Arial" w:cs="Arial" w:eastAsia="宋体" w:hAnsi="Arial"/>
          <w:sz w:val="22"/>
          <w:szCs w:val="24"/>
        </w:rPr>
        <w:t>对于灌溉系统节水改造活动涉及的现有水库大坝安全问题，参考世行同类项目尽职调查结果得知，中国具有完善的大坝安全管理系统，包括国家层面《水法》、《水库大坝安全管理条例》、《大坝注册登记办法》等法律法规以及地方层面的实施细则；针对每座水库均按法律法规要求编制了水库运行和维护手册、应急响应预案、仪器预案等管理文件，并严格遵守和执行；所有水库大坝均定期进行除险加固或升级改造；除了一些小型水库由村级运营，其他各型水库都建立了专门的水库管理单位并配备了足够的运行维护人员。尽职调查结果表明，本项目关联设施或活动的环境与社会风险中等且可控，相应的推荐活动具备纳入本项目PforR 范围的资格。</w:t>
      </w:r>
    </w:p>
    <w:bookmarkStart w:id="189" w:name="_Toc79939250"/>
    <w:bookmarkStart w:id="190" w:name="_Toc93944801"/>
    <w:p>
      <w:pPr>
        <w:pStyle w:val="style2"/>
        <w:rPr>
          <w:color w:val="1f4e79"/>
          <w:sz w:val="24"/>
          <w:szCs w:val="24"/>
        </w:rPr>
      </w:pPr>
      <w:r>
        <w:rPr>
          <w:color w:val="1f4e79"/>
          <w:sz w:val="24"/>
          <w:szCs w:val="24"/>
        </w:rPr>
        <w:t>2.3</w:t>
      </w:r>
      <w:r>
        <w:rPr>
          <w:color w:val="1f4e79"/>
          <w:sz w:val="24"/>
          <w:szCs w:val="24"/>
        </w:rPr>
        <w:tab/>
      </w:r>
      <w:r>
        <w:rPr>
          <w:color w:val="1f4e79"/>
          <w:sz w:val="24"/>
          <w:szCs w:val="24"/>
        </w:rPr>
        <w:tab/>
      </w:r>
      <w:r>
        <w:rPr>
          <w:color w:val="1f4e79"/>
          <w:sz w:val="24"/>
          <w:szCs w:val="24"/>
        </w:rPr>
        <w:t>影响</w:t>
      </w:r>
      <w:bookmarkEnd w:id="189"/>
      <w:r>
        <w:rPr>
          <w:color w:val="1f4e79"/>
          <w:sz w:val="24"/>
          <w:szCs w:val="24"/>
        </w:rPr>
        <w:t>评价和风险评级</w:t>
      </w:r>
      <w:bookmarkEnd w:id="190"/>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影响因素</w:t>
      </w:r>
      <w:r>
        <w:rPr>
          <w:rFonts w:ascii="Arial" w:cs="Arial" w:eastAsia="宋体" w:hAnsi="Arial"/>
          <w:sz w:val="22"/>
          <w:szCs w:val="24"/>
        </w:rPr>
        <w:t>：经过上述排除步骤之后，世行团队综合考虑了以下四个因素，对纳入本项目范围的活动及其关联设施进行了环境与社会影响分析：(a) 环境与社会效应；(b) 环境与社会背景风险；(c) 机构能力和复杂性风险；(d) 政治和声誉风险。纳入范围的每项活动都针对上述四个因素进行了逐一分析，结果显示，纳入本项目范围的各项活动存在不同等级的环境与社会风险，个别活动存在潜在的“高”风险，需要排除。其余项目活动的则为风险“较高”、“中等”或“低”，可通过环境与社会管理加以控制。以下是环境与社会影响筛查和分析的总体结果，详细分析见</w:t>
      </w:r>
      <w:r>
        <w:rPr>
          <w:rFonts w:ascii="Arial" w:cs="Arial" w:eastAsia="宋体" w:hAnsi="Arial"/>
          <w:b/>
          <w:bCs/>
          <w:sz w:val="22"/>
          <w:szCs w:val="24"/>
        </w:rPr>
        <w:fldChar w:fldCharType="begin"/>
      </w:r>
      <w:r>
        <w:rPr>
          <w:rFonts w:ascii="Arial" w:cs="Arial" w:eastAsia="宋体" w:hAnsi="Arial"/>
          <w:b/>
          <w:bCs/>
          <w:sz w:val="22"/>
          <w:szCs w:val="24"/>
        </w:rPr>
        <w:instrText xml:space="preserve"> REF _Ref91101980 \r \h  \* MERGEFORMAT </w:instrText>
      </w:r>
      <w:r>
        <w:rPr>
          <w:rFonts w:ascii="Arial" w:cs="Arial" w:eastAsia="宋体" w:hAnsi="Arial"/>
          <w:b/>
          <w:bCs/>
          <w:sz w:val="22"/>
          <w:szCs w:val="24"/>
        </w:rPr>
        <w:fldChar w:fldCharType="separate"/>
      </w:r>
      <w:r>
        <w:rPr>
          <w:rFonts w:ascii="Arial" w:cs="Arial" w:eastAsia="宋体" w:hAnsi="Arial"/>
          <w:b/>
          <w:bCs/>
          <w:sz w:val="22"/>
          <w:szCs w:val="24"/>
        </w:rPr>
        <w:t>附件2</w:t>
      </w:r>
      <w:r>
        <w:rPr>
          <w:rFonts w:ascii="Arial" w:cs="Arial" w:eastAsia="宋体" w:hAnsi="Arial"/>
          <w:b/>
          <w:bCs/>
          <w:sz w:val="22"/>
          <w:szCs w:val="24"/>
        </w:rPr>
        <w:fldChar w:fldCharType="end"/>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b/>
          <w:bCs/>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环境与社会效应</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总体环境与社会效益和影响</w:t>
      </w:r>
      <w:r>
        <w:rPr>
          <w:rFonts w:ascii="Arial" w:cs="Arial" w:eastAsia="宋体" w:hAnsi="Arial"/>
          <w:sz w:val="22"/>
          <w:szCs w:val="24"/>
        </w:rPr>
        <w:t>：本项目通过实施农药化肥减量、废弃农用塑料管理、秸秆综合利用、农村生活污水和垃圾处理等活动，将对广西和贵州两省的区域环境与社会带来巨大的正面效益，如缓解土壤、地表水和地下水污染，修复和保护生态环境，提升农产品安全和质量，改善农村居住环境改善等。同时，实施这些活动也将产生不同程度的环境与社会风险和不利影响。通过理论分析、经验对比和现场调查判断，这些活动基本都属于环境与社会风险“</w:t>
      </w:r>
      <w:r>
        <w:rPr>
          <w:rFonts w:ascii="Arial" w:cs="Arial" w:eastAsia="宋体" w:hAnsi="Arial"/>
          <w:b/>
          <w:bCs/>
          <w:sz w:val="22"/>
          <w:szCs w:val="24"/>
        </w:rPr>
        <w:t>低</w:t>
      </w:r>
      <w:r>
        <w:rPr>
          <w:rFonts w:ascii="Arial" w:cs="Arial" w:eastAsia="宋体" w:hAnsi="Arial"/>
          <w:sz w:val="22"/>
          <w:szCs w:val="24"/>
        </w:rPr>
        <w:t>”、“</w:t>
      </w:r>
      <w:r>
        <w:rPr>
          <w:rFonts w:ascii="Arial" w:cs="Arial" w:eastAsia="宋体" w:hAnsi="Arial"/>
          <w:b/>
          <w:bCs/>
          <w:sz w:val="22"/>
          <w:szCs w:val="24"/>
        </w:rPr>
        <w:t>中等</w:t>
      </w:r>
      <w:r>
        <w:rPr>
          <w:rFonts w:ascii="Arial" w:cs="Arial" w:eastAsia="宋体" w:hAnsi="Arial"/>
          <w:sz w:val="22"/>
          <w:szCs w:val="24"/>
        </w:rPr>
        <w:t>”或“</w:t>
      </w:r>
      <w:r>
        <w:rPr>
          <w:rFonts w:ascii="Arial" w:cs="Arial" w:eastAsia="宋体" w:hAnsi="Arial"/>
          <w:b/>
          <w:bCs/>
          <w:sz w:val="22"/>
          <w:szCs w:val="24"/>
        </w:rPr>
        <w:t>较高</w:t>
      </w:r>
      <w:r>
        <w:rPr>
          <w:rFonts w:ascii="Arial" w:cs="Arial" w:eastAsia="宋体" w:hAnsi="Arial"/>
          <w:sz w:val="22"/>
          <w:szCs w:val="24"/>
        </w:rPr>
        <w:t>”的活动，所产生的不利影响可以通过成熟的、技术与财务可行的措施而得到避免或减缓。</w:t>
      </w:r>
    </w:p>
    <w:p>
      <w:pPr>
        <w:pStyle w:val="style179"/>
        <w:adjustRightInd w:val="false"/>
        <w:snapToGrid w:val="false"/>
        <w:spacing w:before="120" w:after="120"/>
        <w:ind w:firstLine="0" w:firstLineChars="0"/>
        <w:rPr>
          <w:rFonts w:ascii="Arial" w:cs="Arial" w:eastAsia="宋体" w:hAnsi="Arial"/>
          <w:sz w:val="22"/>
          <w:szCs w:val="24"/>
        </w:rPr>
      </w:pP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主要的环境影响</w:t>
      </w:r>
      <w:r>
        <w:rPr>
          <w:rFonts w:ascii="Arial" w:cs="Arial" w:eastAsia="宋体" w:hAnsi="Arial"/>
          <w:sz w:val="22"/>
          <w:szCs w:val="24"/>
        </w:rPr>
        <w:t>：</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
          <w:sz w:val="22"/>
        </w:rPr>
        <w:t>项目实施可能产生的环境污染</w:t>
      </w:r>
      <w:r>
        <w:rPr>
          <w:rFonts w:ascii="Arial" w:cs="Arial" w:eastAsia="宋体" w:hAnsi="Arial"/>
          <w:bCs/>
          <w:sz w:val="22"/>
        </w:rPr>
        <w:t>：在建设过程中，施工活动会产生扬尘、噪声、废污水、固废等。但这些影响都是短期、临时的，且规模不大，仅局限于施工现场附近，通过实施良好的施工管理可以妥善应对；并且在施工结束后，这些影响随即消失。在运行过程中，农村污水处理设施运行产生的噪声、污水、污泥；农村垃圾收集、运输和中转设施运行中的渗滤液、臭气、噪声、垃圾、工人健康与安全；种植业生产中化肥流失造成水体富营养化、农药施用和管理不当会造成土壤和水质污染并影响食品安全、秸秆焚烧造成大气污染、农膜和农药化肥包装废弃物可能对土壤和水环境造成白色塑料污染；养殖业生产中畜禽粪污处理不当会产生臭气、污水和固废而污染环境；农家肥、有机肥叵质量不高或施用过量，则可能造成土壤污染或退化等。这些影响都是可以预测的，并且可以通过成熟的技术和管理措施加以避免或消减，因此不会产生重大的环境风险。</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
          <w:sz w:val="22"/>
        </w:rPr>
        <w:t>项目实施可能对自然栖息地的影响</w:t>
      </w:r>
      <w:r>
        <w:rPr>
          <w:rFonts w:ascii="Arial" w:cs="Arial" w:eastAsia="宋体" w:hAnsi="Arial"/>
          <w:bCs/>
          <w:sz w:val="22"/>
        </w:rPr>
        <w:t>：在建设过程中，施工活动可能引发水土流失、水体扰动、地表植被破坏、野生动物生境干扰等影响。但在项目设计和环评中都会按照国家和地方</w:t>
      </w:r>
      <w:r>
        <w:rPr>
          <w:rFonts w:ascii="Arial" w:cs="Arial" w:eastAsia="宋体" w:hAnsi="Arial"/>
          <w:bCs/>
          <w:sz w:val="22"/>
          <w:lang w:val="en-GB"/>
        </w:rPr>
        <w:t>"三线一单"</w:t>
      </w:r>
      <w:r>
        <w:rPr>
          <w:rStyle w:val="style38"/>
          <w:rFonts w:ascii="Arial" w:cs="Arial" w:eastAsia="宋体" w:hAnsi="Arial"/>
          <w:bCs/>
          <w:sz w:val="22"/>
          <w:lang w:val="en-GB"/>
        </w:rPr>
        <w:footnoteReference w:id="2"/>
      </w:r>
      <w:r>
        <w:rPr>
          <w:rFonts w:ascii="Arial" w:cs="Arial" w:eastAsia="宋体" w:hAnsi="Arial"/>
          <w:bCs/>
          <w:sz w:val="22"/>
          <w:lang w:val="en-GB"/>
        </w:rPr>
        <w:t>的规定，严格进行</w:t>
      </w:r>
      <w:r>
        <w:rPr>
          <w:rFonts w:ascii="Arial" w:cs="Arial" w:eastAsia="宋体" w:hAnsi="Arial"/>
          <w:bCs/>
          <w:sz w:val="22"/>
        </w:rPr>
        <w:t>选址方案比选和合理性分析，并经过行业主管部门的专业审批，不会触发生态红线，因此不会对天然或重要自然栖息地造成重大环境影响。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
          <w:sz w:val="22"/>
        </w:rPr>
        <w:t>项目实施中的潜在健康与安全风险</w:t>
      </w:r>
      <w:r>
        <w:rPr>
          <w:rFonts w:ascii="Arial" w:cs="Arial" w:eastAsia="宋体" w:hAnsi="Arial"/>
          <w:bCs/>
          <w:sz w:val="22"/>
        </w:rPr>
        <w:t>：</w:t>
      </w:r>
      <w:r>
        <w:rPr>
          <w:rFonts w:ascii="Arial" w:cs="Arial" w:eastAsia="宋体" w:hAnsi="Arial"/>
          <w:sz w:val="22"/>
        </w:rPr>
        <w:t>本项目涉及农村生活污水、农村生活垃圾、畜禽粪污等设施中的恶臭（含氨、硫化氢等吸入性毒性物质）和固液废物（含致病微生物），农村生活垃圾中的危险废物（如废药品、废杀虫剂、废油漆、废荧光灯管、废电池），种植业生产中使用的农药（属于危险化学品），养殖业中的病死动物（含致病微生物）等，都可能对劳动者或附近公众产生健康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主要的社会影响</w:t>
      </w:r>
      <w:r>
        <w:rPr>
          <w:rFonts w:ascii="Arial" w:cs="Arial" w:eastAsia="宋体" w:hAnsi="Arial"/>
          <w:sz w:val="22"/>
          <w:szCs w:val="24"/>
        </w:rPr>
        <w:t>：</w:t>
      </w:r>
      <w:r>
        <w:rPr>
          <w:rFonts w:ascii="Arial" w:cs="Arial" w:eastAsia="宋体" w:hAnsi="Arial"/>
          <w:sz w:val="22"/>
        </w:rPr>
        <w:t>通过对广西和贵州两省政府规划中与PforR优先领域一致并初步认为可能纳入PforR边界范围的活动进行筛选分析，将其中可能存在潜在社会高风险的活动已建议排除在PforR项目边界外；同时，结合当地以往和正在实施的其它项目经验，评估认为对于超出农业生产需要、且以交通为目的农村道路设施建设涉及较大规模的征地拆迁，不同地区的项目可能造成的移民影响程度不易掌控，且大规模的用地存在用地审批难的问题，所以风险等级较高，建议排除在PforR范围外，</w:t>
      </w:r>
      <w:r>
        <w:rPr>
          <w:rFonts w:ascii="Arial" w:cs="Arial" w:eastAsia="宋体" w:hAnsi="Arial"/>
          <w:sz w:val="22"/>
          <w:szCs w:val="24"/>
        </w:rPr>
        <w:t>但为了增加农田内部联通性和农业活动的便捷性的田间道路占地规模有限</w:t>
      </w:r>
      <w:r>
        <w:rPr>
          <w:rFonts w:ascii="Arial" w:cs="Arial" w:eastAsia="宋体" w:hAnsi="Arial"/>
          <w:sz w:val="22"/>
        </w:rPr>
        <w:t>，且不改变农业用地的属性，风险较小，可以纳入PforR范围；生态移民、退耕还林因涉及的影响农户数量较大，需要多部门协调，并进行长期周密的规划、实施和监测管理，存在较大不确定性，也建议排除。其它活动社会风险较小，如用地规模一般不大，对农户的生计有短期影响，或存在建设或运营阶段的劳工健康安全管理和社区安全管理。有些活动如农药化肥减量、秸秆还田、有机肥使用等，需要农户改变一些日常的生产生活行为，但都属于轻微的影响。各种类型社会影响分析如下：</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劳工影响：</w:t>
      </w:r>
      <w:r>
        <w:rPr>
          <w:rFonts w:ascii="Arial" w:cs="Arial" w:eastAsia="宋体" w:hAnsi="Arial"/>
          <w:sz w:val="22"/>
        </w:rPr>
        <w:t>相关设施的建设单位和运行管理单位工人的权益维护，工作场所、营地和工人生活区生活环境风险，对周边社区扰民的风险，以及工人职业健康与安全（OHS）风险等。农业生产中农药应从正规的渠道购买，并按要求施用、保存和处置，否则可能危害劳动者及有关人员的健康安全。此外，童工是个全球性问题，即便在农业领域也可能存在使用童工的风险。</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社区影响：</w:t>
      </w:r>
      <w:r>
        <w:rPr>
          <w:rFonts w:ascii="Arial" w:cs="Arial" w:eastAsia="宋体" w:hAnsi="Arial"/>
          <w:sz w:val="22"/>
        </w:rPr>
        <w:t>相关设施（如粪污资源化利用设施）的选址可能产生邻避效应</w:t>
      </w:r>
      <w:r>
        <w:rPr>
          <w:rStyle w:val="style38"/>
          <w:rFonts w:ascii="Arial" w:cs="Arial" w:eastAsia="宋体" w:hAnsi="Arial"/>
          <w:sz w:val="22"/>
        </w:rPr>
        <w:footnoteReference w:id="3"/>
      </w:r>
      <w:r>
        <w:rPr>
          <w:rFonts w:ascii="Arial" w:cs="Arial" w:eastAsia="宋体" w:hAnsi="Arial"/>
          <w:sz w:val="22"/>
        </w:rPr>
        <w:t>，如影响到社区居民的生活环境、财产价值，外来施工人员进入社区存在疾病控制风险，施工过程和运行过程可能存在影响社区环境、交通和安全问题。</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土地使用和非志愿移民：</w:t>
      </w:r>
      <w:r>
        <w:rPr>
          <w:rFonts w:ascii="Arial" w:cs="Arial" w:eastAsia="宋体" w:hAnsi="Arial"/>
          <w:sz w:val="22"/>
        </w:rPr>
        <w:t>在准备本报告过程中，环境与社会（E&amp;S）团队已对广西和贵州两省绿色农业和乡村振兴规划中可能存在纳入PforR范围的活动进行了风险筛选，将那些可能有非志愿移民高风险的活动排除在PforR边界外，剩下可能需要占用土地的活动包括1) 秸秆综合利用设施， 每个约占地10亩；2) 粪污处理和利用设施，将在现有畜禽养殖场内每个占用土地约20亩；3) 农村污水处理</w:t>
      </w:r>
      <w:r>
        <w:rPr>
          <w:rFonts w:ascii="Arial" w:cs="Arial" w:eastAsia="宋体" w:hAnsi="Arial" w:hint="eastAsia"/>
          <w:sz w:val="22"/>
        </w:rPr>
        <w:t>设施</w:t>
      </w:r>
      <w:r>
        <w:rPr>
          <w:rFonts w:ascii="Arial" w:cs="Arial" w:eastAsia="宋体" w:hAnsi="Arial"/>
          <w:sz w:val="22"/>
        </w:rPr>
        <w:t>每个占地月100至400m2和配套管网建设临时占地；4) 农村生活垃圾收集与转运，每个约占地2亩；5) 农田和农业设施连接道，将限制在现有路基范围内；6）冷链储存设施，每个约占地10亩。这些活动征用或占用土地规模都不大，通过国内现有的土地利用管理系统的管理，非志愿移民风险较低；且有些活动采取租赁等自愿的形式协商使用，相关风险较非愿移民更低。</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生计影响：</w:t>
      </w:r>
      <w:r>
        <w:rPr>
          <w:rFonts w:ascii="Arial" w:cs="Arial" w:eastAsia="宋体" w:hAnsi="Arial"/>
          <w:sz w:val="22"/>
        </w:rPr>
        <w:t>小规模用地对农户的生计影响虽然不大，但仍需要进行识别和管理。农药化肥减量、秸秆还田、有机肥使用等要求对农户日常生产生活行为的调整虽属于轻微的影响，也通过提供相应的政策支持、培训等措施加以管理；</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少数民族影响：</w:t>
      </w:r>
      <w:r>
        <w:rPr>
          <w:rFonts w:ascii="Arial" w:cs="Arial" w:eastAsia="宋体" w:hAnsi="Arial"/>
          <w:sz w:val="22"/>
        </w:rPr>
        <w:t>国家、广西和贵州省和各项目县都有</w:t>
      </w:r>
      <w:r>
        <w:rPr>
          <w:rFonts w:ascii="Arial" w:cs="Arial" w:eastAsia="宋体" w:hAnsi="Arial" w:hint="eastAsia"/>
          <w:sz w:val="22"/>
        </w:rPr>
        <w:t>支持</w:t>
      </w:r>
      <w:r>
        <w:rPr>
          <w:rFonts w:ascii="Arial" w:cs="Arial" w:eastAsia="宋体" w:hAnsi="Arial"/>
          <w:sz w:val="22"/>
        </w:rPr>
        <w:t>少数民族</w:t>
      </w:r>
      <w:r>
        <w:rPr>
          <w:rFonts w:ascii="Arial" w:cs="Arial" w:eastAsia="宋体" w:hAnsi="Arial" w:hint="eastAsia"/>
          <w:sz w:val="22"/>
        </w:rPr>
        <w:t>发展</w:t>
      </w:r>
      <w:r>
        <w:rPr>
          <w:rFonts w:ascii="Arial" w:cs="Arial" w:eastAsia="宋体" w:hAnsi="Arial"/>
          <w:sz w:val="22"/>
        </w:rPr>
        <w:t>政策，不会使少数民族基于他们特殊的历史文化和传统被排除在受益人群之外。国家和两省甚至对少数民族地区在有关项目的资金和政策支持上，相对于其它地区还有所倾斜。即便如此，对于部分项目活动位于广西和贵州的少数民族聚居区，仍需在项目设计、建设、维护阶段认真听取少数民族居民的意见，同时要避免和减少对少数民族造成重大负面影响，尊重少数民族文化和风俗习惯。</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技援活动环境与社会影响</w:t>
      </w:r>
      <w:r>
        <w:rPr>
          <w:rFonts w:ascii="Arial" w:cs="Arial" w:eastAsia="宋体" w:hAnsi="Arial"/>
          <w:sz w:val="22"/>
          <w:szCs w:val="24"/>
        </w:rPr>
        <w:t>：除了实体活动之外，本项目下还包括一些技术援助活动，如支持建立绿色农业支付报告系统，支持完善绿色农业发展相关的标准、规定和导则，开展绿色技术研发与人才培养等。这些活动的实施有助于加强项目实施单位的能力、提高公众的环保意识、改善农村生活环境和农村人民健康。除少数涉及研究人员用工、户外调研活动、多部门协调和利益相关方参与等活动，实施技援活动本身的直接环境与社会风险很小或者没有。但某些技援活动支持的研究成果（如绿色农业发展相关标准、规范和指南）若付诸实施，可能引发下游投资活动（如绿色种植业和养殖业活动），从而间接产生环境与社会风险和影响（相关评价详见</w:t>
      </w:r>
      <w:r>
        <w:rPr>
          <w:rFonts w:ascii="Arial" w:cs="Arial" w:eastAsia="宋体" w:hAnsi="Arial"/>
          <w:sz w:val="22"/>
          <w:szCs w:val="24"/>
        </w:rPr>
        <w:fldChar w:fldCharType="begin"/>
      </w:r>
      <w:r>
        <w:rPr>
          <w:rFonts w:ascii="Arial" w:cs="Arial" w:eastAsia="宋体" w:hAnsi="Arial"/>
          <w:sz w:val="22"/>
          <w:szCs w:val="24"/>
        </w:rPr>
        <w:instrText xml:space="preserve"> REF _Ref91102200 \r \h  \* MERGEFORMAT </w:instrText>
      </w:r>
      <w:r>
        <w:rPr>
          <w:rFonts w:ascii="Arial" w:cs="Arial" w:eastAsia="宋体" w:hAnsi="Arial"/>
          <w:sz w:val="22"/>
          <w:szCs w:val="24"/>
        </w:rPr>
        <w:fldChar w:fldCharType="separate"/>
      </w:r>
      <w:r>
        <w:rPr>
          <w:rFonts w:ascii="Arial" w:cs="Arial" w:eastAsia="宋体" w:hAnsi="Arial"/>
          <w:sz w:val="22"/>
          <w:szCs w:val="24"/>
        </w:rPr>
        <w:t>附件2</w:t>
      </w:r>
      <w:r>
        <w:rPr>
          <w:rFonts w:ascii="Arial" w:cs="Arial" w:eastAsia="宋体" w:hAnsi="Arial"/>
          <w:sz w:val="22"/>
          <w:szCs w:val="24"/>
        </w:rPr>
        <w:fldChar w:fldCharType="end"/>
      </w:r>
      <w:r>
        <w:rPr>
          <w:rFonts w:ascii="Arial" w:cs="Arial" w:eastAsia="宋体" w:hAnsi="Arial"/>
          <w:sz w:val="22"/>
          <w:szCs w:val="24"/>
        </w:rPr>
        <w:t>）。总体来说，本项目下技援活动不会对环境与社会产生潜在的高风险，但要求：</w:t>
      </w:r>
      <w:r>
        <w:rPr>
          <w:rFonts w:ascii="Arial" w:cs="Arial" w:eastAsia="宋体" w:hAnsi="Arial"/>
          <w:sz w:val="22"/>
          <w:szCs w:val="24"/>
          <w:lang w:val="en-GB"/>
        </w:rPr>
        <w:t>1) 在课题研究</w:t>
      </w:r>
      <w:r>
        <w:rPr>
          <w:rFonts w:ascii="Arial" w:cs="Arial" w:eastAsia="宋体" w:hAnsi="Arial"/>
          <w:sz w:val="22"/>
          <w:szCs w:val="24"/>
        </w:rPr>
        <w:t>技援工作任务大纲中提出开展环境与社会影响评价及利益相关方参与的要求；</w:t>
      </w:r>
      <w:r>
        <w:rPr>
          <w:rFonts w:ascii="Arial" w:cs="Arial" w:eastAsia="宋体" w:hAnsi="Arial"/>
          <w:sz w:val="22"/>
          <w:szCs w:val="24"/>
          <w:lang w:val="en-GB"/>
        </w:rPr>
        <w:t xml:space="preserve">2) </w:t>
      </w:r>
      <w:r>
        <w:rPr>
          <w:rFonts w:ascii="Arial" w:cs="Arial" w:eastAsia="宋体" w:hAnsi="Arial"/>
          <w:sz w:val="22"/>
          <w:szCs w:val="24"/>
        </w:rPr>
        <w:t>在</w:t>
      </w:r>
      <w:r>
        <w:rPr>
          <w:rFonts w:ascii="Arial" w:cs="Arial" w:eastAsia="宋体" w:hAnsi="Arial"/>
          <w:sz w:val="22"/>
          <w:szCs w:val="24"/>
          <w:lang w:val="en-GB"/>
        </w:rPr>
        <w:t>课题研究</w:t>
      </w:r>
      <w:r>
        <w:rPr>
          <w:rFonts w:ascii="Arial" w:cs="Arial" w:eastAsia="宋体" w:hAnsi="Arial"/>
          <w:sz w:val="22"/>
          <w:szCs w:val="24"/>
        </w:rPr>
        <w:t>过程中实施利益相关方参与活动；</w:t>
      </w:r>
      <w:r>
        <w:rPr>
          <w:rFonts w:ascii="Arial" w:cs="Arial" w:eastAsia="宋体" w:hAnsi="Arial"/>
          <w:sz w:val="22"/>
          <w:szCs w:val="24"/>
          <w:lang w:val="en-GB"/>
        </w:rPr>
        <w:t xml:space="preserve">3) </w:t>
      </w:r>
      <w:r>
        <w:rPr>
          <w:rFonts w:ascii="Arial" w:cs="Arial" w:eastAsia="宋体" w:hAnsi="Arial"/>
          <w:sz w:val="22"/>
          <w:szCs w:val="24"/>
        </w:rPr>
        <w:t xml:space="preserve"> 在研究成果中包括环境与社会影响评价篇章。</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累积性环境与社会效应</w:t>
      </w:r>
      <w:r>
        <w:rPr>
          <w:rFonts w:ascii="Arial" w:cs="Arial" w:eastAsia="宋体" w:hAnsi="Arial"/>
          <w:sz w:val="22"/>
          <w:szCs w:val="24"/>
        </w:rPr>
        <w:t>：本项目活动除了具有上述局部的环境与社会影响外，两省项目区内政府乡村振兴规划活动、其他项目活动（如以前的世行扶贫项目）等，在与本项目PforR活动协同实施时，还可能产生一定的累积性效应。首先，由于生态环境、自然资源等部门对国土空间和生态保护红线的严格管控，即使这些活动协同实施，也不太可能形成对环境敏感区域的累积影响；无论是PforR活动还是其它项目活动，各地区的土地利用都必须符合当地总体土地利用规划，确保各省和市县特定时期的土地使用均按土地利用规划实施。其次，各项活动将分散在两省广大地域的多个县内进行，只要地方行业主管部门在各地之间合理分配投资，就不会出现多项活动集中在同一个地方进行的情况，因而分期实施的局部环境与社会影响将不会发生累积。最后，许多项目活动本身属于环境保护与社会改善活动，产生的净效会在很多方面有效促进两省的区域污染物减量和环境改善、区域社会经济提升等累积性效益，如：</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规划区域内通过污水收集与处理实现</w:t>
      </w:r>
      <w:r>
        <w:rPr>
          <w:rFonts w:ascii="Arial" w:cs="Arial" w:eastAsia="宋体" w:hAnsi="Arial"/>
          <w:b/>
          <w:bCs/>
          <w:sz w:val="22"/>
          <w:szCs w:val="24"/>
          <w:lang w:val="en-GB"/>
        </w:rPr>
        <w:t>区域</w:t>
      </w:r>
      <w:r>
        <w:rPr>
          <w:rFonts w:ascii="Arial" w:cs="Arial" w:eastAsia="宋体" w:hAnsi="Arial"/>
          <w:b/>
          <w:bCs/>
          <w:sz w:val="22"/>
          <w:szCs w:val="24"/>
        </w:rPr>
        <w:t>污染物减量：</w:t>
      </w:r>
      <w:r>
        <w:rPr>
          <w:rFonts w:ascii="Arial" w:cs="Arial" w:eastAsia="宋体" w:hAnsi="Arial"/>
          <w:sz w:val="22"/>
          <w:szCs w:val="24"/>
        </w:rPr>
        <w:t>本项目</w:t>
      </w:r>
      <w:r>
        <w:rPr>
          <w:rFonts w:ascii="Arial" w:cs="Arial" w:eastAsia="宋体" w:hAnsi="Arial"/>
          <w:sz w:val="22"/>
          <w:szCs w:val="24"/>
          <w:lang w:val="en-GB"/>
        </w:rPr>
        <w:t>PforR</w:t>
      </w:r>
      <w:r>
        <w:rPr>
          <w:rFonts w:ascii="Arial" w:cs="Arial" w:eastAsia="宋体" w:hAnsi="Arial"/>
          <w:sz w:val="22"/>
          <w:szCs w:val="24"/>
        </w:rPr>
        <w:t>实施的农村生活污水管理设施以及政府乡村振兴规划实施的城镇生活污水管理设施的共同开展将显著减少区域内进入地表水体的污染物排放量。</w:t>
      </w:r>
      <w:r>
        <w:rPr>
          <w:rFonts w:ascii="Arial" w:cs="Arial" w:eastAsia="宋体" w:hAnsi="Arial"/>
          <w:bCs/>
          <w:sz w:val="22"/>
        </w:rPr>
        <w:t>这些污水设施一般可以实现</w:t>
      </w:r>
      <w:r>
        <w:rPr>
          <w:rFonts w:ascii="Arial" w:cs="Arial" w:eastAsia="宋体" w:hAnsi="Arial"/>
          <w:sz w:val="22"/>
          <w:szCs w:val="24"/>
        </w:rPr>
        <w:t xml:space="preserve">化学需氧量 </w:t>
      </w:r>
      <w:r>
        <w:rPr>
          <w:rFonts w:ascii="Arial" w:cs="Arial" w:eastAsia="宋体" w:hAnsi="Arial"/>
          <w:sz w:val="22"/>
          <w:szCs w:val="24"/>
          <w:lang w:val="en-GB"/>
        </w:rPr>
        <w:t>(</w:t>
      </w:r>
      <w:r>
        <w:rPr>
          <w:rFonts w:ascii="Arial" w:cs="Arial" w:eastAsia="宋体" w:hAnsi="Arial"/>
          <w:sz w:val="22"/>
          <w:szCs w:val="24"/>
        </w:rPr>
        <w:t>COD)减少70%-95%、氨氮减少80%-97%、总磷减少50%-90%、总氮减少70%-90%。在两省地理范围内，所有污水设施对污染物减量的累积性效益将非常显著。</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规划区域内通过畜禽粪污处理和利用实现区域污染物减量：</w:t>
      </w:r>
      <w:r>
        <w:rPr>
          <w:rFonts w:ascii="Arial" w:cs="Arial" w:eastAsia="宋体" w:hAnsi="Arial"/>
          <w:sz w:val="22"/>
          <w:szCs w:val="24"/>
        </w:rPr>
        <w:t>畜禽粪污的处理和利用将显著减少各类规模养殖场的污染物排放量。据统计，</w:t>
      </w:r>
      <w:r>
        <w:rPr>
          <w:rFonts w:ascii="Arial" w:cs="Arial" w:eastAsia="宋体" w:hAnsi="Arial"/>
          <w:bCs/>
          <w:sz w:val="22"/>
        </w:rPr>
        <w:t>畜禽粪污处理系统一般可以实现</w:t>
      </w:r>
      <w:r>
        <w:rPr>
          <w:rFonts w:ascii="Arial" w:cs="Arial" w:eastAsia="宋体" w:hAnsi="Arial"/>
          <w:sz w:val="22"/>
          <w:szCs w:val="24"/>
        </w:rPr>
        <w:t>：COD减少约40%-95%、五日生化需氧量</w:t>
      </w:r>
      <w:r>
        <w:rPr>
          <w:rFonts w:ascii="Arial" w:cs="Arial" w:eastAsia="宋体" w:hAnsi="Arial"/>
          <w:sz w:val="22"/>
          <w:szCs w:val="24"/>
          <w:lang w:val="en-GB"/>
        </w:rPr>
        <w:t xml:space="preserve"> (</w:t>
      </w:r>
      <w:r>
        <w:rPr>
          <w:rFonts w:ascii="Arial" w:cs="Arial" w:eastAsia="宋体" w:hAnsi="Arial"/>
          <w:sz w:val="22"/>
          <w:szCs w:val="24"/>
        </w:rPr>
        <w:t>BOD</w:t>
      </w:r>
      <w:r>
        <w:rPr>
          <w:rFonts w:ascii="Arial" w:cs="Arial" w:eastAsia="宋体" w:hAnsi="Arial"/>
          <w:sz w:val="22"/>
          <w:szCs w:val="24"/>
          <w:vertAlign w:val="subscript"/>
        </w:rPr>
        <w:t>5</w:t>
      </w:r>
      <w:r>
        <w:rPr>
          <w:rFonts w:ascii="Arial" w:cs="Arial" w:eastAsia="宋体" w:hAnsi="Arial"/>
          <w:sz w:val="22"/>
          <w:szCs w:val="24"/>
        </w:rPr>
        <w:t>) 减少60%-96%、大肠菌群减少70%-97％、总磷减少50%-95％。在畜禽粪污完全作为肥料施用于土地的情况下，还可以实现更大的减量幅度。规划区域内众多畜禽粪污处理和有机肥生产利用系统的共同作用将会给区域带来显著的环境效益，并在土壤质量改善、农产品质量提高、社区健康等方面产生显著的效益。</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规划区域内通过实施乡村振兴规划农村道路建设项目促进区域农村经济发展：</w:t>
      </w:r>
      <w:r>
        <w:rPr>
          <w:rFonts w:ascii="Arial" w:cs="Arial" w:eastAsia="宋体" w:hAnsi="Arial"/>
          <w:sz w:val="22"/>
          <w:szCs w:val="24"/>
        </w:rPr>
        <w:t>农村公路网络建设可以加强农村客运和物流配送模式，缩短物流时间，降低农产品成本，而提高农村区域经济水平。</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规划区域内通过实施同类项目促进区域绿色农业和乡村振兴发展：</w:t>
      </w:r>
      <w:r>
        <w:rPr>
          <w:rFonts w:ascii="Arial" w:cs="Arial" w:eastAsia="宋体" w:hAnsi="Arial"/>
          <w:sz w:val="22"/>
          <w:szCs w:val="24"/>
        </w:rPr>
        <w:t>两省实施的其他世行贷款项目如广西扶贫PfoR项目、贵州农村发展项目和中国贫困片区产业扶贫试点示范项目等，均包含与本项目相似类型的活动，并实施类似的环境与社会管理机制。这些活动与本项目协同和累加，将在两省更广泛的区域内深度推进绿色农业和乡村振兴发展效应、不断拓展农业生态环境保护和农村居住环境改善。</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hint="eastAsia"/>
          <w:sz w:val="22"/>
          <w:szCs w:val="24"/>
        </w:rPr>
        <w:t>世行政策</w:t>
      </w:r>
      <w:r>
        <w:rPr>
          <w:rFonts w:ascii="Arial" w:cs="Arial" w:eastAsia="宋体" w:hAnsi="Arial"/>
          <w:sz w:val="22"/>
          <w:szCs w:val="24"/>
        </w:rPr>
        <w:t xml:space="preserve">OP 7.50 – </w:t>
      </w:r>
      <w:r>
        <w:rPr>
          <w:rFonts w:ascii="Arial" w:cs="Arial" w:eastAsia="宋体" w:hAnsi="Arial" w:hint="eastAsia"/>
          <w:sz w:val="22"/>
          <w:szCs w:val="24"/>
        </w:rPr>
        <w:t>国际水道：该政策触发是因为本项目活动用水将涉及国际水道珠江流域。这些活动主要包括改造现有灌溉与排水系统，以提高用水效率、减少污染物入河量，不会增加国际水道的取水量和污染物排放量。因此，世行项目团队将在项目谈判前，按</w:t>
      </w:r>
      <w:r>
        <w:rPr>
          <w:rFonts w:ascii="Arial" w:cs="Arial" w:eastAsia="宋体" w:hAnsi="Arial"/>
          <w:sz w:val="22"/>
          <w:szCs w:val="24"/>
        </w:rPr>
        <w:t>OP 7.50</w:t>
      </w:r>
      <w:r>
        <w:rPr>
          <w:rFonts w:ascii="Arial" w:cs="Arial" w:eastAsia="宋体" w:hAnsi="Arial" w:hint="eastAsia"/>
          <w:sz w:val="22"/>
          <w:szCs w:val="24"/>
        </w:rPr>
        <w:t>政策要求申请豁免对沿岸国家的通知。</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因此，本项目总体的环境与社会效应风险等级为“</w:t>
      </w:r>
      <w:r>
        <w:rPr>
          <w:rFonts w:ascii="Arial" w:cs="Arial" w:eastAsia="宋体" w:hAnsi="Arial"/>
          <w:b/>
          <w:bCs/>
          <w:sz w:val="22"/>
          <w:szCs w:val="24"/>
        </w:rPr>
        <w:t>较高</w:t>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环境与社会背景风险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实体活动都在农村地区开展。其中农村生活污水收集与处理、农村生活垃圾收集和转运、畜禽粪污处理与利用、废弃农用塑料收集与贮存等存在日常运行维护管理的设施均处于或靠近现有乡镇或村庄，不会位于未经人类活动干扰的自然栖息地。中国具有严格的自然保护地和生态保护红线制度，本项目排除原则又将可能影响</w:t>
      </w:r>
      <w:r>
        <w:rPr>
          <w:rFonts w:ascii="Arial" w:cs="Arial" w:eastAsia="宋体" w:hAnsi="Arial"/>
          <w:bCs/>
          <w:sz w:val="22"/>
        </w:rPr>
        <w:t>重要自然栖息地的活动排除在外</w:t>
      </w:r>
      <w:r>
        <w:rPr>
          <w:rFonts w:ascii="Arial" w:cs="Arial" w:eastAsia="宋体" w:hAnsi="Arial"/>
          <w:sz w:val="22"/>
          <w:szCs w:val="24"/>
        </w:rPr>
        <w:t>，因此本项目活动不会出现选址位于环境敏感地区的情况。</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国家和地方建立了系统的土地征收、设施农用地备案管理和土地流转的管理机制，且各地政府通过大量的项目实施，在管理相关工作中具有丰富经验。项目的设施如畜禽粪污资源化利用设施大部分位于已有的畜禽养殖场内，不额外新增用地，少部分设施可能位于畜禽养殖场外，但规模不大。本项目是有关绿色农业发展项目，很多活动并不需要将集体土地征收未国有建设用地，而可以根据地方土地利用规划，采取设施农业用地备案或土地流转的方式，不改变集体土地的性质，也不改变农业用地的用途，使用后还会进行复垦，且这些用地方式是基于自愿协商的方式实施的，租赁价格、租赁合同和支付方式等农户可根据自身需求自我决策，没有强制性。在这种背景下非自愿移民的风险较低。有机肥替代化肥只是相对而言的，只是建议使用有机肥，减少化肥使用量，不会强制全部替代化肥；并且农民可以自由选择，是否采用有机肥。农业废弃物管理、农膜收集目的是提升农民的环保意识，为此提供的相关培训由政府统一组织安排，农户免费参与，因此社会影响很低。</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一些活动将位于少数民族</w:t>
      </w:r>
      <w:r>
        <w:rPr>
          <w:rFonts w:ascii="Arial" w:cs="Arial" w:eastAsia="宋体" w:hAnsi="Arial" w:hint="eastAsia"/>
          <w:sz w:val="22"/>
          <w:szCs w:val="24"/>
        </w:rPr>
        <w:t>地区</w:t>
      </w:r>
      <w:r>
        <w:rPr>
          <w:rFonts w:ascii="Arial" w:cs="Arial" w:eastAsia="宋体" w:hAnsi="Arial"/>
          <w:sz w:val="22"/>
          <w:szCs w:val="24"/>
        </w:rPr>
        <w:t>。经过调查，项目未发现任何环境与社会遗留问题。如发现某项目存在环境与社会遗留问题，该项目将不能纳入世行结果导向型贷款范围。相关项目的实施对少数民族地区的环境改善和经济发展有促进作用。少数民族不会由于其特有的文化和民族特性被排除在项目受益范围之外。</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因此，本项目总体的环境与社会背景风险等级为“</w:t>
      </w:r>
      <w:r>
        <w:rPr>
          <w:rFonts w:ascii="Arial" w:cs="Arial" w:eastAsia="宋体" w:hAnsi="Arial"/>
          <w:b/>
          <w:bCs/>
          <w:sz w:val="22"/>
          <w:szCs w:val="24"/>
        </w:rPr>
        <w:t>中等</w:t>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机构能力和复杂性风险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的环境与社会影响管理将牵涉诸多政府部门，如发改、财政、农业农村、乡村振兴、生态环境、住建、自然资源、人社、水利、卫健、劳动、文化旅游等。各部门都依照现有法规规章进行管理，设置了对应的机构和人员；作为政府部门，其机构人员安排和预算都有保障等。由于项目活动覆盖范围广，涉及不同地区和众多的管理机构，不同部门之间需要进行有效的沟通和协调。在本项目实施中，所有相关行业主管部门都将在中央和省级政府总体指导下、在省级项目办的协调下，按照各自的职责实施活动并管理相应的环境与社会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因此，本项目总体的机构能力和复杂性风险等级为“</w:t>
      </w:r>
      <w:r>
        <w:rPr>
          <w:rFonts w:ascii="Arial" w:cs="Arial" w:eastAsia="宋体" w:hAnsi="Arial"/>
          <w:b/>
          <w:bCs/>
          <w:sz w:val="22"/>
          <w:szCs w:val="24"/>
        </w:rPr>
        <w:t>中等</w:t>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b/>
          <w:bCs/>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政治和名誉风险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将有助于推进绿色农业发展、减少环境污染、保护生态环境、改善农村居住条件、提高农民生活水平，与国家和地方政策和规划一致，具备高度的政治保障，并使当地人民从中受益显著，从而受到群众的支持，因此没有政治风险。过去众多类似的项目也都证明了这一点。</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因此，本项目总体的政治和名誉风险等级为“</w:t>
      </w:r>
      <w:r>
        <w:rPr>
          <w:rFonts w:ascii="Arial" w:cs="Arial" w:eastAsia="宋体" w:hAnsi="Arial"/>
          <w:b/>
          <w:bCs/>
          <w:sz w:val="22"/>
          <w:szCs w:val="24"/>
        </w:rPr>
        <w:t>低</w:t>
      </w:r>
      <w:r>
        <w:rPr>
          <w:rFonts w:ascii="Arial" w:cs="Arial" w:eastAsia="宋体" w:hAnsi="Arial"/>
          <w:sz w:val="22"/>
          <w:szCs w:val="24"/>
        </w:rPr>
        <w:t>”。</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综合考虑以上四个因素，结合风险筛查结果和拟定的风险管理措施，本项目总体环境与社会风险等级为“</w:t>
      </w:r>
      <w:r>
        <w:rPr>
          <w:rFonts w:ascii="Arial" w:cs="Arial" w:eastAsia="宋体" w:hAnsi="Arial"/>
          <w:b/>
          <w:bCs/>
          <w:sz w:val="22"/>
          <w:szCs w:val="24"/>
        </w:rPr>
        <w:t>较高</w:t>
      </w:r>
      <w:r>
        <w:rPr>
          <w:rFonts w:ascii="Arial" w:cs="Arial" w:eastAsia="宋体" w:hAnsi="Arial"/>
          <w:sz w:val="22"/>
          <w:szCs w:val="24"/>
        </w:rPr>
        <w:t>”。</w:t>
      </w:r>
      <w:r>
        <w:rPr>
          <w:rFonts w:ascii="Arial" w:cs="Arial" w:eastAsia="宋体" w:hAnsi="Arial"/>
          <w:sz w:val="22"/>
          <w:szCs w:val="24"/>
        </w:rPr>
        <w:br w:type="page"/>
      </w:r>
    </w:p>
    <w:bookmarkStart w:id="191" w:name="_Toc79939251"/>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192" w:name="_Toc93944802"/>
      <w:r>
        <w:rPr>
          <w:rFonts w:ascii="Arial" w:cs="Arial" w:eastAsia="宋体" w:hAnsi="Arial"/>
          <w:color w:val="1f4e79"/>
          <w:sz w:val="28"/>
          <w:szCs w:val="28"/>
        </w:rPr>
        <w:t>环境管理系统评</w:t>
      </w:r>
      <w:bookmarkEnd w:id="191"/>
      <w:r>
        <w:rPr>
          <w:rFonts w:ascii="Arial" w:cs="Arial" w:eastAsia="宋体" w:hAnsi="Arial"/>
          <w:color w:val="1f4e79"/>
          <w:sz w:val="28"/>
          <w:szCs w:val="28"/>
        </w:rPr>
        <w:t>价</w:t>
      </w:r>
      <w:bookmarkEnd w:id="192"/>
    </w:p>
    <w:bookmarkStart w:id="193" w:name="_Toc65437522"/>
    <w:bookmarkStart w:id="194" w:name="_Toc66694838"/>
    <w:bookmarkStart w:id="195" w:name="_Toc76050621"/>
    <w:bookmarkStart w:id="196" w:name="_Toc77355642"/>
    <w:bookmarkStart w:id="197" w:name="_Toc77355873"/>
    <w:bookmarkStart w:id="198" w:name="_Toc77620721"/>
    <w:bookmarkStart w:id="199" w:name="_Toc77628980"/>
    <w:bookmarkStart w:id="200" w:name="_Toc77864029"/>
    <w:bookmarkStart w:id="201" w:name="_Toc77866197"/>
    <w:bookmarkStart w:id="202" w:name="_Toc77867284"/>
    <w:bookmarkStart w:id="203" w:name="_Toc77867882"/>
    <w:bookmarkStart w:id="204" w:name="_Toc77834787"/>
    <w:bookmarkStart w:id="205" w:name="_Toc77834834"/>
    <w:bookmarkStart w:id="206" w:name="_Toc77947540"/>
    <w:bookmarkStart w:id="207" w:name="_Toc77947596"/>
    <w:bookmarkStart w:id="208" w:name="_Toc77947803"/>
    <w:bookmarkStart w:id="209" w:name="_Toc77947853"/>
    <w:bookmarkStart w:id="210" w:name="_Toc77947997"/>
    <w:bookmarkStart w:id="211" w:name="_Toc77948059"/>
    <w:bookmarkStart w:id="212" w:name="_Toc77948534"/>
    <w:bookmarkStart w:id="213" w:name="_Toc78301178"/>
    <w:bookmarkStart w:id="214" w:name="_Toc79141950"/>
    <w:bookmarkStart w:id="215" w:name="_Toc79402179"/>
    <w:bookmarkStart w:id="216" w:name="_Toc79402226"/>
    <w:bookmarkStart w:id="217" w:name="_Toc79736429"/>
    <w:bookmarkStart w:id="218" w:name="_Toc79736564"/>
    <w:bookmarkStart w:id="219" w:name="_Toc79939252"/>
    <w:bookmarkStart w:id="220" w:name="_Toc88842031"/>
    <w:bookmarkStart w:id="221" w:name="_Toc88857481"/>
    <w:bookmarkStart w:id="222" w:name="_Toc88857560"/>
    <w:bookmarkStart w:id="223" w:name="_Toc88858334"/>
    <w:bookmarkStart w:id="224" w:name="_Toc88858424"/>
    <w:bookmarkStart w:id="225" w:name="_Toc88858568"/>
    <w:bookmarkStart w:id="226" w:name="_Toc88858655"/>
    <w:bookmarkStart w:id="227" w:name="_Toc88858766"/>
    <w:bookmarkStart w:id="228" w:name="_Toc88858819"/>
    <w:bookmarkStart w:id="229" w:name="_Toc88859493"/>
    <w:bookmarkStart w:id="230" w:name="_Toc88860750"/>
    <w:bookmarkStart w:id="231" w:name="_Toc88861920"/>
    <w:bookmarkStart w:id="232" w:name="_Toc88861973"/>
    <w:bookmarkStart w:id="233" w:name="_Toc88862095"/>
    <w:bookmarkStart w:id="234" w:name="_Toc89016103"/>
    <w:bookmarkStart w:id="235" w:name="_Toc89155499"/>
    <w:bookmarkStart w:id="236" w:name="_Toc89155574"/>
    <w:bookmarkStart w:id="237" w:name="_Toc89241938"/>
    <w:bookmarkStart w:id="238" w:name="_Toc89421581"/>
    <w:bookmarkStart w:id="239" w:name="_Toc89425492"/>
    <w:bookmarkStart w:id="240" w:name="_Toc89703041"/>
    <w:bookmarkStart w:id="241" w:name="_Toc89703111"/>
    <w:bookmarkStart w:id="242" w:name="_Toc90169407"/>
    <w:bookmarkStart w:id="243" w:name="_Toc90169503"/>
    <w:bookmarkStart w:id="244" w:name="_Toc90173634"/>
    <w:bookmarkStart w:id="245" w:name="_Toc90173911"/>
    <w:bookmarkStart w:id="246" w:name="_Toc90174088"/>
    <w:bookmarkStart w:id="247" w:name="_Toc90174140"/>
    <w:bookmarkStart w:id="248" w:name="_Toc90176455"/>
    <w:bookmarkStart w:id="249" w:name="_Toc90180661"/>
    <w:bookmarkStart w:id="250" w:name="_Toc90181098"/>
    <w:bookmarkStart w:id="251" w:name="_Toc90216895"/>
    <w:bookmarkStart w:id="252" w:name="_Toc90310584"/>
    <w:bookmarkStart w:id="253" w:name="_Toc90331887"/>
    <w:bookmarkStart w:id="254" w:name="_Toc90332043"/>
    <w:bookmarkStart w:id="255" w:name="_Toc90332299"/>
    <w:bookmarkStart w:id="256" w:name="_Toc90334673"/>
    <w:bookmarkStart w:id="257" w:name="_Toc90414821"/>
    <w:bookmarkStart w:id="258" w:name="_Toc90550980"/>
    <w:bookmarkStart w:id="259" w:name="_Toc90551051"/>
    <w:bookmarkStart w:id="260" w:name="_Toc90551171"/>
    <w:bookmarkStart w:id="261" w:name="_Toc90590523"/>
    <w:bookmarkStart w:id="262" w:name="_Toc90590568"/>
    <w:bookmarkStart w:id="263" w:name="_Toc90711512"/>
    <w:bookmarkStart w:id="264" w:name="_Toc90840418"/>
    <w:bookmarkStart w:id="265" w:name="_Toc90855466"/>
    <w:bookmarkStart w:id="266" w:name="_Toc90855532"/>
    <w:bookmarkStart w:id="267" w:name="_Toc90855751"/>
    <w:bookmarkStart w:id="268" w:name="_Toc90856368"/>
    <w:bookmarkStart w:id="269" w:name="_Toc90904785"/>
    <w:bookmarkStart w:id="270" w:name="_Toc90905771"/>
    <w:bookmarkStart w:id="271" w:name="_Toc91190251"/>
    <w:bookmarkStart w:id="272" w:name="_Toc91572665"/>
    <w:bookmarkStart w:id="273" w:name="_Toc91572733"/>
    <w:bookmarkStart w:id="274" w:name="_Toc91572814"/>
    <w:bookmarkStart w:id="275" w:name="_Toc91572880"/>
    <w:bookmarkStart w:id="276" w:name="_Toc91572946"/>
    <w:bookmarkStart w:id="277" w:name="_Toc91573012"/>
    <w:bookmarkStart w:id="278" w:name="_Toc91573144"/>
    <w:bookmarkStart w:id="279" w:name="_Toc92267123"/>
    <w:bookmarkStart w:id="280" w:name="_Toc92726972"/>
    <w:bookmarkStart w:id="281" w:name="_Toc92803955"/>
    <w:bookmarkStart w:id="282" w:name="_Toc9394480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pStyle w:val="style179"/>
        <w:keepNext/>
        <w:keepLines/>
        <w:numPr>
          <w:ilvl w:val="0"/>
          <w:numId w:val="8"/>
        </w:numPr>
        <w:adjustRightInd w:val="false"/>
        <w:snapToGrid w:val="false"/>
        <w:spacing w:before="120" w:after="120"/>
        <w:ind w:firstLineChars="0"/>
        <w:outlineLvl w:val="1"/>
        <w:rPr>
          <w:rFonts w:ascii="Arial" w:cs="Arial" w:eastAsia="宋体" w:hAnsi="Arial"/>
          <w:b/>
          <w:bCs/>
          <w:vanish/>
          <w:color w:val="1f4e79"/>
          <w:sz w:val="22"/>
          <w:szCs w:val="24"/>
        </w:rPr>
      </w:pPr>
    </w:p>
    <w:bookmarkStart w:id="283" w:name="_Toc77834788"/>
    <w:bookmarkStart w:id="284" w:name="_Toc77834835"/>
    <w:bookmarkStart w:id="285" w:name="_Toc77947541"/>
    <w:bookmarkStart w:id="286" w:name="_Toc77947597"/>
    <w:bookmarkStart w:id="287" w:name="_Toc77947804"/>
    <w:bookmarkStart w:id="288" w:name="_Toc77947854"/>
    <w:bookmarkStart w:id="289" w:name="_Toc77947998"/>
    <w:bookmarkStart w:id="290" w:name="_Toc77948060"/>
    <w:bookmarkStart w:id="291" w:name="_Toc77948535"/>
    <w:bookmarkStart w:id="292" w:name="_Toc78301179"/>
    <w:bookmarkStart w:id="293" w:name="_Toc79141951"/>
    <w:bookmarkStart w:id="294" w:name="_Toc79402180"/>
    <w:bookmarkStart w:id="295" w:name="_Toc79402227"/>
    <w:bookmarkStart w:id="296" w:name="_Toc79736430"/>
    <w:bookmarkStart w:id="297" w:name="_Toc79736565"/>
    <w:bookmarkStart w:id="298" w:name="_Toc79939253"/>
    <w:bookmarkStart w:id="299" w:name="_Toc88842032"/>
    <w:bookmarkStart w:id="300" w:name="_Toc88857482"/>
    <w:bookmarkStart w:id="301" w:name="_Toc88857561"/>
    <w:bookmarkStart w:id="302" w:name="_Toc88858335"/>
    <w:bookmarkStart w:id="303" w:name="_Toc88858425"/>
    <w:bookmarkStart w:id="304" w:name="_Toc88858569"/>
    <w:bookmarkStart w:id="305" w:name="_Toc88858656"/>
    <w:bookmarkStart w:id="306" w:name="_Toc88858767"/>
    <w:bookmarkStart w:id="307" w:name="_Toc88858820"/>
    <w:bookmarkStart w:id="308" w:name="_Toc88859494"/>
    <w:bookmarkStart w:id="309" w:name="_Toc88860751"/>
    <w:bookmarkStart w:id="310" w:name="_Toc88861921"/>
    <w:bookmarkStart w:id="311" w:name="_Toc88861974"/>
    <w:bookmarkStart w:id="312" w:name="_Toc88862096"/>
    <w:bookmarkStart w:id="313" w:name="_Toc89016104"/>
    <w:bookmarkStart w:id="314" w:name="_Toc89155500"/>
    <w:bookmarkStart w:id="315" w:name="_Toc89155575"/>
    <w:bookmarkStart w:id="316" w:name="_Toc89241939"/>
    <w:bookmarkStart w:id="317" w:name="_Toc89421582"/>
    <w:bookmarkStart w:id="318" w:name="_Toc89425493"/>
    <w:bookmarkStart w:id="319" w:name="_Toc89703042"/>
    <w:bookmarkStart w:id="320" w:name="_Toc89703112"/>
    <w:bookmarkStart w:id="321" w:name="_Toc90169408"/>
    <w:bookmarkStart w:id="322" w:name="_Toc90169504"/>
    <w:bookmarkStart w:id="323" w:name="_Toc90173635"/>
    <w:bookmarkStart w:id="324" w:name="_Toc90173912"/>
    <w:bookmarkStart w:id="325" w:name="_Toc90174089"/>
    <w:bookmarkStart w:id="326" w:name="_Toc90174141"/>
    <w:bookmarkStart w:id="327" w:name="_Toc90176456"/>
    <w:bookmarkStart w:id="328" w:name="_Toc90180662"/>
    <w:bookmarkStart w:id="329" w:name="_Toc90181099"/>
    <w:bookmarkStart w:id="330" w:name="_Toc90216896"/>
    <w:bookmarkStart w:id="331" w:name="_Toc90310585"/>
    <w:bookmarkStart w:id="332" w:name="_Toc90331888"/>
    <w:bookmarkStart w:id="333" w:name="_Toc90332044"/>
    <w:bookmarkStart w:id="334" w:name="_Toc90332300"/>
    <w:bookmarkStart w:id="335" w:name="_Toc90334674"/>
    <w:bookmarkStart w:id="336" w:name="_Toc90414822"/>
    <w:bookmarkStart w:id="337" w:name="_Toc90550981"/>
    <w:bookmarkStart w:id="338" w:name="_Toc90551052"/>
    <w:bookmarkStart w:id="339" w:name="_Toc90551172"/>
    <w:bookmarkStart w:id="340" w:name="_Toc90590524"/>
    <w:bookmarkStart w:id="341" w:name="_Toc90590569"/>
    <w:bookmarkStart w:id="342" w:name="_Toc90711513"/>
    <w:bookmarkStart w:id="343" w:name="_Toc90840419"/>
    <w:bookmarkStart w:id="344" w:name="_Toc90855467"/>
    <w:bookmarkStart w:id="345" w:name="_Toc90855533"/>
    <w:bookmarkStart w:id="346" w:name="_Toc90855752"/>
    <w:bookmarkStart w:id="347" w:name="_Toc90856369"/>
    <w:bookmarkStart w:id="348" w:name="_Toc90904786"/>
    <w:bookmarkStart w:id="349" w:name="_Toc90905772"/>
    <w:bookmarkStart w:id="350" w:name="_Toc91190252"/>
    <w:bookmarkStart w:id="351" w:name="_Toc91572666"/>
    <w:bookmarkStart w:id="352" w:name="_Toc91572734"/>
    <w:bookmarkStart w:id="353" w:name="_Toc91572815"/>
    <w:bookmarkStart w:id="354" w:name="_Toc91572881"/>
    <w:bookmarkStart w:id="355" w:name="_Toc91572947"/>
    <w:bookmarkStart w:id="356" w:name="_Toc91573013"/>
    <w:bookmarkStart w:id="357" w:name="_Toc91573145"/>
    <w:bookmarkStart w:id="358" w:name="_Toc92267124"/>
    <w:bookmarkStart w:id="359" w:name="_Toc92726973"/>
    <w:bookmarkStart w:id="360" w:name="_Toc92803956"/>
    <w:bookmarkStart w:id="361" w:name="_Toc93944804"/>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Pr>
        <w:pStyle w:val="style179"/>
        <w:keepNext/>
        <w:keepLines/>
        <w:numPr>
          <w:ilvl w:val="0"/>
          <w:numId w:val="5"/>
        </w:numPr>
        <w:adjustRightInd w:val="false"/>
        <w:snapToGrid w:val="false"/>
        <w:spacing w:before="120" w:after="120"/>
        <w:ind w:firstLineChars="0"/>
        <w:outlineLvl w:val="1"/>
        <w:rPr>
          <w:rFonts w:ascii="Arial" w:cs="Arial" w:eastAsia="宋体" w:hAnsi="Arial"/>
          <w:b/>
          <w:bCs/>
          <w:vanish/>
          <w:color w:val="1f4e79"/>
          <w:sz w:val="22"/>
          <w:szCs w:val="24"/>
        </w:rPr>
      </w:pPr>
    </w:p>
    <w:bookmarkStart w:id="362" w:name="_Toc77834789"/>
    <w:bookmarkStart w:id="363" w:name="_Toc77834836"/>
    <w:bookmarkStart w:id="364" w:name="_Toc77947542"/>
    <w:bookmarkStart w:id="365" w:name="_Toc77947598"/>
    <w:bookmarkStart w:id="366" w:name="_Toc77947805"/>
    <w:bookmarkStart w:id="367" w:name="_Toc77947855"/>
    <w:bookmarkStart w:id="368" w:name="_Toc77947999"/>
    <w:bookmarkStart w:id="369" w:name="_Toc77948061"/>
    <w:bookmarkStart w:id="370" w:name="_Toc77948536"/>
    <w:bookmarkStart w:id="371" w:name="_Toc78301180"/>
    <w:bookmarkStart w:id="372" w:name="_Toc79141952"/>
    <w:bookmarkStart w:id="373" w:name="_Toc79402181"/>
    <w:bookmarkStart w:id="374" w:name="_Toc79402228"/>
    <w:bookmarkStart w:id="375" w:name="_Toc79736431"/>
    <w:bookmarkStart w:id="376" w:name="_Toc79736566"/>
    <w:bookmarkStart w:id="377" w:name="_Toc79939254"/>
    <w:bookmarkStart w:id="378" w:name="_Toc88842033"/>
    <w:bookmarkStart w:id="379" w:name="_Toc88857483"/>
    <w:bookmarkStart w:id="380" w:name="_Toc88857562"/>
    <w:bookmarkStart w:id="381" w:name="_Toc88858336"/>
    <w:bookmarkStart w:id="382" w:name="_Toc88858426"/>
    <w:bookmarkStart w:id="383" w:name="_Toc88858570"/>
    <w:bookmarkStart w:id="384" w:name="_Toc88858657"/>
    <w:bookmarkStart w:id="385" w:name="_Toc88858768"/>
    <w:bookmarkStart w:id="386" w:name="_Toc88858821"/>
    <w:bookmarkStart w:id="387" w:name="_Toc88859495"/>
    <w:bookmarkStart w:id="388" w:name="_Toc88860752"/>
    <w:bookmarkStart w:id="389" w:name="_Toc88861922"/>
    <w:bookmarkStart w:id="390" w:name="_Toc88861975"/>
    <w:bookmarkStart w:id="391" w:name="_Toc88862097"/>
    <w:bookmarkStart w:id="392" w:name="_Toc89016105"/>
    <w:bookmarkStart w:id="393" w:name="_Toc89155501"/>
    <w:bookmarkStart w:id="394" w:name="_Toc89155576"/>
    <w:bookmarkStart w:id="395" w:name="_Toc89241940"/>
    <w:bookmarkStart w:id="396" w:name="_Toc89421583"/>
    <w:bookmarkStart w:id="397" w:name="_Toc89425494"/>
    <w:bookmarkStart w:id="398" w:name="_Toc89703043"/>
    <w:bookmarkStart w:id="399" w:name="_Toc89703113"/>
    <w:bookmarkStart w:id="400" w:name="_Toc90169409"/>
    <w:bookmarkStart w:id="401" w:name="_Toc90169505"/>
    <w:bookmarkStart w:id="402" w:name="_Toc90173636"/>
    <w:bookmarkStart w:id="403" w:name="_Toc90173913"/>
    <w:bookmarkStart w:id="404" w:name="_Toc90174090"/>
    <w:bookmarkStart w:id="405" w:name="_Toc90174142"/>
    <w:bookmarkStart w:id="406" w:name="_Toc90176457"/>
    <w:bookmarkStart w:id="407" w:name="_Toc90180663"/>
    <w:bookmarkStart w:id="408" w:name="_Toc90181100"/>
    <w:bookmarkStart w:id="409" w:name="_Toc90216897"/>
    <w:bookmarkStart w:id="410" w:name="_Toc90310586"/>
    <w:bookmarkStart w:id="411" w:name="_Toc90331889"/>
    <w:bookmarkStart w:id="412" w:name="_Toc90332045"/>
    <w:bookmarkStart w:id="413" w:name="_Toc90332301"/>
    <w:bookmarkStart w:id="414" w:name="_Toc90334675"/>
    <w:bookmarkStart w:id="415" w:name="_Toc90414823"/>
    <w:bookmarkStart w:id="416" w:name="_Toc90550982"/>
    <w:bookmarkStart w:id="417" w:name="_Toc90551053"/>
    <w:bookmarkStart w:id="418" w:name="_Toc90551173"/>
    <w:bookmarkStart w:id="419" w:name="_Toc90590525"/>
    <w:bookmarkStart w:id="420" w:name="_Toc90590570"/>
    <w:bookmarkStart w:id="421" w:name="_Toc90711514"/>
    <w:bookmarkStart w:id="422" w:name="_Toc90840420"/>
    <w:bookmarkStart w:id="423" w:name="_Toc90855468"/>
    <w:bookmarkStart w:id="424" w:name="_Toc90855534"/>
    <w:bookmarkStart w:id="425" w:name="_Toc90855753"/>
    <w:bookmarkStart w:id="426" w:name="_Toc90856370"/>
    <w:bookmarkStart w:id="427" w:name="_Toc90904787"/>
    <w:bookmarkStart w:id="428" w:name="_Toc90905773"/>
    <w:bookmarkStart w:id="429" w:name="_Toc91190253"/>
    <w:bookmarkStart w:id="430" w:name="_Toc91572667"/>
    <w:bookmarkStart w:id="431" w:name="_Toc91572735"/>
    <w:bookmarkStart w:id="432" w:name="_Toc91572816"/>
    <w:bookmarkStart w:id="433" w:name="_Toc91572882"/>
    <w:bookmarkStart w:id="434" w:name="_Toc91572948"/>
    <w:bookmarkStart w:id="435" w:name="_Toc91573014"/>
    <w:bookmarkStart w:id="436" w:name="_Toc91573146"/>
    <w:bookmarkStart w:id="437" w:name="_Toc92267125"/>
    <w:bookmarkStart w:id="438" w:name="_Toc92726974"/>
    <w:bookmarkStart w:id="439" w:name="_Toc92803957"/>
    <w:bookmarkStart w:id="440" w:name="_Toc93944805"/>
    <w:bookmarkStart w:id="441" w:name="_Toc66694839"/>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Pr>
        <w:pStyle w:val="style179"/>
        <w:keepNext/>
        <w:keepLines/>
        <w:numPr>
          <w:ilvl w:val="0"/>
          <w:numId w:val="5"/>
        </w:numPr>
        <w:adjustRightInd w:val="false"/>
        <w:snapToGrid w:val="false"/>
        <w:spacing w:before="120" w:after="120"/>
        <w:ind w:firstLineChars="0"/>
        <w:outlineLvl w:val="1"/>
        <w:rPr>
          <w:rFonts w:ascii="Arial" w:cs="Arial" w:eastAsia="宋体" w:hAnsi="Arial"/>
          <w:b/>
          <w:bCs/>
          <w:vanish/>
          <w:color w:val="1f4e79"/>
          <w:sz w:val="22"/>
          <w:szCs w:val="24"/>
        </w:rPr>
      </w:pPr>
    </w:p>
    <w:bookmarkStart w:id="442" w:name="_Toc93944806"/>
    <w:bookmarkEnd w:id="441"/>
    <w:p>
      <w:pPr>
        <w:pStyle w:val="style2"/>
        <w:rPr>
          <w:color w:val="1f4e79"/>
          <w:sz w:val="24"/>
          <w:szCs w:val="24"/>
        </w:rPr>
      </w:pPr>
      <w:r>
        <w:rPr>
          <w:color w:val="1f4e79"/>
          <w:sz w:val="24"/>
          <w:szCs w:val="24"/>
        </w:rPr>
        <w:t>3.1</w:t>
      </w:r>
      <w:r>
        <w:rPr>
          <w:color w:val="1f4e79"/>
          <w:sz w:val="24"/>
          <w:szCs w:val="24"/>
        </w:rPr>
        <w:tab/>
      </w:r>
      <w:r>
        <w:rPr>
          <w:color w:val="1f4e79"/>
          <w:sz w:val="24"/>
          <w:szCs w:val="24"/>
        </w:rPr>
        <w:tab/>
      </w:r>
      <w:r>
        <w:rPr>
          <w:color w:val="1f4e79"/>
          <w:sz w:val="24"/>
          <w:szCs w:val="24"/>
        </w:rPr>
        <w:t>总体原则</w:t>
      </w:r>
      <w:bookmarkEnd w:id="442"/>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ab/>
      </w:r>
      <w:r>
        <w:rPr>
          <w:rFonts w:ascii="Arial" w:cs="Arial" w:eastAsia="宋体" w:hAnsi="Arial"/>
          <w:sz w:val="22"/>
          <w:szCs w:val="24"/>
        </w:rPr>
        <w:t>世行《结果导向型贷款项目环境与社会系统评价指南》提出了六项核心原则，其中前三项与环境管理系统评价相关，即：</w:t>
      </w:r>
    </w:p>
    <w:p>
      <w:pPr>
        <w:pStyle w:val="style179"/>
        <w:adjustRightInd w:val="false"/>
        <w:snapToGrid w:val="false"/>
        <w:ind w:firstLine="0" w:firstLineChars="0"/>
        <w:rPr>
          <w:rFonts w:ascii="Arial" w:cs="Arial" w:eastAsia="宋体" w:hAnsi="Arial"/>
          <w:sz w:val="22"/>
          <w:szCs w:val="24"/>
        </w:rPr>
      </w:pPr>
      <w:r>
        <w:rPr>
          <w:rFonts w:ascii="Arial" w:cs="Arial" w:eastAsia="宋体" w:hAnsi="Arial"/>
          <w:b/>
          <w:bCs/>
          <w:sz w:val="22"/>
          <w:szCs w:val="24"/>
        </w:rPr>
        <w:tab/>
      </w:r>
      <w:r>
        <w:rPr>
          <w:rFonts w:ascii="Arial" w:cs="Arial" w:eastAsia="宋体" w:hAnsi="Arial"/>
          <w:b/>
          <w:bCs/>
          <w:sz w:val="22"/>
          <w:szCs w:val="24"/>
        </w:rPr>
        <w:tab/>
      </w:r>
      <w:r>
        <w:rPr>
          <w:rFonts w:ascii="Arial" w:cs="Arial" w:eastAsia="宋体" w:hAnsi="Arial"/>
          <w:b/>
          <w:bCs/>
          <w:sz w:val="22"/>
          <w:szCs w:val="24"/>
        </w:rPr>
        <w:t>原则1</w:t>
      </w:r>
      <w:r>
        <w:rPr>
          <w:rFonts w:ascii="Arial" w:cs="Arial" w:eastAsia="宋体" w:hAnsi="Arial"/>
          <w:sz w:val="22"/>
          <w:szCs w:val="24"/>
        </w:rPr>
        <w:t xml:space="preserve"> - 环境影响评价和管理：环境管理系统应能够促进环境可持续发展；避免、减少或缓解不利影响；并从环境影响方面为项目决策提供建议（社会影响评价和管理在第4章介绍）。</w:t>
      </w:r>
    </w:p>
    <w:p>
      <w:pPr>
        <w:pStyle w:val="style179"/>
        <w:adjustRightInd w:val="false"/>
        <w:snapToGrid w:val="false"/>
        <w:ind w:firstLine="0" w:firstLineChars="0"/>
        <w:rPr>
          <w:rFonts w:ascii="Arial" w:cs="Arial" w:eastAsia="宋体" w:hAnsi="Arial"/>
          <w:sz w:val="22"/>
          <w:szCs w:val="24"/>
        </w:rPr>
      </w:pPr>
      <w:r>
        <w:rPr>
          <w:rFonts w:ascii="Arial" w:cs="Arial" w:eastAsia="宋体" w:hAnsi="Arial"/>
          <w:b/>
          <w:bCs/>
          <w:sz w:val="22"/>
          <w:szCs w:val="24"/>
        </w:rPr>
        <w:tab/>
      </w:r>
      <w:r>
        <w:rPr>
          <w:rFonts w:ascii="Arial" w:cs="Arial" w:eastAsia="宋体" w:hAnsi="Arial"/>
          <w:b/>
          <w:bCs/>
          <w:sz w:val="22"/>
          <w:szCs w:val="24"/>
        </w:rPr>
        <w:tab/>
      </w:r>
      <w:r>
        <w:rPr>
          <w:rFonts w:ascii="Arial" w:cs="Arial" w:eastAsia="宋体" w:hAnsi="Arial"/>
          <w:b/>
          <w:bCs/>
          <w:sz w:val="22"/>
          <w:szCs w:val="24"/>
        </w:rPr>
        <w:t>原则2</w:t>
      </w:r>
      <w:r>
        <w:rPr>
          <w:rFonts w:ascii="Arial" w:cs="Arial" w:eastAsia="宋体" w:hAnsi="Arial"/>
          <w:sz w:val="22"/>
          <w:szCs w:val="24"/>
        </w:rPr>
        <w:t xml:space="preserve"> - 自然栖息地保护：环境管理系统应能够避免、减少或缓解本项目活动对自然栖息地的影响；项目活动若涉及重要自然栖息地的重大改变或显著退化则不被PforR项目所支持（物质文化资源保护在第4章介绍）。</w:t>
      </w:r>
    </w:p>
    <w:p>
      <w:pPr>
        <w:pStyle w:val="style179"/>
        <w:adjustRightInd w:val="false"/>
        <w:snapToGrid w:val="false"/>
        <w:ind w:firstLine="0" w:firstLineChars="0"/>
        <w:rPr>
          <w:rFonts w:ascii="Arial" w:cs="Arial" w:eastAsia="宋体" w:hAnsi="Arial"/>
          <w:sz w:val="22"/>
          <w:szCs w:val="24"/>
          <w:lang w:val="en-GB"/>
        </w:rPr>
      </w:pPr>
      <w:r>
        <w:rPr>
          <w:rFonts w:ascii="Arial" w:cs="Arial" w:eastAsia="宋体" w:hAnsi="Arial"/>
          <w:b/>
          <w:bCs/>
          <w:sz w:val="22"/>
          <w:szCs w:val="24"/>
        </w:rPr>
        <w:tab/>
      </w:r>
      <w:r>
        <w:rPr>
          <w:rFonts w:ascii="Arial" w:cs="Arial" w:eastAsia="宋体" w:hAnsi="Arial"/>
          <w:b/>
          <w:bCs/>
          <w:sz w:val="22"/>
          <w:szCs w:val="24"/>
        </w:rPr>
        <w:tab/>
      </w:r>
      <w:r>
        <w:rPr>
          <w:rFonts w:ascii="Arial" w:cs="Arial" w:eastAsia="宋体" w:hAnsi="Arial"/>
          <w:b/>
          <w:bCs/>
          <w:sz w:val="22"/>
          <w:szCs w:val="24"/>
        </w:rPr>
        <w:t>原则3</w:t>
      </w:r>
      <w:r>
        <w:rPr>
          <w:rFonts w:ascii="Arial" w:cs="Arial" w:eastAsia="宋体" w:hAnsi="Arial"/>
          <w:sz w:val="22"/>
          <w:szCs w:val="24"/>
        </w:rPr>
        <w:t xml:space="preserve"> - 健康与安全管理：环境管理系统应能够在暴露于有毒化学品、危险废物或其他危险物品的活动中保护公众和工人安全（其他健康与安全内容在第4章介绍）。</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与这些原则相对应的，中国也有完善的环境保护管理制度。</w:t>
      </w:r>
      <w:r>
        <w:rPr>
          <w:rFonts w:ascii="Arial" w:cs="Arial" w:eastAsia="宋体" w:hAnsi="Arial"/>
          <w:sz w:val="22"/>
        </w:rPr>
        <w:t>自1979年《环境保护法》初次颁布以来，以《环境保护法》为基本法和一系列单行法为支撑，形成了包括国家层面80多部法律、120多个部门规章、一千多个标准规范和众多地方规章规范在内的，由生态环境部门总体监督、多部门协同配合的环境保护与污染防治体系。该体系构成了管理本项目环境风险和影响的主要法律框架，涵盖了环境影响评价、自然生态保护、污染防治、健康与安全等多个领域，全面应对了世行关于PforR项目环境系统评价的原则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sz w:val="22"/>
        </w:rPr>
        <w:t>《环境保护法》</w:t>
      </w:r>
      <w:r>
        <w:rPr>
          <w:rFonts w:ascii="Arial" w:cs="Arial" w:eastAsia="宋体" w:hAnsi="Arial"/>
          <w:bCs/>
          <w:sz w:val="22"/>
        </w:rPr>
        <w:t>(2014年修订) 是中国生态环境保护与污染防治的根本法律，将保护环境定为基本国策，目的是保护和改善环境，防治污染和其他公害，保障公众健康，推进生态文明建设，促进经济社会可持续发展。该法要求划定和实行生态保护红线</w:t>
      </w:r>
      <w:r>
        <w:rPr>
          <w:rStyle w:val="style38"/>
          <w:rFonts w:ascii="Arial" w:cs="Arial" w:eastAsia="宋体" w:hAnsi="Arial"/>
          <w:bCs/>
          <w:sz w:val="22"/>
        </w:rPr>
        <w:footnoteReference w:id="4"/>
      </w:r>
      <w:r>
        <w:rPr>
          <w:rFonts w:ascii="Arial" w:cs="Arial" w:eastAsia="宋体" w:hAnsi="Arial"/>
          <w:bCs/>
          <w:sz w:val="22"/>
        </w:rPr>
        <w:t>、保护自然生态和生物多样性、开展规划和建设项目环境影响评价、实行环保“三同时”</w:t>
      </w:r>
      <w:r>
        <w:rPr>
          <w:rStyle w:val="style38"/>
          <w:rFonts w:ascii="Arial" w:cs="Arial" w:eastAsia="宋体" w:hAnsi="Arial"/>
          <w:bCs/>
          <w:sz w:val="22"/>
        </w:rPr>
        <w:footnoteReference w:id="5"/>
      </w:r>
      <w:r>
        <w:rPr>
          <w:rFonts w:ascii="Arial" w:cs="Arial" w:eastAsia="宋体" w:hAnsi="Arial"/>
          <w:bCs/>
          <w:sz w:val="22"/>
        </w:rPr>
        <w:t>和排污许可</w:t>
      </w:r>
      <w:r>
        <w:rPr>
          <w:rStyle w:val="style38"/>
          <w:rFonts w:ascii="Arial" w:cs="Arial" w:eastAsia="宋体" w:hAnsi="Arial"/>
          <w:bCs/>
          <w:sz w:val="22"/>
        </w:rPr>
        <w:footnoteReference w:id="6"/>
      </w:r>
      <w:r>
        <w:rPr>
          <w:rFonts w:ascii="Arial" w:cs="Arial" w:eastAsia="宋体" w:hAnsi="Arial"/>
          <w:bCs/>
          <w:sz w:val="22"/>
        </w:rPr>
        <w:t>制度、开展环境信息公开和公众参与等要求，成为中国环境安全保障体系的主要工具。据此，广西和贵州两省也制定了相应的地方法规，即《广西壮族自治区环境保护条例》</w:t>
      </w:r>
      <w:r>
        <w:rPr>
          <w:rFonts w:ascii="Arial" w:cs="Arial" w:eastAsia="宋体" w:hAnsi="Arial"/>
          <w:bCs/>
          <w:sz w:val="22"/>
          <w:lang w:val="en-GB"/>
        </w:rPr>
        <w:t>(2016年) 和《贵州省生态环境保护条例》(2019年)，分别规定了环境保护实施细则。</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根据第二章环境影响分析结果，结合世行的原则要求和中国的法律制度，将本项目环境管理分为以下几个系统（见表</w:t>
      </w:r>
      <w:r>
        <w:rPr>
          <w:rFonts w:ascii="Arial" w:cs="Arial" w:eastAsia="宋体" w:hAnsi="Arial"/>
          <w:b/>
          <w:bCs/>
          <w:sz w:val="22"/>
          <w:szCs w:val="24"/>
        </w:rPr>
        <w:t>3-1</w:t>
      </w:r>
      <w:r>
        <w:rPr>
          <w:rFonts w:ascii="Arial" w:cs="Arial" w:eastAsia="宋体" w:hAnsi="Arial"/>
          <w:sz w:val="22"/>
          <w:szCs w:val="24"/>
        </w:rPr>
        <w:t>），从法规框架、实施机制、机构设置和绩效等方面进行评价，进而判断其与世行原则的一致性，并识别需要改进和完善的内容。</w:t>
      </w:r>
    </w:p>
    <w:p>
      <w:pPr>
        <w:pStyle w:val="style0"/>
        <w:adjustRightInd w:val="false"/>
        <w:snapToGrid w:val="false"/>
        <w:spacing w:before="120" w:after="120"/>
        <w:jc w:val="center"/>
        <w:rPr>
          <w:rFonts w:ascii="Arial" w:cs="Arial" w:eastAsia="宋体" w:hAnsi="Arial"/>
          <w:b/>
          <w:bCs/>
          <w:color w:val="1f4e79"/>
          <w:sz w:val="22"/>
        </w:rPr>
      </w:pPr>
      <w:r>
        <w:rPr>
          <w:rFonts w:ascii="Arial" w:cs="Arial" w:eastAsia="宋体" w:hAnsi="Arial"/>
          <w:b/>
          <w:bCs/>
          <w:color w:val="1f4e79"/>
          <w:sz w:val="22"/>
        </w:rPr>
        <w:t>表3-1：与本项目活动相关的环境管理系统</w:t>
      </w:r>
    </w:p>
    <w:tbl>
      <w:tblPr>
        <w:tblStyle w:val="style10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blGrid>
        <w:gridCol w:w="1413"/>
        <w:gridCol w:w="4114"/>
        <w:gridCol w:w="2271"/>
        <w:gridCol w:w="1832"/>
      </w:tblGrid>
      <w:tr>
        <w:trPr>
          <w:trHeight w:val="20" w:hRule="atLeast"/>
          <w:jc w:val="center"/>
        </w:trPr>
        <w:tc>
          <w:tcPr>
            <w:tcW w:w="734"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世行核心原则</w:t>
            </w:r>
          </w:p>
        </w:tc>
        <w:tc>
          <w:tcPr>
            <w:tcW w:w="2136"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本项目活动潜在的环境影响</w:t>
            </w:r>
          </w:p>
        </w:tc>
        <w:tc>
          <w:tcPr>
            <w:tcW w:w="1179"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国内相应的环境管理系统</w:t>
            </w:r>
          </w:p>
        </w:tc>
        <w:tc>
          <w:tcPr>
            <w:tcW w:w="951"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主要监管部门</w:t>
            </w:r>
          </w:p>
        </w:tc>
      </w:tr>
      <w:tr>
        <w:tblPrEx/>
        <w:trPr>
          <w:trHeight w:val="1556" w:hRule="atLeast"/>
          <w:jc w:val="center"/>
        </w:trPr>
        <w:tc>
          <w:tcPr>
            <w:tcW w:w="734" w:type="pct"/>
            <w:tcBorders>
              <w:bottom w:val="single" w:sz="4" w:space="0" w:color="auto"/>
            </w:tcBorders>
          </w:tcPr>
          <w:p>
            <w:pPr>
              <w:pStyle w:val="style4115"/>
              <w:tabs>
                <w:tab w:val="clear" w:pos="540"/>
              </w:tabs>
              <w:adjustRightInd w:val="false"/>
              <w:snapToGrid w:val="false"/>
              <w:spacing w:before="0" w:after="0"/>
              <w:jc w:val="left"/>
              <w:rPr>
                <w:rFonts w:ascii="Arial" w:cs="Arial" w:eastAsia="宋体" w:hAnsi="Arial"/>
                <w:sz w:val="20"/>
                <w:szCs w:val="20"/>
                <w:lang w:eastAsia="zh-CN"/>
              </w:rPr>
            </w:pPr>
            <w:r>
              <w:rPr>
                <w:rFonts w:ascii="Arial" w:cs="Arial" w:eastAsia="宋体" w:hAnsi="Arial"/>
                <w:sz w:val="20"/>
                <w:szCs w:val="20"/>
                <w:lang w:eastAsia="zh-CN"/>
              </w:rPr>
              <w:t>1. 环境影响评价与管理</w:t>
            </w:r>
          </w:p>
        </w:tc>
        <w:tc>
          <w:tcPr>
            <w:tcW w:w="2136" w:type="pct"/>
            <w:tcBorders>
              <w:bottom w:val="single" w:sz="4" w:space="0" w:color="auto"/>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农村生活污水和垃圾等设施建设</w:t>
            </w:r>
            <w:r>
              <w:rPr>
                <w:rFonts w:ascii="Arial" w:cs="Arial" w:eastAsia="宋体" w:hAnsi="Arial"/>
                <w:color w:val="000000"/>
                <w:sz w:val="20"/>
                <w:szCs w:val="20"/>
                <w:lang w:eastAsia="zh-CN"/>
              </w:rPr>
              <w:t>中的扬尘、废气、噪声、废水、固废等；运行中的臭气、噪声、废水、渗滤液、垃圾、污泥等；</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农业生产中农药、化肥面源污染；</w:t>
            </w:r>
            <w:r>
              <w:rPr>
                <w:rFonts w:ascii="Arial" w:cs="Arial" w:eastAsia="宋体" w:hAnsi="Arial"/>
                <w:color w:val="000000"/>
                <w:sz w:val="20"/>
                <w:szCs w:val="20"/>
                <w:lang w:eastAsia="zh-CN"/>
              </w:rPr>
              <w:t>农膜、农药或化肥包装废弃物、</w:t>
            </w:r>
            <w:r>
              <w:rPr>
                <w:rFonts w:ascii="Arial" w:cs="Arial" w:eastAsia="宋体" w:hAnsi="Arial"/>
                <w:sz w:val="20"/>
                <w:szCs w:val="20"/>
                <w:lang w:eastAsia="zh-CN"/>
              </w:rPr>
              <w:t>畜禽粪污等影响环境</w:t>
            </w:r>
          </w:p>
        </w:tc>
        <w:tc>
          <w:tcPr>
            <w:tcW w:w="1179" w:type="pct"/>
            <w:tcBorders>
              <w:bottom w:val="single" w:sz="4" w:space="0" w:color="auto"/>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环境影响评价系统</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污染防治系统（农药、化肥、农业废弃物、畜禽养殖粪污、农村生活污水、农村生活垃圾、农村道路和市场等）</w:t>
            </w:r>
          </w:p>
        </w:tc>
        <w:tc>
          <w:tcPr>
            <w:tcW w:w="951" w:type="pct"/>
            <w:tcBorders>
              <w:bottom w:val="single" w:sz="4" w:space="0" w:color="auto"/>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生态环境部门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农业农村部门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住建部门</w:t>
            </w:r>
          </w:p>
          <w:p>
            <w:pPr>
              <w:pStyle w:val="style4115"/>
              <w:numPr>
                <w:ilvl w:val="0"/>
                <w:numId w:val="12"/>
              </w:numPr>
              <w:tabs>
                <w:tab w:val="left" w:leader="none" w:pos="208"/>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其他行业部门</w:t>
            </w:r>
          </w:p>
        </w:tc>
      </w:tr>
      <w:tr>
        <w:tblPrEx/>
        <w:trPr>
          <w:trHeight w:val="20" w:hRule="atLeast"/>
          <w:jc w:val="center"/>
        </w:trPr>
        <w:tc>
          <w:tcPr>
            <w:tcW w:w="734" w:type="pct"/>
            <w:tcBorders/>
          </w:tcPr>
          <w:p>
            <w:pPr>
              <w:pStyle w:val="style4115"/>
              <w:tabs>
                <w:tab w:val="clear" w:pos="540"/>
              </w:tabs>
              <w:adjustRightInd w:val="false"/>
              <w:snapToGrid w:val="false"/>
              <w:spacing w:before="0" w:after="0"/>
              <w:jc w:val="left"/>
              <w:rPr>
                <w:rFonts w:ascii="Arial" w:cs="Arial" w:eastAsia="宋体" w:hAnsi="Arial"/>
                <w:sz w:val="20"/>
                <w:szCs w:val="20"/>
                <w:lang w:eastAsia="zh-CN"/>
              </w:rPr>
            </w:pPr>
            <w:r>
              <w:rPr>
                <w:rFonts w:ascii="Arial" w:cs="Arial" w:eastAsia="宋体" w:hAnsi="Arial"/>
                <w:sz w:val="20"/>
                <w:szCs w:val="20"/>
                <w:lang w:eastAsia="zh-CN"/>
              </w:rPr>
              <w:t>2. 自然栖息地保护</w:t>
            </w:r>
          </w:p>
        </w:tc>
        <w:tc>
          <w:tcPr>
            <w:tcW w:w="2136"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工程选址可能触发生态保护红线；设施建设和农业生产可能</w:t>
            </w:r>
            <w:r>
              <w:rPr>
                <w:rFonts w:ascii="Arial" w:cs="Arial" w:eastAsia="宋体" w:hAnsi="Arial"/>
                <w:color w:val="000000"/>
                <w:sz w:val="20"/>
                <w:szCs w:val="20"/>
                <w:lang w:eastAsia="zh-CN"/>
              </w:rPr>
              <w:t>破坏植被、扰动生境</w:t>
            </w:r>
          </w:p>
        </w:tc>
        <w:tc>
          <w:tcPr>
            <w:tcW w:w="1179"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自然生态保护系统</w:t>
            </w:r>
          </w:p>
        </w:tc>
        <w:tc>
          <w:tcPr>
            <w:tcW w:w="951"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生态环境部门</w:t>
            </w:r>
          </w:p>
          <w:p>
            <w:pPr>
              <w:pStyle w:val="style4115"/>
              <w:numPr>
                <w:ilvl w:val="0"/>
                <w:numId w:val="12"/>
              </w:numPr>
              <w:tabs>
                <w:tab w:val="left" w:leader="none" w:pos="208"/>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自然资源部门</w:t>
            </w:r>
          </w:p>
          <w:p>
            <w:pPr>
              <w:pStyle w:val="style4115"/>
              <w:numPr>
                <w:ilvl w:val="0"/>
                <w:numId w:val="12"/>
              </w:numPr>
              <w:tabs>
                <w:tab w:val="left" w:leader="none" w:pos="208"/>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林业部门</w:t>
            </w:r>
          </w:p>
        </w:tc>
      </w:tr>
      <w:tr>
        <w:tblPrEx/>
        <w:trPr>
          <w:trHeight w:val="20" w:hRule="atLeast"/>
          <w:jc w:val="center"/>
        </w:trPr>
        <w:tc>
          <w:tcPr>
            <w:tcW w:w="734" w:type="pct"/>
            <w:tcBorders/>
          </w:tcPr>
          <w:p>
            <w:pPr>
              <w:pStyle w:val="style4115"/>
              <w:tabs>
                <w:tab w:val="clear" w:pos="540"/>
              </w:tabs>
              <w:adjustRightInd w:val="false"/>
              <w:snapToGrid w:val="false"/>
              <w:spacing w:before="0" w:after="0"/>
              <w:jc w:val="left"/>
              <w:rPr>
                <w:rFonts w:ascii="Arial" w:cs="Arial" w:eastAsia="宋体" w:hAnsi="Arial"/>
                <w:sz w:val="20"/>
                <w:szCs w:val="20"/>
                <w:lang w:eastAsia="zh-CN"/>
              </w:rPr>
            </w:pPr>
            <w:r>
              <w:rPr>
                <w:rFonts w:ascii="Arial" w:cs="Arial" w:eastAsia="宋体" w:hAnsi="Arial"/>
                <w:sz w:val="20"/>
                <w:szCs w:val="20"/>
                <w:lang w:eastAsia="zh-CN"/>
              </w:rPr>
              <w:t>3. 健康与安全管理</w:t>
            </w:r>
          </w:p>
        </w:tc>
        <w:tc>
          <w:tcPr>
            <w:tcW w:w="2136"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color w:val="000000"/>
                <w:sz w:val="20"/>
                <w:szCs w:val="20"/>
                <w:lang w:eastAsia="zh-CN"/>
              </w:rPr>
              <w:t>有害物质对</w:t>
            </w:r>
            <w:r>
              <w:rPr>
                <w:rFonts w:ascii="Arial" w:cs="Arial" w:eastAsia="宋体" w:hAnsi="Arial"/>
                <w:sz w:val="20"/>
                <w:szCs w:val="20"/>
                <w:lang w:eastAsia="zh-CN"/>
              </w:rPr>
              <w:t>工人和社区健康与安全造成风险，如</w:t>
            </w:r>
            <w:r>
              <w:rPr>
                <w:rFonts w:ascii="Arial" w:cs="Arial" w:eastAsia="宋体" w:hAnsi="Arial"/>
                <w:color w:val="000000"/>
                <w:sz w:val="20"/>
                <w:szCs w:val="20"/>
                <w:lang w:eastAsia="zh-CN"/>
              </w:rPr>
              <w:t>臭气中的硫化氢和氨；废水、垃圾和病死动物中的致病微生物；垃圾中的危险废物；农药及其包装废弃物中的危险化学品等</w:t>
            </w:r>
          </w:p>
        </w:tc>
        <w:tc>
          <w:tcPr>
            <w:tcW w:w="1179"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健康与安全管理系统</w:t>
            </w:r>
          </w:p>
        </w:tc>
        <w:tc>
          <w:tcPr>
            <w:tcW w:w="951"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卫生健康部门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应急管理部门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相关行业主管部门</w:t>
            </w:r>
          </w:p>
        </w:tc>
      </w:tr>
      <w:bookmarkStart w:id="443" w:name="_Toc93944807"/>
    </w:tbl>
    <w:p>
      <w:pPr>
        <w:pStyle w:val="style2"/>
        <w:rPr>
          <w:color w:val="1f4e79"/>
          <w:sz w:val="24"/>
          <w:szCs w:val="24"/>
        </w:rPr>
      </w:pPr>
      <w:r>
        <w:rPr>
          <w:color w:val="1f4e79"/>
          <w:sz w:val="24"/>
          <w:szCs w:val="24"/>
        </w:rPr>
        <w:t>3.2</w:t>
      </w:r>
      <w:r>
        <w:rPr>
          <w:color w:val="1f4e79"/>
          <w:sz w:val="24"/>
          <w:szCs w:val="24"/>
        </w:rPr>
        <w:tab/>
      </w:r>
      <w:r>
        <w:rPr>
          <w:color w:val="1f4e79"/>
          <w:sz w:val="24"/>
          <w:szCs w:val="24"/>
        </w:rPr>
        <w:tab/>
      </w:r>
      <w:r>
        <w:rPr>
          <w:color w:val="1f4e79"/>
          <w:sz w:val="24"/>
          <w:szCs w:val="24"/>
        </w:rPr>
        <w:t>环境管理系统描述</w:t>
      </w:r>
      <w:bookmarkEnd w:id="443"/>
    </w:p>
    <w:bookmarkStart w:id="444" w:name="_Toc93944808"/>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3.2.1</w:t>
      </w:r>
      <w:r>
        <w:rPr>
          <w:rFonts w:ascii="Arial" w:cs="Arial" w:eastAsia="宋体" w:hAnsi="Arial"/>
          <w:color w:val="1f4e79"/>
          <w:sz w:val="24"/>
          <w:szCs w:val="24"/>
        </w:rPr>
        <w:tab/>
      </w:r>
      <w:r>
        <w:rPr>
          <w:rFonts w:ascii="Arial" w:cs="Arial" w:eastAsia="宋体" w:hAnsi="Arial"/>
          <w:color w:val="1f4e79"/>
          <w:sz w:val="24"/>
          <w:szCs w:val="24"/>
        </w:rPr>
        <w:t>环境影响评价系统</w:t>
      </w:r>
      <w:bookmarkEnd w:id="444"/>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ab/>
      </w:r>
      <w:r>
        <w:rPr>
          <w:rFonts w:ascii="Arial" w:cs="Arial" w:eastAsia="宋体" w:hAnsi="Arial"/>
          <w:sz w:val="22"/>
          <w:szCs w:val="24"/>
        </w:rPr>
        <w:t>以国家《环境影响评价法》作为环评专门法，结合一系列法规、标准和规范，形成了一套完整的规划与建设项目环境影响评价体系。</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sz w:val="22"/>
        </w:rPr>
        <w:t>《环境影响评价法》</w:t>
      </w:r>
      <w:r>
        <w:rPr>
          <w:rFonts w:ascii="Arial" w:cs="Arial" w:eastAsia="宋体" w:hAnsi="Arial"/>
          <w:bCs/>
          <w:sz w:val="22"/>
        </w:rPr>
        <w:t>(2018年修订)：</w:t>
      </w:r>
      <w:r>
        <w:rPr>
          <w:rFonts w:ascii="Arial" w:cs="Arial" w:eastAsia="宋体" w:hAnsi="Arial"/>
          <w:sz w:val="22"/>
        </w:rPr>
        <w:t>对规划</w:t>
      </w:r>
      <w:r>
        <w:rPr>
          <w:rStyle w:val="style38"/>
          <w:rFonts w:ascii="Arial" w:cs="Arial" w:eastAsia="宋体" w:hAnsi="Arial"/>
          <w:sz w:val="22"/>
        </w:rPr>
        <w:footnoteReference w:id="7"/>
      </w:r>
      <w:r>
        <w:rPr>
          <w:rFonts w:ascii="Arial" w:cs="Arial" w:eastAsia="宋体" w:hAnsi="Arial"/>
          <w:sz w:val="22"/>
        </w:rPr>
        <w:t>和建设项目的环境影响评价提出了法定要求，要求对可能造成的环境影响进行分析、预测和评估，提出预防或者减轻不良环境影响的对策和措施，并进行跟踪监测。还提出了环境影响评价分类管理、分级审批、环评文件未经审批不得开工建设等基本规定，并鼓励有关单位、专家和公众以适当方式参与环境影响评价。</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《建设项目环境保护管理条例》</w:t>
      </w:r>
      <w:r>
        <w:rPr>
          <w:rFonts w:ascii="Arial" w:cs="Arial" w:eastAsia="宋体" w:hAnsi="Arial"/>
          <w:bCs/>
          <w:sz w:val="22"/>
        </w:rPr>
        <w:t>(</w:t>
      </w:r>
      <w:r>
        <w:rPr>
          <w:rFonts w:ascii="Arial" w:cs="Arial" w:eastAsia="宋体" w:hAnsi="Arial"/>
          <w:sz w:val="22"/>
        </w:rPr>
        <w:t>2017年修订</w:t>
      </w:r>
      <w:r>
        <w:rPr>
          <w:rFonts w:ascii="Arial" w:cs="Arial" w:eastAsia="宋体" w:hAnsi="Arial"/>
          <w:bCs/>
          <w:sz w:val="22"/>
        </w:rPr>
        <w:t>)</w:t>
      </w:r>
      <w:r>
        <w:rPr>
          <w:rFonts w:ascii="Arial" w:cs="Arial" w:eastAsia="宋体" w:hAnsi="Arial"/>
          <w:sz w:val="22"/>
        </w:rPr>
        <w:t>：规定了建设项目环境影响评价分类管理、分级审批、环保设施</w:t>
      </w:r>
      <w:r>
        <w:rPr>
          <w:rFonts w:ascii="Arial" w:cs="Arial" w:eastAsia="宋体" w:hAnsi="Arial"/>
          <w:sz w:val="22"/>
          <w:lang w:val="en-GB"/>
        </w:rPr>
        <w:t>"</w:t>
      </w:r>
      <w:r>
        <w:rPr>
          <w:rFonts w:ascii="Arial" w:cs="Arial" w:eastAsia="宋体" w:hAnsi="Arial"/>
          <w:sz w:val="22"/>
        </w:rPr>
        <w:t>三同时"、竣工环保验收等要求。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《排污许可管理条例》</w:t>
      </w:r>
      <w:r>
        <w:rPr>
          <w:rFonts w:ascii="Arial" w:cs="Arial" w:eastAsia="宋体" w:hAnsi="Arial"/>
          <w:bCs/>
          <w:sz w:val="22"/>
        </w:rPr>
        <w:t>(</w:t>
      </w:r>
      <w:r>
        <w:rPr>
          <w:rFonts w:ascii="Arial" w:cs="Arial" w:eastAsia="宋体" w:hAnsi="Arial"/>
          <w:sz w:val="22"/>
        </w:rPr>
        <w:t>2021</w:t>
      </w:r>
      <w:r>
        <w:rPr>
          <w:rFonts w:ascii="Arial" w:cs="Arial" w:eastAsia="宋体" w:hAnsi="Arial"/>
          <w:bCs/>
          <w:sz w:val="22"/>
        </w:rPr>
        <w:t>)</w:t>
      </w:r>
      <w:r>
        <w:rPr>
          <w:rFonts w:ascii="Arial" w:cs="Arial" w:eastAsia="宋体" w:hAnsi="Arial"/>
          <w:sz w:val="22"/>
        </w:rPr>
        <w:t>：依照法律规定实行排污许可管理的企业事业单位和其他生产经营者（以下称排污单位），应当申请取得排污许可证；未取得排污许可证的，不得排放污染物。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《环境影响评价公众参与办法》</w:t>
      </w:r>
      <w:r>
        <w:rPr>
          <w:rFonts w:ascii="Arial" w:cs="Arial" w:eastAsia="宋体" w:hAnsi="Arial"/>
          <w:bCs/>
          <w:sz w:val="22"/>
        </w:rPr>
        <w:t>(</w:t>
      </w:r>
      <w:r>
        <w:rPr>
          <w:rFonts w:ascii="Arial" w:cs="Arial" w:eastAsia="宋体" w:hAnsi="Arial"/>
          <w:sz w:val="22"/>
        </w:rPr>
        <w:t>2018年修订</w:t>
      </w:r>
      <w:r>
        <w:rPr>
          <w:rFonts w:ascii="Arial" w:cs="Arial" w:eastAsia="宋体" w:hAnsi="Arial"/>
          <w:bCs/>
          <w:sz w:val="22"/>
        </w:rPr>
        <w:t>)</w:t>
      </w:r>
      <w:r>
        <w:rPr>
          <w:rFonts w:ascii="Arial" w:cs="Arial" w:eastAsia="宋体" w:hAnsi="Arial"/>
          <w:sz w:val="22"/>
        </w:rPr>
        <w:t>：要求可能造成不良环境影响并直接涉及公众环境权益的专项规划环境影响评价开展公众参与，以及依法应当编制环境影响报告书的建设项目环境影响评价应开展公众参与。</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《建设项目竣工环保验收暂行办法》</w:t>
      </w:r>
      <w:r>
        <w:rPr>
          <w:rFonts w:ascii="Arial" w:cs="Arial" w:eastAsia="宋体" w:hAnsi="Arial"/>
          <w:bCs/>
          <w:sz w:val="22"/>
        </w:rPr>
        <w:t>(</w:t>
      </w:r>
      <w:r>
        <w:rPr>
          <w:rFonts w:ascii="Arial" w:cs="Arial" w:eastAsia="宋体" w:hAnsi="Arial"/>
          <w:sz w:val="22"/>
        </w:rPr>
        <w:t>2017</w:t>
      </w:r>
      <w:r>
        <w:rPr>
          <w:rFonts w:ascii="Arial" w:cs="Arial" w:eastAsia="宋体" w:hAnsi="Arial"/>
          <w:bCs/>
          <w:color w:val="000000"/>
          <w:sz w:val="22"/>
        </w:rPr>
        <w:t>年</w:t>
      </w:r>
      <w:r>
        <w:rPr>
          <w:rFonts w:ascii="Arial" w:cs="Arial" w:eastAsia="宋体" w:hAnsi="Arial"/>
          <w:bCs/>
          <w:sz w:val="22"/>
        </w:rPr>
        <w:t>)</w:t>
      </w:r>
      <w:r>
        <w:rPr>
          <w:rFonts w:ascii="Arial" w:cs="Arial" w:eastAsia="宋体" w:hAnsi="Arial"/>
          <w:sz w:val="22"/>
        </w:rPr>
        <w:t>：建设单位是建设项目竣工环境保护验收的责任主体，应当组织对配套建设的环境保护设施进行验收，编制验收报告，公开相关信息，接受社会监督。环境保护设施未与主体工程同时建成的，或者应当取得排污许可证但未取得的，建设单位不得对该建设项目环境保护设施进行调试。建设项目配套建设的环境保护设施经验收合格后，其主体工程方可投入生产或者使用；未经验收或者验收不合格的，不得投入生产或者使用。</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rPr>
        <w:t>《建设项目环境保护事中事后监督管理办法（试行）》</w:t>
      </w:r>
      <w:r>
        <w:rPr>
          <w:rFonts w:ascii="Arial" w:cs="Arial" w:eastAsia="宋体" w:hAnsi="Arial"/>
          <w:sz w:val="22"/>
          <w:lang w:val="en-GB"/>
        </w:rPr>
        <w:t>(2015年)：建设项目环境保护事中监督管理是指生态环境部门对本行政区域内的建设项目自办理环评手续后到正式投入生产或使用期间，落实经批准的环评文件及批复要求的监督管理；事后监督管理是指对建设项目正式投入生产或使用后，遵守环境保护法律法规情况，以及按照相关要求开展环境影响后评价情况的监督管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lang w:val="en-GB"/>
        </w:rPr>
        <w:t>《建设项目环境影响登记表备案管理办法》</w:t>
      </w:r>
      <w:r>
        <w:rPr>
          <w:rFonts w:ascii="Arial" w:cs="Arial" w:eastAsia="宋体" w:hAnsi="Arial"/>
          <w:sz w:val="22"/>
          <w:lang w:val="en-GB"/>
        </w:rPr>
        <w:t>(2016年)：适用于按照《建设项目环境影响评价分类管理名录》规定应当填报环境影响登记表的建设项目，由建设单位在建设项目建成并投入生产运营前办理登记表网上备案手续，并严格执行相应污染物排放标准及相关环境管理规定，落实登记表中填报的环境保护措施，未依法备案的，由生态环境主管部门责令备案并处罚款。地方生态环境部门通过网上备案系统同步向社会公开备案信息，接受公众监督。</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《关于强化建设项目环境影响评价事中事后监管的实施意见》</w:t>
      </w:r>
      <w:r>
        <w:rPr>
          <w:rFonts w:ascii="Arial" w:cs="Arial" w:eastAsia="宋体" w:hAnsi="Arial"/>
          <w:sz w:val="22"/>
          <w:lang w:val="en-GB"/>
        </w:rPr>
        <w:t>(2018年)</w:t>
      </w:r>
      <w:r>
        <w:rPr>
          <w:rFonts w:ascii="Arial" w:cs="Arial" w:eastAsia="宋体" w:hAnsi="Arial"/>
          <w:b/>
          <w:bCs/>
          <w:sz w:val="22"/>
          <w:lang w:val="en-GB"/>
        </w:rPr>
        <w:t>：</w:t>
      </w:r>
      <w:r>
        <w:rPr>
          <w:rFonts w:ascii="Arial" w:cs="Arial" w:eastAsia="宋体" w:hAnsi="Arial"/>
          <w:sz w:val="22"/>
          <w:lang w:val="en-GB"/>
        </w:rPr>
        <w:t>强化环评事中事后监管，改变“重审批、轻监管”、“重事前、轻事中事后”现象，切实保障环评制度效力。</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《建设项目环境保护分类管理名录》</w:t>
      </w:r>
      <w:r>
        <w:rPr>
          <w:rFonts w:ascii="Arial" w:cs="Arial" w:eastAsia="宋体" w:hAnsi="Arial"/>
          <w:bCs/>
          <w:sz w:val="22"/>
        </w:rPr>
        <w:t>(</w:t>
      </w:r>
      <w:r>
        <w:rPr>
          <w:rFonts w:ascii="Arial" w:cs="Arial" w:eastAsia="宋体" w:hAnsi="Arial"/>
          <w:sz w:val="22"/>
        </w:rPr>
        <w:t>2021年</w:t>
      </w:r>
      <w:r>
        <w:rPr>
          <w:rFonts w:ascii="Arial" w:cs="Arial" w:eastAsia="宋体" w:hAnsi="Arial"/>
          <w:bCs/>
          <w:sz w:val="22"/>
        </w:rPr>
        <w:t>)</w:t>
      </w:r>
      <w:r>
        <w:rPr>
          <w:rFonts w:ascii="Arial" w:cs="Arial" w:eastAsia="宋体" w:hAnsi="Arial"/>
          <w:sz w:val="22"/>
        </w:rPr>
        <w:t>：规定了55个行业173个类别活动的环境影响筛查和分类指南。综合考虑项目类型、规模、所在地区的环境敏感性，提出了划分重大环境影响（环境影响报告书）、中等影响（环境影响报告表）和较小影响（环境影响登记表）的具体标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《环境影响评价技术导则》</w:t>
      </w:r>
      <w:r>
        <w:rPr>
          <w:rFonts w:ascii="Arial" w:cs="Arial" w:eastAsia="宋体" w:hAnsi="Arial"/>
          <w:sz w:val="22"/>
        </w:rPr>
        <w:t>：为规范环评文件的编制，中国发布了24个环评技术导则，包括一个总纲和针对具体环境要素（如地表水、地下水、土壤、大气、噪声、生态影响）及重点行业（如水利水电、农药建设）的分项导则。其中《环境影响评价技术导则—总纲》对环评文件编制提出了总体要求，包括进行建设方案环境比选；分析有利与不利、长期与短期、直接与间接、累积影响等；制定环境保护措施并论证可行性；制定投资估算、环境管理与监测计划等。</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《“三线一单”编制技术指南（试行）》</w:t>
      </w:r>
      <w:r>
        <w:rPr>
          <w:rFonts w:ascii="Arial" w:cs="Arial" w:eastAsia="宋体" w:hAnsi="Arial"/>
          <w:sz w:val="22"/>
        </w:rPr>
        <w:t>(2017年)：将行政区域划分为若干环境管控单元，在一张图上落实生态保护、环境质量目标管理、资源利用管控要求，为战略和规划环评落地、项目环评审批提供硬约束，为其他环境管理工作提供空间管控依据。全国31个省（区、市）均已完成“三线一单”编制与发布，全面进入实施应用阶段，为建设项目和规划项目的合理选址提供了依据。</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《关于统筹做好疫情防控和经济社会发展生态环保工作的指导意见》</w:t>
      </w:r>
      <w:r>
        <w:rPr>
          <w:rFonts w:ascii="Arial" w:cs="Arial" w:eastAsia="宋体" w:hAnsi="Arial"/>
          <w:sz w:val="22"/>
          <w:lang w:val="en-GB"/>
        </w:rPr>
        <w:t>(2020)：要求各省建立和实施环评审批正面清单，旨在提高工作效能，支持相关行业企业复工复产，强化项目环评审批服务。一些对环境影响较小的登记表类项目将豁免环评手续。鼓励地方因地制宜，创造性地加以贯彻落实，其中行之有效、广泛认可的措施，可固化形成长效机制。</w:t>
      </w:r>
    </w:p>
    <w:p>
      <w:pPr>
        <w:pStyle w:val="style179"/>
        <w:numPr>
          <w:ilvl w:val="0"/>
          <w:numId w:val="6"/>
        </w:numPr>
        <w:tabs>
          <w:tab w:val="left" w:leader="none" w:pos="851"/>
          <w:tab w:val="left" w:leader="none" w:pos="993"/>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地方相关规定</w:t>
      </w:r>
      <w:r>
        <w:rPr>
          <w:rFonts w:ascii="Arial" w:cs="Arial" w:eastAsia="宋体" w:hAnsi="Arial"/>
          <w:sz w:val="22"/>
        </w:rPr>
        <w:t>：在国家层面法律框架之下，两省政府也制定了相应的环境影响评价相关的地方法规、规</w:t>
      </w:r>
      <w:r>
        <w:rPr>
          <w:rFonts w:ascii="Arial" w:cs="Arial" w:eastAsia="宋体" w:hAnsi="Arial"/>
          <w:sz w:val="22"/>
          <w:lang w:val="en-GB"/>
        </w:rPr>
        <w:t>章和标准</w:t>
      </w:r>
      <w:r>
        <w:rPr>
          <w:rFonts w:ascii="Arial" w:cs="Arial" w:eastAsia="宋体" w:hAnsi="Arial"/>
          <w:sz w:val="22"/>
        </w:rPr>
        <w:t>，如</w:t>
      </w:r>
      <w:r>
        <w:rPr>
          <w:rFonts w:ascii="Arial" w:cs="Arial" w:eastAsia="宋体" w:hAnsi="Arial"/>
          <w:sz w:val="22"/>
          <w:lang w:val="en-GB"/>
        </w:rPr>
        <w:t>《贵州省环境保护厅关于进一步落实规划环评有关要求的通知》(2017年)</w:t>
      </w:r>
      <w:r>
        <w:rPr>
          <w:rFonts w:ascii="Arial" w:cs="Arial" w:eastAsia="宋体" w:hAnsi="Arial"/>
          <w:sz w:val="22"/>
        </w:rPr>
        <w:t xml:space="preserve"> 、《贵州省环评豁免管理建设项目清单》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w:t>
      </w:r>
      <w:r>
        <w:rPr>
          <w:rFonts w:ascii="Arial" w:cs="Arial" w:eastAsia="宋体" w:hAnsi="Arial"/>
          <w:sz w:val="22"/>
        </w:rPr>
        <w:t>、《贵州省环评告知承诺审批改革试点项目清单》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w:t>
      </w:r>
      <w:r>
        <w:rPr>
          <w:rFonts w:ascii="Arial" w:cs="Arial" w:eastAsia="宋体" w:hAnsi="Arial"/>
          <w:sz w:val="22"/>
        </w:rPr>
        <w:t>《广西壮族自治区建设项目环境影响评价文件分级审批管理办法》</w:t>
      </w:r>
      <w:r>
        <w:rPr>
          <w:rFonts w:ascii="Arial" w:cs="Arial" w:eastAsia="宋体" w:hAnsi="Arial"/>
          <w:sz w:val="22"/>
          <w:lang w:val="en-GB"/>
        </w:rPr>
        <w:t>(</w:t>
      </w:r>
      <w:r>
        <w:rPr>
          <w:rFonts w:ascii="Arial" w:cs="Arial" w:eastAsia="宋体" w:hAnsi="Arial"/>
          <w:sz w:val="22"/>
        </w:rPr>
        <w:t>2021年修订</w:t>
      </w:r>
      <w:r>
        <w:rPr>
          <w:rFonts w:ascii="Arial" w:cs="Arial" w:eastAsia="宋体" w:hAnsi="Arial"/>
          <w:sz w:val="22"/>
          <w:lang w:val="en-GB"/>
        </w:rPr>
        <w:t>)、</w:t>
      </w:r>
      <w:r>
        <w:rPr>
          <w:rFonts w:ascii="Arial" w:cs="Arial" w:eastAsia="宋体" w:hAnsi="Arial"/>
          <w:sz w:val="22"/>
        </w:rPr>
        <w:t>《广西壮族自治区环评豁免管理建设项目清单》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w:t>
      </w:r>
      <w:r>
        <w:rPr>
          <w:rFonts w:ascii="Arial" w:cs="Arial" w:eastAsia="宋体" w:hAnsi="Arial"/>
          <w:sz w:val="22"/>
        </w:rPr>
        <w:t>、《广西壮族自治区环评告知承诺审批改革试点项目清单》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)等。这些地方文件规定了建设项目选址的空间管控要求、两省的环评分级审批权限、环境影响较小的项目环评的简化程序等。</w:t>
      </w:r>
    </w:p>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rPr>
        <w:t>实施机制</w:t>
      </w:r>
    </w:p>
    <w:p>
      <w:pPr>
        <w:pStyle w:val="style179"/>
        <w:adjustRightInd w:val="false"/>
        <w:snapToGrid w:val="false"/>
        <w:spacing w:before="120" w:after="120"/>
        <w:ind w:firstLine="0" w:firstLineChars="0"/>
        <w:rPr>
          <w:rFonts w:ascii="Arial" w:cs="Arial" w:eastAsia="宋体" w:hAnsi="Arial"/>
          <w:color w:val="1f4e79"/>
          <w:sz w:val="22"/>
        </w:rPr>
      </w:pPr>
      <w:r>
        <w:rPr>
          <w:rFonts w:ascii="Arial" w:cs="Arial" w:eastAsia="宋体" w:hAnsi="Arial"/>
          <w:b/>
          <w:iCs/>
          <w:color w:val="1f4e79"/>
          <w:sz w:val="22"/>
        </w:rPr>
        <w:tab/>
      </w:r>
      <w:r>
        <w:rPr>
          <w:rFonts w:ascii="Arial" w:cs="Arial" w:eastAsia="宋体" w:hAnsi="Arial"/>
          <w:b/>
          <w:iCs/>
          <w:color w:val="1f4e79"/>
          <w:sz w:val="22"/>
        </w:rPr>
        <w:tab/>
      </w:r>
      <w:r>
        <w:rPr>
          <w:rFonts w:ascii="Arial" w:cs="Arial" w:eastAsia="宋体" w:hAnsi="Arial"/>
          <w:b/>
          <w:iCs/>
          <w:color w:val="1f4e79"/>
          <w:sz w:val="22"/>
        </w:rPr>
        <w:t>环境影响筛查与分类管理</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中国制定了非常细致全面的建设项目环评分类管理名录，按照与风险水平相适应的原则，综合考虑建设项目的行业、性质、地点、规模、环境敏感性等因素，在项目环评准备阶段根据环评等级目录进行筛选，确定环评文件等级和准备要求。根据建设项目环境影响的程度，环境影响评价文件（以下简称环评文件）被划分为三类，即环境影响报告书（可能造成重大影响）、环境影响报告表（可能造成轻度影响）和环境影响登记表（影响很小），开展相应深度的评价工作。同时根据2020年生态环境部简化环评手续的要求，各省均按要求建立和实施了环评审批正面清单，对环境影响小的登记表类项目豁免登记表程序，</w:t>
      </w:r>
      <w:r>
        <w:rPr>
          <w:rFonts w:ascii="Arial" w:cs="Arial" w:eastAsia="宋体" w:hAnsi="Arial"/>
          <w:sz w:val="22"/>
          <w:lang w:val="en-GB"/>
        </w:rPr>
        <w:t>以加快推进项目准备和实施程序，但不免除建设单位应该承担的环保责任，当地生态环境部门会对其建设和运营采取更加严格的监管。</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在广西和贵州两省的活动均不涉及报告书类项目。项目范围内仅涉及现有农产品基地的农药化肥减量以及现有养殖场或养殖户的粪污处理与利用设施提升、改造；农村生活污水治理项目也仅涉及日处理能力500吨</w:t>
      </w:r>
      <w:r>
        <w:rPr>
          <w:rFonts w:ascii="Arial" w:cs="Arial" w:eastAsia="宋体" w:hAnsi="Arial"/>
          <w:sz w:val="22"/>
          <w:lang w:val="en-GB"/>
        </w:rPr>
        <w:t>以下的</w:t>
      </w:r>
      <w:r>
        <w:rPr>
          <w:rFonts w:ascii="Arial" w:cs="Arial" w:eastAsia="宋体" w:hAnsi="Arial"/>
          <w:sz w:val="22"/>
        </w:rPr>
        <w:t>小型污水处理设施；其他活动本身就是恢复、改善环境的措施，按国内规定无需编制环评文件。因此，按照国家环评分类管理规定，本项目活动属于报告表、登记表、免除环评等类别的项目。同时，广西和贵州也分别制定了环评豁免管理建设项目清单</w:t>
      </w:r>
      <w:r>
        <w:rPr>
          <w:rFonts w:ascii="Arial" w:cs="Arial" w:eastAsia="宋体" w:hAnsi="Arial"/>
          <w:sz w:val="22"/>
          <w:lang w:val="en-GB"/>
        </w:rPr>
        <w:t>。据此，</w:t>
      </w:r>
      <w:r>
        <w:rPr>
          <w:rFonts w:ascii="Arial" w:cs="Arial" w:eastAsia="宋体" w:hAnsi="Arial"/>
          <w:sz w:val="22"/>
        </w:rPr>
        <w:t>根据国家和省级环评分类文件规定，本项目主要活动的环评分类如表3-2所示，每个活动的具体环评分类需在实施过程中由地方生态环境部门最终确定。</w:t>
      </w:r>
    </w:p>
    <w:p>
      <w:pPr>
        <w:pStyle w:val="style4115"/>
        <w:adjustRightInd w:val="false"/>
        <w:snapToGrid w:val="false"/>
        <w:spacing w:before="120" w:after="120"/>
        <w:jc w:val="center"/>
        <w:rPr>
          <w:rFonts w:ascii="Arial" w:cs="Arial" w:eastAsia="宋体" w:hAnsi="Arial"/>
          <w:b/>
          <w:bCs/>
          <w:color w:val="1f4e79"/>
          <w:lang w:eastAsia="zh-CN"/>
        </w:rPr>
      </w:pPr>
      <w:r>
        <w:rPr>
          <w:rFonts w:ascii="Arial" w:cs="Arial" w:eastAsia="宋体" w:hAnsi="Arial"/>
          <w:b/>
          <w:bCs/>
          <w:color w:val="1f4e79"/>
          <w:lang w:eastAsia="zh-CN"/>
        </w:rPr>
        <w:t>表3-2：本项目主要活动的环评分类</w:t>
      </w:r>
    </w:p>
    <w:tbl>
      <w:tblPr>
        <w:tblStyle w:val="style105"/>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28" w:type="dxa"/>
          <w:bottom w:w="0" w:type="dxa"/>
          <w:right w:w="28" w:type="dxa"/>
        </w:tblCellMar>
      </w:tblPr>
      <w:tblGrid>
        <w:gridCol w:w="989"/>
        <w:gridCol w:w="1003"/>
        <w:gridCol w:w="1286"/>
        <w:gridCol w:w="1714"/>
        <w:gridCol w:w="2286"/>
        <w:gridCol w:w="2410"/>
      </w:tblGrid>
      <w:tr>
        <w:trPr>
          <w:trHeight w:val="20" w:hRule="atLeast"/>
          <w:tblHeader/>
        </w:trPr>
        <w:tc>
          <w:tcPr>
            <w:tcW w:w="510" w:type="pct"/>
            <w:vMerge w:val="restart"/>
            <w:tcBorders/>
            <w:shd w:val="clear" w:color="000000" w:fill="e7e6e6"/>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典型项目活动</w:t>
            </w:r>
          </w:p>
        </w:tc>
        <w:tc>
          <w:tcPr>
            <w:tcW w:w="517" w:type="pct"/>
            <w:vMerge w:val="restart"/>
            <w:tcBorders/>
            <w:shd w:val="clear" w:color="000000" w:fill="e7e6e6"/>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行业</w:t>
            </w:r>
          </w:p>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类别</w:t>
            </w:r>
          </w:p>
        </w:tc>
        <w:tc>
          <w:tcPr>
            <w:tcW w:w="664" w:type="pct"/>
            <w:vMerge w:val="restar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项目</w:t>
            </w:r>
          </w:p>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类别</w:t>
            </w:r>
          </w:p>
        </w:tc>
        <w:tc>
          <w:tcPr>
            <w:tcW w:w="3308" w:type="pct"/>
            <w:gridSpan w:val="3"/>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环评文件类别</w:t>
            </w:r>
          </w:p>
        </w:tc>
      </w:tr>
      <w:tr>
        <w:tblPrEx/>
        <w:trPr>
          <w:trHeight w:val="20" w:hRule="atLeast"/>
          <w:tblHeader/>
        </w:trPr>
        <w:tc>
          <w:tcPr>
            <w:tcW w:w="510" w:type="pct"/>
            <w:vMerge w:val="continue"/>
            <w:tcBorders/>
            <w:shd w:val="clear" w:color="000000" w:fill="e7e6e6"/>
          </w:tcPr>
          <w:p>
            <w:pPr>
              <w:pStyle w:val="style0"/>
              <w:adjustRightInd w:val="false"/>
              <w:snapToGrid w:val="false"/>
              <w:jc w:val="left"/>
              <w:rPr>
                <w:rFonts w:ascii="Arial" w:cs="Arial" w:eastAsia="宋体" w:hAnsi="Arial"/>
                <w:b/>
                <w:bCs/>
                <w:color w:val="000000"/>
                <w:sz w:val="20"/>
                <w:szCs w:val="20"/>
              </w:rPr>
            </w:pPr>
          </w:p>
        </w:tc>
        <w:tc>
          <w:tcPr>
            <w:tcW w:w="517" w:type="pct"/>
            <w:vMerge w:val="continue"/>
            <w:tcBorders/>
            <w:shd w:val="clear" w:color="000000" w:fill="e7e6e6"/>
          </w:tcPr>
          <w:p>
            <w:pPr>
              <w:pStyle w:val="style0"/>
              <w:adjustRightInd w:val="false"/>
              <w:snapToGrid w:val="false"/>
              <w:rPr>
                <w:rFonts w:ascii="Arial" w:cs="Arial" w:eastAsia="宋体" w:hAnsi="Arial"/>
                <w:b/>
                <w:bCs/>
                <w:color w:val="000000"/>
                <w:sz w:val="20"/>
                <w:szCs w:val="20"/>
              </w:rPr>
            </w:pPr>
          </w:p>
        </w:tc>
        <w:tc>
          <w:tcPr>
            <w:tcW w:w="664" w:type="pct"/>
            <w:vMerge w:val="continue"/>
            <w:tcBorders/>
            <w:shd w:val="clear" w:color="000000" w:fill="e7e6e6"/>
          </w:tcPr>
          <w:p>
            <w:pPr>
              <w:pStyle w:val="style0"/>
              <w:adjustRightInd w:val="false"/>
              <w:snapToGrid w:val="false"/>
              <w:rPr>
                <w:rFonts w:ascii="Arial" w:cs="Arial" w:eastAsia="宋体" w:hAnsi="Arial"/>
                <w:b/>
                <w:bCs/>
                <w:color w:val="000000"/>
                <w:sz w:val="20"/>
                <w:szCs w:val="20"/>
              </w:rPr>
            </w:pPr>
          </w:p>
        </w:tc>
        <w:tc>
          <w:tcPr>
            <w:tcW w:w="885" w:type="pc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报告书</w:t>
            </w:r>
          </w:p>
        </w:tc>
        <w:tc>
          <w:tcPr>
            <w:tcW w:w="1180" w:type="pc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报告表</w:t>
            </w:r>
          </w:p>
        </w:tc>
        <w:tc>
          <w:tcPr>
            <w:tcW w:w="1244" w:type="pc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登记表</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农村污水处理</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水的生产和供应业46</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污水处理及再生利用</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新建、扩建日处理10万吨及以上城乡污水处理的</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新建、扩建日处理10万吨以下500吨及以上城乡污水处理的</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其他（不含提标改造项目；不含化粪池及化粪池处理后中水处理回用；不含仅建设沉淀池处理的）</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农村生产垃圾收集转运</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公共设施管理业</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生活垃圾 (含餐厨废 弃物) 转运站</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lang w:val="en-GB"/>
              </w:rPr>
            </w:pPr>
            <w:r>
              <w:rPr>
                <w:rFonts w:ascii="Arial" w:cs="Arial" w:eastAsia="宋体" w:hAnsi="Arial"/>
                <w:color w:val="000000"/>
                <w:sz w:val="20"/>
                <w:szCs w:val="20"/>
              </w:rPr>
              <w:t>/</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日转运能力150吨及以上的</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人畜粪便处置</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公共设施管理业</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粪便处置工程</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日处理50吨及以上</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灌溉节水增效</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水利</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灌区工程</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涉及环境敏感区的</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lang w:val="en-GB"/>
              </w:rPr>
            </w:pPr>
            <w:r>
              <w:rPr>
                <w:rFonts w:ascii="Arial" w:cs="Arial" w:eastAsia="宋体" w:hAnsi="Arial"/>
                <w:color w:val="000000"/>
                <w:sz w:val="20"/>
                <w:szCs w:val="20"/>
                <w:lang w:val="en-GB"/>
              </w:rPr>
              <w:t>其他 (不含高标准农田、滴灌 等节水改造工程)</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r>
    </w:tbl>
    <w:p>
      <w:pPr>
        <w:pStyle w:val="style179"/>
        <w:widowControl/>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建设单位对建设项目环评文件的内容和结论负责，接受委托编制环评文件的技术单位也承担相应责任。对于环评文件编制，中国采取了全国统一的环评工程师资质制度，即负责编制环评文件的技术人员，必须通过国家的资质考试并取得注册环评工程师的资质。</w:t>
      </w:r>
    </w:p>
    <w:p>
      <w:pPr>
        <w:pStyle w:val="style179"/>
        <w:adjustRightInd w:val="false"/>
        <w:snapToGrid w:val="false"/>
        <w:spacing w:before="120" w:after="120"/>
        <w:ind w:firstLine="0" w:firstLineChars="0"/>
        <w:rPr>
          <w:rFonts w:ascii="Arial" w:cs="Arial" w:eastAsia="宋体" w:hAnsi="Arial"/>
          <w:color w:val="1f4e79"/>
          <w:sz w:val="22"/>
        </w:rPr>
      </w:pPr>
      <w:r>
        <w:rPr>
          <w:rFonts w:ascii="Arial" w:cs="Arial" w:eastAsia="宋体" w:hAnsi="Arial"/>
          <w:b/>
          <w:iCs/>
          <w:color w:val="1f4e79"/>
          <w:sz w:val="22"/>
        </w:rPr>
        <w:tab/>
      </w:r>
      <w:r>
        <w:rPr>
          <w:rFonts w:ascii="Arial" w:cs="Arial" w:eastAsia="宋体" w:hAnsi="Arial"/>
          <w:b/>
          <w:iCs/>
          <w:color w:val="1f4e79"/>
          <w:sz w:val="22"/>
        </w:rPr>
        <w:tab/>
      </w:r>
      <w:r>
        <w:rPr>
          <w:rFonts w:ascii="Arial" w:cs="Arial" w:eastAsia="宋体" w:hAnsi="Arial"/>
          <w:b/>
          <w:iCs/>
          <w:color w:val="1f4e79"/>
          <w:sz w:val="22"/>
        </w:rPr>
        <w:t>环评分级审批</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lang w:val="en-GB"/>
        </w:rPr>
        <w:t>建设项目的环境影响报告书和报告表由建设单位报有审批权的生态环境部门审批；环境影响登记表实行网上备案管理。国家生态环境部审批权限以外的建设项目环评文件，由省、自治区、直辖市人民政府规定审批权限。建设项目</w:t>
      </w:r>
      <w:r>
        <w:rPr>
          <w:rFonts w:ascii="Arial" w:cs="Arial" w:eastAsia="宋体" w:hAnsi="Arial"/>
          <w:sz w:val="22"/>
        </w:rPr>
        <w:t>根据立项审批部门、投资规模及环境敏感性等因素，其环评文件由不同级别的生态环境部门负责审批。省级生态环境厅主要审查严重污染或跨市域的大型项目审批，这种情况在本项目支持的活动中可能极少出现。广西和贵州两省的区县级生态环境部门没有环评文件审批权限，因此本项目活动基本上都属于市级生态环境局审批。</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原则上来说，环评文件在审批前应通过技术审查。环境影响报告书的技术审查一般由独立专家组成的委员会进行；环境影响报告表的技术审查，有些由专家委员会评审，有些由生态环境部门的工作人员自行审查。环评评审专家都从省、市生态环境部门建立的专家库中随机抽取，每个项目评审一般至少包括3名专家。</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正常情况下，建设项目的环评文件未依法经审批部门审查或者审查后未予批准的，建设单位不得开工建设。但为了贯彻落实脱贫攻坚、新冠肺炎疫情防控工作需要，中国开展“简政放权、放管结合、优化服务”的行政审批制度改革。2020年3月份国家生态环境部发文鼓励各地生态环境部门简化部分项目的环评审批流程。据此，广西和贵州生态环境部门</w:t>
      </w:r>
      <w:r>
        <w:rPr>
          <w:rFonts w:ascii="Arial" w:cs="Arial" w:eastAsia="宋体" w:hAnsi="Arial"/>
          <w:sz w:val="22"/>
          <w:lang w:val="en-GB"/>
        </w:rPr>
        <w:t>对部分项目（如菌类种植农产品基地）可采取简便的环评告知承诺制审批管理。地方生态环境部门在受理建设单环评文件告知承诺制申请材料后，可不经过技术审查即直接作出行政审批决定，审批后再对环评文件和承诺事项进行核查，一旦发现与承诺事项不符或对环境造成重大影响的，责令限期整改或依法查处。</w:t>
      </w:r>
    </w:p>
    <w:p>
      <w:pPr>
        <w:pStyle w:val="style4115"/>
        <w:adjustRightInd w:val="false"/>
        <w:snapToGrid w:val="false"/>
        <w:spacing w:before="120" w:after="120"/>
        <w:ind w:firstLine="482"/>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环评公众参与</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环评文件准备期间，原则上建设单位（可通过环评单位）应按要求开展公众参与，一般通过访谈、会议和问卷调查等方式进行。对于需要编制报告书的项目，建设单位需在环评准备过程中开展三轮公示，即环评工作开始信息公示（7日之内）、报告书草稿公示（不少于10日）、报告书最终报批稿（连同公众参与说明）公示。对于需要编制环境影响报告表的建设项目，法律法规没有强制要求开展公众参与，但在实际操作中针对选址可能对周边敏感点产生影响（比如产生臭气的污水和垃圾管理设施）的报告表项目，地方生态环境部门一般会要求或建议建设单位开展公众参与活动。</w:t>
      </w:r>
    </w:p>
    <w:p>
      <w:pPr>
        <w:pStyle w:val="style4115"/>
        <w:adjustRightInd w:val="false"/>
        <w:snapToGrid w:val="false"/>
        <w:spacing w:before="120" w:after="120"/>
        <w:ind w:firstLine="482"/>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施工环境管理</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建设项目施工单位负责施工期间环境保护措施的实施。国家《标准施工招标文件》要求技术规范中包含环境保护篇章，将环评文件中的环保措施纳入其中。在施工标准合同的通用条款中，专门设有安全生产和环境保护章节，明确安全、健康、现场管理和环境保护措施。施工合同签订后，施工单位需要制定具体的施工组织方案，其中必须包括环境保护方案和安全生产管理方案，建设单位和监理公司在开工前对施工组织设计方案进行审查。施工过程中，建设单位和监理单位对施工单位的安全生产和环境保护工作情况进行监督。</w:t>
      </w:r>
    </w:p>
    <w:p>
      <w:pPr>
        <w:pStyle w:val="style4115"/>
        <w:adjustRightInd w:val="false"/>
        <w:snapToGrid w:val="false"/>
        <w:spacing w:before="120" w:after="120"/>
        <w:ind w:firstLine="482"/>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环保验收</w:t>
      </w:r>
    </w:p>
    <w:p>
      <w:pPr>
        <w:pStyle w:val="style179"/>
        <w:numPr>
          <w:ilvl w:val="0"/>
          <w:numId w:val="6"/>
        </w:numPr>
        <w:tabs>
          <w:tab w:val="left" w:leader="none" w:pos="851"/>
          <w:tab w:val="left" w:leader="none" w:pos="1134"/>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建设单位负责根据环评文件提出的措施和审批文件的要求，落实相关的环保措施和设施。需要对建设项目配套建设的环境保护设施进行调试的，建设单位应当确保调试期间污染物排放符合国家和地方有关污染物排放标准和排污许可等相关管理规定。项目完工时，建设单位负责（可委托有能力的技术机构）开展项目竣工环保验收，编制验收监测或调查报告，并根据验收结论逐一检查是否存在验收不合格的情形，提出验收意见。</w:t>
      </w:r>
    </w:p>
    <w:p>
      <w:pPr>
        <w:pStyle w:val="style179"/>
        <w:numPr>
          <w:ilvl w:val="0"/>
          <w:numId w:val="6"/>
        </w:numPr>
        <w:tabs>
          <w:tab w:val="left" w:leader="none" w:pos="851"/>
          <w:tab w:val="left" w:leader="none" w:pos="1134"/>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建设单位应在验收报告编制完成后5个工作日内，公开验收报告，公示的期限不得少于20个工作日。验收报告公示期满后5个工作日内，建设单位应当登录全国建设项目竣工环境保护验收信息平台，填报建设项目基本信息、环境保护设施验收情况等相关信息，生态环境部门对上述信息予以公开，并采取“双随机、一公开”的方式，对环保设施“三同时”落实、环保验收等情况进行监督性检查。</w:t>
      </w:r>
    </w:p>
    <w:p>
      <w:pPr>
        <w:pStyle w:val="style4115"/>
        <w:adjustRightInd w:val="false"/>
        <w:snapToGrid w:val="false"/>
        <w:spacing w:before="120" w:after="120"/>
        <w:ind w:firstLine="480"/>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排污许可</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企业向环境排放污染物要符合国家规定的污染排放标准以及重点污染物总量控制指标。根据污染物产生量、排放量、对环境的影响程度等因素，对排污单位实行排污许可分类管理：（一）污染物产生量、排放量或者对环境的影响程度较大的排污单位，实行排污许可重点管理；（二）污染物产生量、排放量和对环境的影响程度都较小的排污单位，实行排污许可简化管理。</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排污单位应当遵守排污许可证规定，建设规范化污染物排放口，并设置标志牌。依法开展自行监测，并保存原始监测记录，原始监测记录保存期限不得少于5年。对于重点监控单位，必须安装污染物排放自动监测设备，并与生态环境主管部门的监控设备实时联网；对于小企业，不要求安装在线监测设备，地方生态环境部门会按照“双随机、一公开”机制不定期进行监管。</w:t>
      </w:r>
    </w:p>
    <w:p>
      <w:pPr>
        <w:pStyle w:val="style4115"/>
        <w:adjustRightInd w:val="false"/>
        <w:snapToGrid w:val="false"/>
        <w:spacing w:before="120" w:after="120"/>
        <w:ind w:left="720"/>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事中事后监管</w:t>
      </w:r>
    </w:p>
    <w:p>
      <w:pPr>
        <w:pStyle w:val="style179"/>
        <w:numPr>
          <w:ilvl w:val="0"/>
          <w:numId w:val="6"/>
        </w:numPr>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lang w:val="en-GB"/>
        </w:rPr>
        <w:tab/>
      </w:r>
      <w:r>
        <w:rPr>
          <w:rFonts w:ascii="Arial" w:cs="Arial" w:eastAsia="宋体" w:hAnsi="Arial"/>
          <w:sz w:val="22"/>
          <w:lang w:val="en-GB"/>
        </w:rPr>
        <w:t>事中监管包括检查生态环境部门的环评审批行为和审批程序合法性、审批结果合规性；检查技术评估机构的评估能力、评估意见合理性、收费合规性；检查环评单位环评文件的真实、正确、科学、可信情况；检查建设单位依法履行环评程序、开展公众参与情况。</w:t>
      </w:r>
    </w:p>
    <w:p>
      <w:pPr>
        <w:pStyle w:val="style179"/>
        <w:numPr>
          <w:ilvl w:val="0"/>
          <w:numId w:val="6"/>
        </w:numPr>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lang w:val="en-GB"/>
        </w:rPr>
        <w:tab/>
      </w:r>
      <w:r>
        <w:rPr>
          <w:rFonts w:ascii="Arial" w:cs="Arial" w:eastAsia="宋体" w:hAnsi="Arial"/>
          <w:sz w:val="22"/>
          <w:lang w:val="en-GB"/>
        </w:rPr>
        <w:t>事后监管包括检查生态环境部门对建设项目环境保护“三同时”监督检查情况；检查环评单位环评文件质量；检查建设单位落实环评文件及批复要求，在项目设计、施工、验收、投入生产或使用中落实环境保护“三同时”及各项环境管理规定情况。</w:t>
      </w:r>
    </w:p>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 xml:space="preserve">C. </w:t>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环境影响评价管理系统的行业主管部门是生态环境部门。国家生态环境部环境影响评价与排放管理司负责从国家层面总体把关项目环评及全程环境管理。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广西和贵州省级生态环境厅均设有环境影响评价与排放管理处，承担规划环评、项目环评及排污许可审批，污染防控监管，拟订生态保护红线及环境准入清单并组织实施等工作</w:t>
      </w:r>
      <w:r>
        <w:rPr>
          <w:rFonts w:ascii="Arial" w:cs="Arial" w:eastAsia="宋体" w:hAnsi="Arial"/>
          <w:sz w:val="22"/>
          <w:lang w:val="en-GB"/>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按照国家环保机构监测监察执法垂直管理制度改革要求，广西和贵州两省的县级生态环境局已统一调整为市级生态环境局的派出分局。省级</w:t>
      </w:r>
      <w:r>
        <w:rPr>
          <w:rFonts w:ascii="Arial" w:cs="Arial" w:eastAsia="宋体" w:hAnsi="Arial"/>
          <w:sz w:val="22"/>
          <w:lang w:val="en-GB"/>
        </w:rPr>
        <w:t>生态环境部门审批权限以外的</w:t>
      </w:r>
      <w:r>
        <w:rPr>
          <w:rFonts w:ascii="Arial" w:cs="Arial" w:eastAsia="宋体" w:hAnsi="Arial"/>
          <w:sz w:val="22"/>
        </w:rPr>
        <w:t>建设项目环评文件审批权限统一归属市级生态环境局管辖。因此，根据本项目活动的类型和规模，环评文件审批权限都属于市级生态环境局管辖，分别是广西9个市（贺州、玉林、桂林、河池、崇左、柳州、来宾、百色、南宁）和贵州5个市（铜仁、黔东南州、黔南州、黔西南州、贵阳）的市级生态环境局。这些市级生态环境局与省厅的组织架构基本类似，相关业务科室是环境影响评价与排放管理科（2-3人左右），对于环评文件的技术审查主要借助于环评专家库。市级生态环境局下设环境执法大队，一般也实行市县垂直管理，对排污单位及建设项目环境保护措施的落实情况开展监督和执法。</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县级生态环境局也设有环评审批股室（1-3人左右），主要工作是</w:t>
      </w:r>
      <w:r>
        <w:rPr>
          <w:rFonts w:ascii="Arial" w:cs="Arial" w:eastAsia="宋体" w:hAnsi="Arial"/>
          <w:sz w:val="22"/>
          <w:lang w:val="en-GB"/>
        </w:rPr>
        <w:t>配合相应的</w:t>
      </w:r>
      <w:r>
        <w:rPr>
          <w:rFonts w:ascii="Arial" w:cs="Arial" w:eastAsia="宋体" w:hAnsi="Arial"/>
          <w:sz w:val="22"/>
        </w:rPr>
        <w:t>市级生态环境局，在</w:t>
      </w:r>
      <w:r>
        <w:rPr>
          <w:rFonts w:ascii="Arial" w:cs="Arial" w:eastAsia="宋体" w:hAnsi="Arial"/>
          <w:sz w:val="22"/>
          <w:lang w:val="en-GB"/>
        </w:rPr>
        <w:t>前期</w:t>
      </w:r>
      <w:r>
        <w:rPr>
          <w:rFonts w:ascii="Arial" w:cs="Arial" w:eastAsia="宋体" w:hAnsi="Arial"/>
          <w:sz w:val="22"/>
        </w:rPr>
        <w:t>为业主提供</w:t>
      </w:r>
      <w:r>
        <w:rPr>
          <w:rFonts w:ascii="Arial" w:cs="Arial" w:eastAsia="宋体" w:hAnsi="Arial"/>
          <w:sz w:val="22"/>
          <w:lang w:val="en-GB"/>
        </w:rPr>
        <w:t>环评文件准备咨询，在后期指导和</w:t>
      </w:r>
      <w:r>
        <w:rPr>
          <w:rFonts w:ascii="Arial" w:cs="Arial" w:eastAsia="宋体" w:hAnsi="Arial"/>
          <w:sz w:val="22"/>
        </w:rPr>
        <w:t>监管</w:t>
      </w:r>
      <w:r>
        <w:rPr>
          <w:rFonts w:ascii="Arial" w:cs="Arial" w:eastAsia="宋体" w:hAnsi="Arial"/>
          <w:sz w:val="22"/>
          <w:lang w:val="en-GB"/>
        </w:rPr>
        <w:t>企业落实环评措施</w:t>
      </w:r>
      <w:r>
        <w:rPr>
          <w:rFonts w:ascii="Arial" w:cs="Arial" w:eastAsia="宋体" w:hAnsi="Arial"/>
          <w:sz w:val="22"/>
        </w:rPr>
        <w:t>。在乡镇政府一般设置1-2名环境专职干部，负责对接上级生态环境部门的管理工作。</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公众可以利用专业的网络平台，如“环境影响评价信息公示平台”、“全国排污许可证管理信息平台”、“污染源监控中心”等，进行环境影响评价、污染排放等方面的信息查询。建设项目或企业的环境违法行为也在生态环境部门的官网进行通报。同时国家生态环境部还设置了“全国生态环境投诉举报平台”、部长信箱、12369环保投诉热线、12369</w:t>
      </w:r>
      <w:r>
        <w:rPr>
          <w:rFonts w:ascii="Arial" w:cs="Arial" w:eastAsia="宋体" w:hAnsi="Arial"/>
          <w:sz w:val="22"/>
          <w:lang w:val="en-GB"/>
        </w:rPr>
        <w:t>"环保举报"</w:t>
      </w:r>
      <w:r>
        <w:rPr>
          <w:rFonts w:ascii="Arial" w:cs="Arial" w:eastAsia="宋体" w:hAnsi="Arial"/>
          <w:sz w:val="22"/>
        </w:rPr>
        <w:t>微信公众号、政府服务热线12345等，为公众进行环境投诉举报、跟踪查询、发表意见等提供了多种渠道。</w:t>
      </w:r>
    </w:p>
    <w:bookmarkStart w:id="445" w:name="_Toc79939256"/>
    <w:bookmarkStart w:id="446" w:name="_Toc66694840"/>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以上建设项目环境影响评价管理体系在中国已经实施了几十年，并经过不断改革，形成了比较完善的全过程管理体系。通过在项目准备期间对</w:t>
      </w:r>
      <w:r>
        <w:rPr>
          <w:rFonts w:ascii="Arial" w:cs="Arial" w:eastAsia="宋体" w:hAnsi="Arial"/>
          <w:sz w:val="22"/>
          <w:szCs w:val="24"/>
        </w:rPr>
        <w:t>广西的平桂、资源、罗城以及贵州的息烽、三都和</w:t>
      </w:r>
      <w:r>
        <w:rPr>
          <w:rFonts w:ascii="Arial" w:cs="Arial" w:eastAsia="宋体" w:hAnsi="Arial"/>
          <w:color w:val="000000"/>
          <w:sz w:val="22"/>
          <w:szCs w:val="24"/>
        </w:rPr>
        <w:t>施秉</w:t>
      </w:r>
      <w:r>
        <w:rPr>
          <w:rFonts w:ascii="Arial" w:cs="Arial" w:eastAsia="宋体" w:hAnsi="Arial"/>
          <w:sz w:val="22"/>
        </w:rPr>
        <w:t>等样本县的调查得知，已开展的类似项目（如农村生活污水处理、畜禽粪污资源化利用等设施）都能按照国家规定开展相应的环境影响评价；按照标准的建设工程合同要求，纳入环境保护篇章，并通过独立的监理单位进行监督；但部分建设单位未能及时按要求进行自主验收。</w:t>
      </w:r>
    </w:p>
    <w:bookmarkStart w:id="447" w:name="_Toc93944809"/>
    <w:bookmarkStart w:id="448" w:name="_Toc66694842"/>
    <w:bookmarkStart w:id="449" w:name="_Toc79939258"/>
    <w:bookmarkEnd w:id="445"/>
    <w:bookmarkEnd w:id="446"/>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3.2.2</w:t>
      </w:r>
      <w:r>
        <w:rPr>
          <w:rFonts w:ascii="Arial" w:cs="Arial" w:eastAsia="宋体" w:hAnsi="Arial"/>
          <w:color w:val="1f4e79"/>
          <w:sz w:val="24"/>
          <w:szCs w:val="24"/>
        </w:rPr>
        <w:tab/>
      </w:r>
      <w:r>
        <w:rPr>
          <w:rFonts w:ascii="Arial" w:cs="Arial" w:eastAsia="宋体" w:hAnsi="Arial"/>
          <w:color w:val="1f4e79"/>
          <w:sz w:val="24"/>
          <w:szCs w:val="24"/>
        </w:rPr>
        <w:t>污染防治系统</w:t>
      </w:r>
      <w:bookmarkEnd w:id="447"/>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活动（如工程建设和运营及农业生产）所产生的环境污染，总体上依据综合性的污染防治法律规章及相应的地方法规进行管理（见表3-3）。此外，本项目每个独立的污染防治系统（化肥、农药、畜禽粪污、废弃农用塑料、农村生活污水、农村生活垃圾）还有具体、专门的法规、规章、规范、导则等所制定的细则，来指导污染防治措施的实施和监管。</w:t>
      </w:r>
    </w:p>
    <w:p>
      <w:pPr>
        <w:pStyle w:val="style4"/>
        <w:adjustRightInd w:val="false"/>
        <w:snapToGrid w:val="false"/>
        <w:spacing w:before="120" w:after="120" w:lineRule="auto" w:line="240"/>
        <w:jc w:val="center"/>
        <w:rPr>
          <w:rFonts w:ascii="Arial" w:cs="Arial" w:eastAsia="宋体" w:hAnsi="Arial"/>
          <w:color w:val="1f4e79"/>
          <w:sz w:val="22"/>
          <w:szCs w:val="22"/>
        </w:rPr>
      </w:pPr>
      <w:r>
        <w:rPr>
          <w:rFonts w:ascii="Arial" w:cs="Arial" w:eastAsia="宋体" w:hAnsi="Arial"/>
          <w:color w:val="1f4e79"/>
          <w:sz w:val="22"/>
        </w:rPr>
        <w:t>表3-3：综合性污染防治法律法规制度</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CellMar>
          <w:top w:w="0" w:type="dxa"/>
          <w:left w:w="28" w:type="dxa"/>
          <w:bottom w:w="0" w:type="dxa"/>
          <w:right w:w="28" w:type="dxa"/>
        </w:tblCellMar>
      </w:tblPr>
      <w:tblGrid>
        <w:gridCol w:w="7366"/>
        <w:gridCol w:w="1134"/>
        <w:gridCol w:w="1122"/>
      </w:tblGrid>
      <w:tr>
        <w:trPr>
          <w:tblHeader/>
        </w:trPr>
        <w:tc>
          <w:tcPr>
            <w:tcW w:w="7366" w:type="dxa"/>
            <w:tcBorders>
              <w:bottom w:val="single" w:sz="4" w:space="0" w:color="auto"/>
            </w:tcBorders>
            <w:shd w:val="clear" w:color="auto" w:fill="e7e6e6"/>
          </w:tcPr>
          <w:p>
            <w:pPr>
              <w:pStyle w:val="style179"/>
              <w:tabs>
                <w:tab w:val="left" w:leader="none" w:pos="709"/>
              </w:tabs>
              <w:adjustRightInd w:val="false"/>
              <w:snapToGrid w:val="false"/>
              <w:ind w:firstLine="0" w:firstLineChars="0"/>
              <w:jc w:val="center"/>
              <w:rPr>
                <w:rFonts w:ascii="Arial" w:cs="Arial" w:eastAsia="宋体" w:hAnsi="Arial"/>
                <w:b/>
                <w:sz w:val="20"/>
                <w:szCs w:val="20"/>
              </w:rPr>
            </w:pPr>
            <w:r>
              <w:rPr>
                <w:rFonts w:ascii="Arial" w:cs="Arial" w:eastAsia="宋体" w:hAnsi="Arial"/>
                <w:b/>
                <w:sz w:val="20"/>
                <w:szCs w:val="20"/>
              </w:rPr>
              <w:t>国家层面</w:t>
            </w:r>
          </w:p>
        </w:tc>
        <w:tc>
          <w:tcPr>
            <w:tcW w:w="1134" w:type="dxa"/>
            <w:tcBorders>
              <w:bottom w:val="single" w:sz="4" w:space="0" w:color="auto"/>
            </w:tcBorders>
            <w:shd w:val="clear" w:color="auto" w:fill="e7e6e6"/>
          </w:tcPr>
          <w:p>
            <w:pPr>
              <w:pStyle w:val="style179"/>
              <w:tabs>
                <w:tab w:val="left" w:leader="none" w:pos="709"/>
              </w:tabs>
              <w:adjustRightInd w:val="false"/>
              <w:snapToGrid w:val="false"/>
              <w:ind w:firstLine="0" w:firstLineChars="0"/>
              <w:jc w:val="center"/>
              <w:rPr>
                <w:rFonts w:ascii="Arial" w:cs="Arial" w:eastAsia="宋体" w:hAnsi="Arial"/>
                <w:b/>
                <w:sz w:val="20"/>
                <w:szCs w:val="20"/>
              </w:rPr>
            </w:pPr>
            <w:r>
              <w:rPr>
                <w:rFonts w:ascii="Arial" w:cs="Arial" w:eastAsia="宋体" w:hAnsi="Arial"/>
                <w:b/>
                <w:sz w:val="20"/>
                <w:szCs w:val="20"/>
              </w:rPr>
              <w:t>广西</w:t>
            </w:r>
          </w:p>
        </w:tc>
        <w:tc>
          <w:tcPr>
            <w:tcW w:w="1122" w:type="dxa"/>
            <w:tcBorders>
              <w:bottom w:val="single" w:sz="4" w:space="0" w:color="auto"/>
            </w:tcBorders>
            <w:shd w:val="clear" w:color="auto" w:fill="e7e6e6"/>
          </w:tcPr>
          <w:p>
            <w:pPr>
              <w:pStyle w:val="style179"/>
              <w:tabs>
                <w:tab w:val="left" w:leader="none" w:pos="709"/>
              </w:tabs>
              <w:adjustRightInd w:val="false"/>
              <w:snapToGrid w:val="false"/>
              <w:ind w:firstLine="0" w:firstLineChars="0"/>
              <w:jc w:val="center"/>
              <w:rPr>
                <w:rFonts w:ascii="Arial" w:cs="Arial" w:eastAsia="宋体" w:hAnsi="Arial"/>
                <w:b/>
                <w:sz w:val="20"/>
                <w:szCs w:val="20"/>
              </w:rPr>
            </w:pPr>
            <w:r>
              <w:rPr>
                <w:rFonts w:ascii="Arial" w:cs="Arial" w:eastAsia="宋体" w:hAnsi="Arial"/>
                <w:b/>
                <w:sz w:val="20"/>
                <w:szCs w:val="20"/>
              </w:rPr>
              <w:t>贵州</w:t>
            </w: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kern w:val="0"/>
                <w:sz w:val="20"/>
                <w:szCs w:val="20"/>
              </w:rPr>
            </w:pPr>
            <w:r>
              <w:rPr>
                <w:rFonts w:ascii="Arial" w:cs="Arial" w:eastAsia="宋体" w:hAnsi="Arial"/>
                <w:b/>
                <w:bCs/>
                <w:sz w:val="20"/>
                <w:szCs w:val="20"/>
              </w:rPr>
              <w:t>《水污染防治法》</w:t>
            </w:r>
            <w:r>
              <w:rPr>
                <w:rFonts w:ascii="Arial" w:cs="Arial" w:eastAsia="宋体" w:hAnsi="Arial"/>
                <w:bCs/>
                <w:sz w:val="20"/>
                <w:szCs w:val="20"/>
              </w:rPr>
              <w:t>(</w:t>
            </w:r>
            <w:r>
              <w:rPr>
                <w:rFonts w:ascii="Arial" w:cs="Arial" w:eastAsia="宋体" w:hAnsi="Arial"/>
                <w:sz w:val="20"/>
                <w:szCs w:val="20"/>
              </w:rPr>
              <w:t>2017年修订</w:t>
            </w:r>
            <w:r>
              <w:rPr>
                <w:rFonts w:ascii="Arial" w:cs="Arial" w:eastAsia="宋体" w:hAnsi="Arial"/>
                <w:bCs/>
                <w:sz w:val="20"/>
                <w:szCs w:val="20"/>
              </w:rPr>
              <w:t>)</w:t>
            </w:r>
            <w:r>
              <w:rPr>
                <w:rFonts w:ascii="Arial" w:cs="Arial" w:eastAsia="宋体" w:hAnsi="Arial"/>
                <w:sz w:val="20"/>
                <w:szCs w:val="20"/>
              </w:rPr>
              <w:t>：</w:t>
            </w:r>
            <w:r>
              <w:rPr>
                <w:rFonts w:ascii="Arial" w:cs="Arial" w:eastAsia="宋体" w:hAnsi="Arial"/>
                <w:kern w:val="0"/>
                <w:sz w:val="20"/>
                <w:szCs w:val="20"/>
              </w:rPr>
              <w:t>要求统筹规划建设农村污水、垃圾处理设施并保障其正常运行；要求指导农业生产者科学、合理地施用化肥和农药；要求畜禽养殖场、养殖小区建设畜禽粪便、废水的综合利用或者无害化处理设施，并保证设施正常运转，保证污水达标排放。</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《广西壮族自治区水污染防治条例》(2020年)</w:t>
            </w: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《贵州省水污染防治条例》(2018年修订)</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sz w:val="20"/>
                <w:szCs w:val="20"/>
                <w:lang w:val="en-GB"/>
              </w:rPr>
            </w:pPr>
            <w:r>
              <w:rPr>
                <w:rFonts w:ascii="Arial" w:cs="Arial" w:eastAsia="宋体" w:hAnsi="Arial"/>
                <w:b/>
                <w:bCs/>
                <w:sz w:val="20"/>
                <w:szCs w:val="20"/>
              </w:rPr>
              <w:t>《土壤污染防治法》</w:t>
            </w:r>
            <w:r>
              <w:rPr>
                <w:rFonts w:ascii="Arial" w:cs="Arial" w:eastAsia="宋体" w:hAnsi="Arial"/>
                <w:sz w:val="20"/>
                <w:szCs w:val="20"/>
                <w:lang w:val="en-GB"/>
              </w:rPr>
              <w:t>(2018年)：加强农药、肥料登记，组织开展农药、肥料对土壤环境影响的安全性评价；加强农用地农药、化肥使用指导和使用总量控制，加强农用薄膜使用控制；加强对畜禽粪便、沼渣、沼液等收集、贮存、利用、处置的监督管理，防止土壤污染。</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《广西壮族自治区土壤污染防治条例》(2021年)</w:t>
            </w: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b/>
                <w:sz w:val="20"/>
                <w:szCs w:val="20"/>
              </w:rPr>
            </w:pPr>
            <w:r>
              <w:rPr>
                <w:rFonts w:ascii="Arial" w:cs="Arial" w:eastAsia="宋体" w:hAnsi="Arial"/>
                <w:b/>
                <w:sz w:val="20"/>
                <w:szCs w:val="20"/>
              </w:rPr>
              <w:t>《大气污染防治法》</w:t>
            </w:r>
            <w:r>
              <w:rPr>
                <w:rFonts w:ascii="Arial" w:cs="Arial" w:eastAsia="宋体" w:hAnsi="Arial"/>
                <w:bCs/>
                <w:sz w:val="20"/>
                <w:szCs w:val="20"/>
              </w:rPr>
              <w:t>(</w:t>
            </w:r>
            <w:r>
              <w:rPr>
                <w:rFonts w:ascii="Arial" w:cs="Arial" w:eastAsia="宋体" w:hAnsi="Arial"/>
                <w:sz w:val="20"/>
                <w:szCs w:val="20"/>
              </w:rPr>
              <w:t>2018年修订</w:t>
            </w:r>
            <w:r>
              <w:rPr>
                <w:rFonts w:ascii="Arial" w:cs="Arial" w:eastAsia="宋体" w:hAnsi="Arial"/>
                <w:bCs/>
                <w:sz w:val="20"/>
                <w:szCs w:val="20"/>
              </w:rPr>
              <w:t>)</w:t>
            </w:r>
            <w:r>
              <w:rPr>
                <w:rFonts w:ascii="Arial" w:cs="Arial" w:eastAsia="宋体" w:hAnsi="Arial"/>
                <w:sz w:val="20"/>
                <w:szCs w:val="20"/>
              </w:rPr>
              <w:t>：要求农业生产经营者改进施肥方式，科学合理施用化肥并按照国家有关规定使用农药，减少氨、挥发性有机物等大气污染物的排放；畜禽养殖场、养殖小区应当及时对污水、畜禽粪便和尸体等进行收集、贮存、清运和无害化处理，防止排放恶臭气体；划定区域，禁止露天焚烧秸秆、落叶等产生烟尘污染的物质；采用先进适用技术，对秸秆、落叶等进行肥料化、饲料化、能源化、工业原料化、食用菌基料化等综合利用。</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《广西壮族自治区大气污染防治条例》(2018年)</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《贵州省大气污染防治条例》(2018年修订)</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b/>
                <w:bCs/>
                <w:sz w:val="20"/>
                <w:szCs w:val="20"/>
              </w:rPr>
            </w:pPr>
            <w:r>
              <w:rPr>
                <w:rFonts w:ascii="Arial" w:cs="Arial" w:eastAsia="宋体" w:hAnsi="Arial"/>
                <w:b/>
                <w:sz w:val="20"/>
                <w:szCs w:val="20"/>
              </w:rPr>
              <w:t>《固体废物污染环境防治法》</w:t>
            </w:r>
            <w:r>
              <w:rPr>
                <w:rFonts w:ascii="Arial" w:cs="Arial" w:eastAsia="宋体" w:hAnsi="Arial"/>
                <w:bCs/>
                <w:sz w:val="20"/>
                <w:szCs w:val="20"/>
              </w:rPr>
              <w:t>(2020年修订)：</w:t>
            </w:r>
            <w:r>
              <w:rPr>
                <w:rFonts w:ascii="Arial" w:cs="Arial" w:eastAsia="宋体" w:hAnsi="Arial"/>
                <w:sz w:val="20"/>
                <w:szCs w:val="20"/>
              </w:rPr>
              <w:t>产生、收集、贮存、运输、利用、处置固体废物的单位，应当依法及时公开固体废物污染环境防治信息；建立生活垃圾分类投放、分类收集、分类运输、分类处理的生活垃圾管理系统；产生秸秆、废弃农用薄膜、农药包装废弃物等农业固体废物的单位和其他生产经营者，应当采取回收利用和其他防止污染环境的措施；从事畜禽规模养殖应当及时收集、贮存、利用或者处置养殖过程中产生的畜禽粪污等固体废物。</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《贵州省固体废物污染环境防治条例》(2020年)</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《农业法》</w:t>
            </w:r>
            <w:r>
              <w:rPr>
                <w:rFonts w:ascii="Arial" w:cs="Arial" w:eastAsia="宋体" w:hAnsi="Arial"/>
                <w:bCs/>
                <w:sz w:val="20"/>
                <w:szCs w:val="20"/>
              </w:rPr>
              <w:t>(</w:t>
            </w:r>
            <w:r>
              <w:rPr>
                <w:rFonts w:ascii="Arial" w:cs="Arial" w:eastAsia="宋体" w:hAnsi="Arial"/>
                <w:sz w:val="20"/>
                <w:szCs w:val="20"/>
              </w:rPr>
              <w:t>2012年修订</w:t>
            </w:r>
            <w:r>
              <w:rPr>
                <w:rFonts w:ascii="Arial" w:cs="Arial" w:eastAsia="宋体" w:hAnsi="Arial"/>
                <w:bCs/>
                <w:sz w:val="20"/>
                <w:szCs w:val="20"/>
              </w:rPr>
              <w:t>)</w:t>
            </w:r>
            <w:r>
              <w:rPr>
                <w:rFonts w:ascii="Arial" w:cs="Arial" w:eastAsia="宋体" w:hAnsi="Arial"/>
                <w:sz w:val="20"/>
                <w:szCs w:val="20"/>
              </w:rPr>
              <w:t>：要求</w:t>
            </w:r>
            <w:r>
              <w:rPr>
                <w:rFonts w:ascii="Arial" w:cs="Arial" w:eastAsia="宋体" w:hAnsi="Arial"/>
                <w:kern w:val="0"/>
                <w:sz w:val="20"/>
                <w:szCs w:val="20"/>
              </w:rPr>
              <w:t>肥料的生产经营依照相关法律、行政法规的规定实行登记或者许可制度。合理使用化肥、农药、农用薄膜，增加使用有机肥料，防止农用地的污染、破坏和地力衰退。</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《广西壮族自治区农业环境保护条例》(2016年修订)</w:t>
            </w: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spacing w:after="120"/>
              <w:ind w:firstLine="0" w:firstLineChars="0"/>
              <w:rPr>
                <w:rFonts w:ascii="Arial" w:cs="Arial" w:eastAsia="宋体" w:hAnsi="Arial"/>
                <w:bCs/>
                <w:color w:val="000000"/>
                <w:sz w:val="20"/>
                <w:szCs w:val="20"/>
              </w:rPr>
            </w:pPr>
            <w:r>
              <w:rPr>
                <w:rFonts w:ascii="Arial" w:cs="Arial" w:eastAsia="宋体" w:hAnsi="Arial"/>
                <w:b/>
                <w:color w:val="000000"/>
                <w:sz w:val="20"/>
                <w:szCs w:val="20"/>
              </w:rPr>
              <w:t>《乡村振兴促进法》</w:t>
            </w:r>
            <w:r>
              <w:rPr>
                <w:rFonts w:ascii="Arial" w:cs="Arial" w:eastAsia="宋体" w:hAnsi="Arial"/>
                <w:bCs/>
                <w:sz w:val="20"/>
                <w:szCs w:val="20"/>
              </w:rPr>
              <w:t>(</w:t>
            </w:r>
            <w:r>
              <w:rPr>
                <w:rFonts w:ascii="Arial" w:cs="Arial" w:eastAsia="宋体" w:hAnsi="Arial"/>
                <w:bCs/>
                <w:color w:val="000000"/>
                <w:sz w:val="20"/>
                <w:szCs w:val="20"/>
              </w:rPr>
              <w:t>2021年</w:t>
            </w:r>
            <w:r>
              <w:rPr>
                <w:rFonts w:ascii="Arial" w:cs="Arial" w:eastAsia="宋体" w:hAnsi="Arial"/>
                <w:bCs/>
                <w:sz w:val="20"/>
                <w:szCs w:val="20"/>
              </w:rPr>
              <w:t>)</w:t>
            </w:r>
            <w:r>
              <w:rPr>
                <w:rFonts w:ascii="Arial" w:cs="Arial" w:eastAsia="宋体" w:hAnsi="Arial"/>
                <w:bCs/>
                <w:color w:val="000000"/>
                <w:sz w:val="20"/>
                <w:szCs w:val="20"/>
              </w:rPr>
              <w:t>：乡村振兴活动应开展生态保护，包括资源节约与农业面源污染防治（如节水、节肥、节药、节能）、改善农村人居环境（如推行卫生厕所、垃圾分类、农村垃圾和污水治理）、农业投入品安全（如禁用限用剧毒、高毒、高残留农药）、农业农村环境保护（如推进废旧农膜和农药等农业投入品包装废弃物回收处理、推进秸秆和畜禽粪污资源化利用）等。</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spacing w:after="120"/>
              <w:ind w:firstLine="0" w:firstLineChars="0"/>
              <w:rPr>
                <w:rFonts w:ascii="Arial" w:cs="Arial" w:eastAsia="宋体" w:hAnsi="Arial"/>
                <w:bCs/>
                <w:color w:val="000000"/>
                <w:sz w:val="20"/>
                <w:szCs w:val="20"/>
              </w:rPr>
            </w:pPr>
            <w:r>
              <w:rPr>
                <w:rFonts w:ascii="Arial" w:cs="Arial" w:eastAsia="宋体" w:hAnsi="Arial"/>
                <w:b/>
                <w:color w:val="000000"/>
                <w:sz w:val="20"/>
                <w:szCs w:val="20"/>
              </w:rPr>
              <w:t>《农业面源污染治理与监督指导实施方案（试行）》</w:t>
            </w:r>
            <w:r>
              <w:rPr>
                <w:rFonts w:ascii="Arial" w:cs="Arial" w:eastAsia="宋体" w:hAnsi="Arial"/>
                <w:bCs/>
                <w:color w:val="000000"/>
                <w:sz w:val="20"/>
                <w:szCs w:val="20"/>
              </w:rPr>
              <w:t>(2021年)：要求深入推进化肥农药减量、秸秆综合利用、农膜回收、养殖业粪污处理等农业面源污染防治；健全法律法规制度、完善标准体系、优化经济政策、建立多元共治模式；开展农业污染源调查监测、评估农业面源污染环境影响、建设农业面源污染监管平台等。</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bl>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(1)</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化肥</w:t>
      </w:r>
      <w:bookmarkEnd w:id="448"/>
      <w:bookmarkEnd w:id="449"/>
      <w:r>
        <w:rPr>
          <w:rFonts w:ascii="Arial" w:cs="Arial" w:eastAsia="宋体" w:hAnsi="Arial"/>
          <w:b/>
          <w:bCs/>
          <w:color w:val="1f4e79"/>
          <w:sz w:val="24"/>
          <w:szCs w:val="24"/>
          <w:lang w:val="en-GB"/>
        </w:rPr>
        <w:t>管理系统</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kern w:val="0"/>
          <w:sz w:val="22"/>
        </w:rPr>
      </w:pPr>
      <w:r>
        <w:rPr>
          <w:rFonts w:ascii="Arial" w:cs="Arial" w:eastAsia="宋体" w:hAnsi="Arial"/>
          <w:kern w:val="0"/>
          <w:sz w:val="22"/>
        </w:rPr>
        <w:t>本项目内容之一是发展绿色种植业、减少化肥使用。化肥本身不属于有毒有害化学品，但过量施用会导致土壤退化并造成农业面源污染。因此需要合理管理化肥使用，实现减量增效。</w:t>
      </w:r>
    </w:p>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kern w:val="0"/>
          <w:sz w:val="22"/>
        </w:rPr>
      </w:pPr>
      <w:r>
        <w:rPr>
          <w:rFonts w:ascii="Arial" w:cs="Arial" w:eastAsia="宋体" w:hAnsi="Arial"/>
          <w:b/>
          <w:bCs/>
          <w:kern w:val="0"/>
          <w:sz w:val="22"/>
        </w:rPr>
        <w:t>《肥料登记管理办法》</w:t>
      </w:r>
      <w:r>
        <w:rPr>
          <w:rFonts w:ascii="Arial" w:cs="Arial" w:eastAsia="宋体" w:hAnsi="Arial"/>
          <w:kern w:val="0"/>
          <w:sz w:val="22"/>
        </w:rPr>
        <w:t>(2017年)：适用于生产、经营、使用和宣传肥料产品。国家实行肥料产品登记管理制度，未经登记的肥料产品不得进口、生产、销售和使用，不得进行广告宣传。</w:t>
      </w:r>
    </w:p>
    <w:p>
      <w:pPr>
        <w:pStyle w:val="style179"/>
        <w:numPr>
          <w:ilvl w:val="0"/>
          <w:numId w:val="6"/>
        </w:numPr>
        <w:tabs>
          <w:tab w:val="left" w:leader="none" w:pos="709"/>
          <w:tab w:val="left" w:leader="none" w:pos="993"/>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《化肥使用环境安全技术导则》</w:t>
      </w:r>
      <w:r>
        <w:rPr>
          <w:rFonts w:ascii="Arial" w:cs="Arial" w:eastAsia="宋体" w:hAnsi="Arial"/>
          <w:kern w:val="0"/>
          <w:sz w:val="22"/>
        </w:rPr>
        <w:t>(</w:t>
      </w:r>
      <w:r>
        <w:rPr>
          <w:rFonts w:ascii="Arial" w:cs="Arial" w:eastAsia="宋体" w:hAnsi="Arial"/>
          <w:sz w:val="22"/>
        </w:rPr>
        <w:t>2010年</w:t>
      </w:r>
      <w:r>
        <w:rPr>
          <w:rFonts w:ascii="Arial" w:cs="Arial" w:eastAsia="宋体" w:hAnsi="Arial"/>
          <w:kern w:val="0"/>
          <w:sz w:val="22"/>
        </w:rPr>
        <w:t>)</w:t>
      </w:r>
      <w:r>
        <w:rPr>
          <w:rFonts w:ascii="Arial" w:cs="Arial" w:eastAsia="宋体" w:hAnsi="Arial"/>
          <w:sz w:val="22"/>
        </w:rPr>
        <w:t>：要求提高化肥利用率，从源头、田间管理、末端拦截三个环节控制化肥的流失，降低对环境的污染风险 。</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近年来，中国政府大力推进化肥减量行动，于2015年出台了《到2020年化肥使用量零增长行动方案》，针对化肥过量施用、盲目施用等问题，提出了推进测土配方施肥、改进施肥方式、推广高效缓释肥料、增加有机肥施用等行动计划。同年，广西和贵州两省分别发布了各自的《到2020年农药使用量零增长行动方案》。截至2020年，两个省均已连续五年实现了化肥使用量零增长。</w:t>
      </w:r>
    </w:p>
    <w:p>
      <w:pPr>
        <w:pStyle w:val="style179"/>
        <w:tabs>
          <w:tab w:val="left" w:leader="none" w:pos="851"/>
          <w:tab w:val="left" w:leader="none" w:pos="890"/>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化肥登记管理</w:t>
      </w:r>
      <w:r>
        <w:rPr>
          <w:rFonts w:ascii="Arial" w:cs="Arial" w:eastAsia="宋体" w:hAnsi="Arial"/>
          <w:sz w:val="22"/>
        </w:rPr>
        <w:t>：肥料生产者申请肥料登记前，须在中国境内进行规范的田间试验。登记申请由省级农业农村部门初审、国家农业农村部门审批。经登记的肥料产品，在登记有效期内（五年）改变使用范围、商品名称、企业名称的，应申请变更登记；改变成分、剂型的，应重新申请登记。化肥不属于危险化学品，因此生产和销售没有类似农药的许可证制度。</w:t>
      </w:r>
      <w:r>
        <w:rPr>
          <w:rFonts w:ascii="Arial" w:cs="Arial" w:eastAsia="宋体" w:hAnsi="Arial"/>
          <w:kern w:val="0"/>
          <w:sz w:val="22"/>
        </w:rPr>
        <w:t>化肥的经营销售已经市场化</w:t>
      </w:r>
      <w:r>
        <w:rPr>
          <w:rFonts w:ascii="Arial" w:cs="Arial" w:eastAsia="宋体" w:hAnsi="Arial"/>
          <w:sz w:val="22"/>
        </w:rPr>
        <w:t>，生产和经营企业自主进行购销活动；化肥的使用由农民自行负责。</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化肥品种选择</w:t>
      </w:r>
      <w:r>
        <w:rPr>
          <w:rFonts w:ascii="Arial" w:cs="Arial" w:eastAsia="宋体" w:hAnsi="Arial"/>
          <w:sz w:val="22"/>
        </w:rPr>
        <w:t xml:space="preserve">：根据土壤供肥性能、作物营养特性、肥料特性及生态环境特点，合理选择化肥品种，提倡配方施肥、复合肥料、缓释肥料、水溶性肥料等高效新型肥料。 </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化肥用量控制</w:t>
      </w:r>
      <w:r>
        <w:rPr>
          <w:rFonts w:ascii="Arial" w:cs="Arial" w:eastAsia="宋体" w:hAnsi="Arial"/>
          <w:sz w:val="22"/>
        </w:rPr>
        <w:t>：综合考虑作物种类、产量目标、土壤养分状况、环境敏感程度等，通过土壤测试确定化肥使用量。同时，通过有机肥、秸秆还田、绿肥、生物肥替代化肥，以及土壤改良提升地力等方式减少化肥用量。</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化肥施用方式</w:t>
      </w:r>
      <w:r>
        <w:rPr>
          <w:rFonts w:ascii="Arial" w:cs="Arial" w:eastAsia="宋体" w:hAnsi="Arial"/>
          <w:sz w:val="22"/>
        </w:rPr>
        <w:t>：推进机械施肥、水肥一体化、适期施肥技术来提高肥料效率。同时，采用合理的耕作方式、灌溉方式、轮作制度；拦截过滤农田排水并循环利用；在靠近饮用水水源保护区、强淋溶土壤、土壤侵蚀严重、地下水位较高等地区尽量少施或不施化肥，防止化肥流失和环境污染。</w:t>
      </w:r>
    </w:p>
    <w:p>
      <w:pPr>
        <w:pStyle w:val="style179"/>
        <w:tabs>
          <w:tab w:val="left" w:leader="none" w:pos="851"/>
          <w:tab w:val="left" w:leader="none" w:pos="890"/>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农业农村部门是肥料管理的行业主管部门。省级农业农村厅主要负责全省层面的规划和指导。县级以上农业农村部门负责本行政区域内的肥料监督管理工作，通过综合执法局对辖区内的肥料生产、经营和使用单位的肥料进行定期或不定期监督、检查，对质量不合格的产品要求限期改进，对质量连续不合格的产品，肥料登记证有效期满后不予续展，并通过县或乡镇农业推广站、土肥站、</w:t>
      </w:r>
      <w:r>
        <w:rPr>
          <w:rFonts w:ascii="Arial" w:cs="Arial" w:eastAsia="宋体" w:hAnsi="Arial"/>
          <w:kern w:val="0"/>
          <w:sz w:val="22"/>
        </w:rPr>
        <w:t>植保站、农民培训学校等机构对农户提供培训和技术指导</w:t>
      </w:r>
      <w:r>
        <w:rPr>
          <w:rFonts w:ascii="Arial" w:cs="Arial" w:eastAsia="宋体" w:hAnsi="Arial"/>
          <w:sz w:val="22"/>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在广西</w:t>
      </w:r>
      <w:r>
        <w:rPr>
          <w:rFonts w:ascii="Arial" w:cs="Arial" w:eastAsia="宋体" w:hAnsi="Arial"/>
          <w:sz w:val="22"/>
          <w:lang w:val="en-GB"/>
        </w:rPr>
        <w:t>平桂、罗城和</w:t>
      </w:r>
      <w:r>
        <w:rPr>
          <w:rFonts w:ascii="Arial" w:cs="Arial" w:eastAsia="宋体" w:hAnsi="Arial"/>
          <w:sz w:val="22"/>
        </w:rPr>
        <w:t>资源以及贵州施秉、息烽和三都，每个土肥站、植保站一般有工作人员2-5人，每年对农民培训20余次；县农校约有技术人员10名，每年组织农民培训10多次。</w:t>
      </w:r>
      <w:bookmarkStart w:id="450" w:name="_Toc66694843"/>
      <w:r>
        <w:rPr>
          <w:rFonts w:ascii="Arial" w:cs="Arial" w:eastAsia="宋体" w:hAnsi="Arial"/>
          <w:sz w:val="22"/>
        </w:rPr>
        <w:t>两省样本县的肥料管理机构和人员都比较齐备，能较好地指导农民合理使用肥料。近年来，两省大力推广测土配方施肥，</w:t>
      </w:r>
      <w:r>
        <w:rPr>
          <w:rFonts w:ascii="Arial" w:cs="Arial" w:eastAsia="宋体" w:hAnsi="Arial"/>
          <w:kern w:val="0"/>
          <w:sz w:val="22"/>
        </w:rPr>
        <w:t>增施有机肥、</w:t>
      </w:r>
      <w:r>
        <w:rPr>
          <w:rFonts w:ascii="Arial" w:cs="Arial" w:eastAsia="宋体" w:hAnsi="Arial"/>
          <w:sz w:val="22"/>
        </w:rPr>
        <w:t>绿肥、生物肥等替代化肥，促进耕地提质减肥，从而使化肥使用量连续五年实现负增长。调查中也发现，个别项目县现有施肥设备尚不够先进，因此施肥效率还不够高；另外，为了追求提高产量，还存在过量施肥的现象，农民对科学施肥的意识和知识还有待于加强，</w:t>
      </w:r>
      <w:r>
        <w:rPr>
          <w:rFonts w:ascii="Arial" w:cs="Arial" w:eastAsia="宋体" w:hAnsi="Arial"/>
          <w:kern w:val="0"/>
          <w:sz w:val="22"/>
        </w:rPr>
        <w:t>需要提供更多的培训</w:t>
      </w:r>
      <w:r>
        <w:rPr>
          <w:rFonts w:ascii="Arial" w:cs="Arial" w:eastAsia="宋体" w:hAnsi="Arial"/>
          <w:sz w:val="22"/>
        </w:rPr>
        <w:t>。</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(2)</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农药管理系统</w:t>
      </w:r>
    </w:p>
    <w:p>
      <w:pPr>
        <w:pStyle w:val="style179"/>
        <w:tabs>
          <w:tab w:val="left" w:leader="none" w:pos="750"/>
          <w:tab w:val="left" w:leader="none" w:pos="890"/>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《农药管理条例》</w:t>
      </w:r>
      <w:r>
        <w:rPr>
          <w:rFonts w:ascii="Arial" w:cs="Arial" w:eastAsia="宋体" w:hAnsi="Arial"/>
          <w:sz w:val="22"/>
        </w:rPr>
        <w:t>(2017年修订)：规定农药生产企业、农药经营者应当对其生产、 经营的农药的安全性、有效性负责，自觉接受政府监管和社会监督。推广生物防治、物理防治、先进施药器械等措施，逐步减少农药使用量。农药生产和研制实行农药登记制度，农药生产和经营实行许可制度，农药使用者按要求使用农药，农业农村部门定期调查统计农药生产、销售、使用情况。</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lang w:val="en-GB"/>
        </w:rPr>
        <w:t>《农作物病虫害防治条例》</w:t>
      </w:r>
      <w:r>
        <w:rPr>
          <w:rFonts w:ascii="Arial" w:cs="Arial" w:eastAsia="宋体" w:hAnsi="Arial"/>
          <w:sz w:val="22"/>
        </w:rPr>
        <w:t>(2020年修订)：普及应用信息技术、生物技术，推进农作物病虫害防治的智能化、专业化、绿色化。鼓励和支持使用生态治理、健康栽培、生物防治、物理防治等绿色防控技术和先进施药机械以及安全、高效、经济的农药。</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此外，在农药安全管理方面还有《农产品质量安全法》、《食品安全法》、《危险化学品管理条例》、《农药登记管理办法》、《农药生产许可管理办法》、《农药经营许可管理办法》等法律规章，以及《农药安全使用规范》、《农药使用环境安全技术导则》等技术规范。同时，农业农村部还定期更新《禁限用农药名录》，动态更新禁止使用和限制使用的农药。这些法律规章都直接或间接地对农药的安全管理提出了要求，构成了农药管理系统的法律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近年来，中国政府大力推进农药使用量零增长行动，于2015年制定了《到2020年农药使用量零增长行动方案》，针对农药使用量较大、施药方法不够科学带来的生产成本增加、农产品残留超标、作物药害、环境污染等问题，提出到2020年构建资源节约型、环境友好型病虫害可持续治理技术体系，实现农药使用总量零增长。同年，广西和贵州两省分别发布了各自的《到2020年农药使用量零增长行动实施方案》。截至2020年，两省均已连续五年实现了农药使用量负增长。</w:t>
      </w:r>
    </w:p>
    <w:p>
      <w:pPr>
        <w:pStyle w:val="style179"/>
        <w:tabs>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农药生产者管理</w:t>
      </w:r>
      <w:r>
        <w:rPr>
          <w:rFonts w:ascii="Arial" w:cs="Arial" w:eastAsia="宋体" w:hAnsi="Arial"/>
          <w:sz w:val="22"/>
        </w:rPr>
        <w:t>：农药生产者应申请农药登记证，载明农药名称、剂型、有效成分及其含量、毒性、使用范围、使用方法和剂量、登记证持有人、登记证号以及有效期等事项。农药生产者还应申请农药生产许可证。农药出厂销售，应当经质量检验合格并附具产品质量检验合格证；农药标签应按规定以中文标注农药的重要信息。农药生产企业应当建立农药出厂销售记录制度，并保存2年以上。农药包装应当符合国家有关规定，并回收农药包装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农药经营者管理</w:t>
      </w:r>
      <w:r>
        <w:rPr>
          <w:rFonts w:ascii="Arial" w:cs="Arial" w:eastAsia="宋体" w:hAnsi="Arial"/>
          <w:sz w:val="22"/>
        </w:rPr>
        <w:t>：农药经营者应取得经营许可证，具备有农学、植保、农药等相关专业中专以上学历或者专业教育培训机构五十六学时以上的学习经历；合适的营业场所和仓储设施；有进货查验、台账记录、安全管理、安全防护、应急处置、仓储管理、农药废弃物回收与处置、使用指导等管理制度和岗位操作规程等。农药经营者不得向未取得农药生产许可证的农药生产企业或者未取得农药经营许可证的其他农药经营者采购农药；不得加工、分装农药。农药经营者应向购买者正确说明农药的使用范围、方法、剂量、技术要求和注意事项；并应当回收农药包装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color w:val="000000"/>
          <w:sz w:val="22"/>
        </w:rPr>
      </w:pPr>
      <w:r>
        <w:rPr>
          <w:rFonts w:ascii="Arial" w:cs="Arial" w:eastAsia="宋体" w:hAnsi="Arial"/>
          <w:b/>
          <w:bCs/>
          <w:color w:val="000000"/>
          <w:sz w:val="22"/>
        </w:rPr>
        <w:tab/>
      </w:r>
      <w:r>
        <w:rPr>
          <w:rFonts w:ascii="Arial" w:cs="Arial" w:eastAsia="宋体" w:hAnsi="Arial"/>
          <w:b/>
          <w:bCs/>
          <w:color w:val="000000"/>
          <w:sz w:val="22"/>
        </w:rPr>
        <w:t>农药使用者管理</w:t>
      </w:r>
      <w:r>
        <w:rPr>
          <w:rFonts w:ascii="Arial" w:cs="Arial" w:eastAsia="宋体" w:hAnsi="Arial"/>
          <w:color w:val="000000"/>
          <w:sz w:val="22"/>
        </w:rPr>
        <w:tab/>
      </w:r>
      <w:r>
        <w:rPr>
          <w:rFonts w:ascii="Arial" w:cs="Arial" w:eastAsia="宋体" w:hAnsi="Arial"/>
          <w:color w:val="000000"/>
          <w:sz w:val="22"/>
        </w:rPr>
        <w:t>：农药使用者应当严格按照农药的标签标注的使用范围、使用方法和剂量、使用技术要求和注意事项使用农药，不得扩大使用范围、加大用药剂量或者改变使用方法。农药使用者不得使用禁用的农药；应保护环境和野生动植物，不得在饮用水水源保护区、河道内丢弃农药、农药包装物或者清洗施药器械，严禁在饮用水水源保护区内使用农药，并妥善收集农药包装物等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color w:val="333333"/>
          <w:sz w:val="22"/>
          <w:lang w:val="en-GB"/>
        </w:rPr>
      </w:pPr>
      <w:r>
        <w:rPr>
          <w:rFonts w:ascii="Arial" w:cs="Arial" w:eastAsia="宋体" w:hAnsi="Arial"/>
          <w:sz w:val="22"/>
        </w:rPr>
        <w:tab/>
      </w:r>
      <w:r>
        <w:rPr>
          <w:rFonts w:ascii="Arial" w:cs="Arial" w:eastAsia="宋体" w:hAnsi="Arial"/>
          <w:b/>
          <w:bCs/>
          <w:sz w:val="22"/>
        </w:rPr>
        <w:t>农药减量管理</w:t>
      </w:r>
      <w:r>
        <w:rPr>
          <w:rFonts w:ascii="Arial" w:cs="Arial" w:eastAsia="宋体" w:hAnsi="Arial"/>
          <w:sz w:val="22"/>
        </w:rPr>
        <w:t>：(1) 技术进步：如采用适合当地地形的先进施用器械提高附着率，或采用无人机植保作业提高农药利用率；(2) 推行高效低毒农药：农业农村部门推荐低毒低残留农药名录；(3) 绿色防控：包括农业防治（如翻耕等农艺措施）、理化诱控（如杀虫灯、色诱剂、食诱剂、性诱剂、防虫网、粘虫板）、生物防控（如蚜虫天敌瓢虫、微生物等生物农药）、科学用药技术（如不超范围施用农药、建立虫情监测体系）；(4) 完善组织模式：如统防统治、第三方专业服务；(5) 农药源头管控：县农业农村局（通过下辖的农业综合执法大队）对农药经营者的许可证、农药质量和安全进行监督检查，对农药使用者进行培训等。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业农村部门负责对农药的生产、经营和使用进行监督管理。农药登记证由省级农业农村部门预审、由国务院农业农村部门审查和核发；农药生产许可证由省级农业农村部门审批；农药经营许可证由县级以上农业农村部门审批。</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与种植业相关的病虫害绿色防治、农药减量与安全使用等工作，主管负责部门为县级农业农村局，内设不同股室分别管理种植、养殖、农产品质量安全、农田建设等综合管理。另外农业农村局下设的农业综合执法大队负责对农药经营者的许可证、农药质量和安全管理进行监督检查；农业</w:t>
      </w:r>
      <w:r>
        <w:rPr>
          <w:rFonts w:ascii="Arial" w:cs="Arial" w:eastAsia="宋体" w:hAnsi="Arial" w:hint="eastAsia"/>
          <w:sz w:val="22"/>
        </w:rPr>
        <w:t>机构</w:t>
      </w:r>
      <w:r>
        <w:rPr>
          <w:rFonts w:ascii="Arial" w:cs="Arial" w:eastAsia="宋体" w:hAnsi="Arial"/>
          <w:sz w:val="22"/>
        </w:rPr>
        <w:t>（如农业技术推广站、植保站、农培站等）负责向农药使用者提供技术服务和培训，包括农药安全使用方面的培训。</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通过对广西</w:t>
      </w:r>
      <w:r>
        <w:rPr>
          <w:rFonts w:ascii="Arial" w:cs="Arial" w:eastAsia="宋体" w:hAnsi="Arial"/>
          <w:sz w:val="22"/>
          <w:lang w:val="en-GB"/>
        </w:rPr>
        <w:t>平桂、罗城和</w:t>
      </w:r>
      <w:r>
        <w:rPr>
          <w:rFonts w:ascii="Arial" w:cs="Arial" w:eastAsia="宋体" w:hAnsi="Arial"/>
          <w:sz w:val="22"/>
        </w:rPr>
        <w:t>资源以及贵州施秉、息烽和三都等样本区县的调查，这些区县的农业农村局均具有健全的农药管理机构和人员配备，有充足的政府预算保障。例如贵州省息烽和三都县农业农村局的植保植检科分别配有3-5名工作人员，负责种植业及农药管理，每月开展1次定期检查，每年开展3次专项检查；农业综合执法大队配备20名左右的工作人员负责日常监督检查。</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根据贵州省施秉县2021年农药减量工作报告，全县农药用量比上一年减少8.8%。加大了病虫害监测和预警力度，全年发布病虫情报26期，准确率90%以上；建立5个绿色防控区，重点在水稻、马铃薯和果树产区开展生态调控、理化诱控、生物防控；开展多种形式的培训，对农药使用者提供科学指导；利用无人机、新型施药机械等植保机械，并开展施药效果评价；利用赶集日到各乡镇农药经营店进行检查，未发现公开使用、销售禁限用农药情况。</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可以看出，广西和贵州两省在病虫害绿色防治和农药安全管理上具备适当的机构设置、人员安排和资金保障，取得的实效也比较显著，可以为本项目活动相关的农药安全使用管理提供机构保障。调查中也发现了普遍存在的问题，农民科学文化水平低、防治病虫害意识低，因此简单易用的化学防治仍然是农作物病虫害防治的主要手段，还需要政府持续鼓励和引导。</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(3)</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农业废弃物管理系统</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本项目支持的绿色种植业发展，会涉及农膜、农药和化肥包装物、秸秆等农业废弃物。中国已制定了相应的管理系统应对这些废弃物。</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《秸秆禁烧和综合利用管理办法》</w:t>
      </w:r>
      <w:r>
        <w:rPr>
          <w:rFonts w:ascii="Arial" w:cs="Arial" w:eastAsia="宋体" w:hAnsi="Arial"/>
          <w:sz w:val="22"/>
        </w:rPr>
        <w:t>(1999年)：人口集中、重要交通设施、自然保护区等地区划定秸秆焚烧区域；禁烧区以乡、镇为单位落实秸秆禁烧工作；鼓励秸秆综合利用。</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《农用薄膜管理办法》</w:t>
      </w:r>
      <w:r>
        <w:rPr>
          <w:rFonts w:ascii="Arial" w:cs="Arial" w:eastAsia="宋体" w:hAnsi="Arial"/>
          <w:sz w:val="22"/>
        </w:rPr>
        <w:t>(2020年)：农膜生产者应当建立农膜出厂销售记录；农膜销售者应当建立销售台账；农业生产企业、农民专业合作社等使用者应当建立农膜使用记录；农膜回收网点和回收再利用企业应当依法建立回收台账；农膜使用者应当在使用期限到期前捡拾田间的非全生物降解农膜废弃物，交至回收网点或回收工作者，不得随意弃置、掩埋或者焚烧。</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《农药包装废弃物回收处理管理办法》</w:t>
      </w:r>
      <w:r>
        <w:rPr>
          <w:rFonts w:ascii="Arial" w:cs="Arial" w:eastAsia="宋体" w:hAnsi="Arial"/>
          <w:sz w:val="22"/>
        </w:rPr>
        <w:t>(2020年)：要求农药生产者、经营者按照“谁生产、经营，谁回收”的原则，履行相应的农药包装废弃物回收义务，并采取有效措施，引导农药使用者及时交回农药包装废弃物。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《关于肥料包装废弃物回收处理的指导意见》</w:t>
      </w:r>
      <w:r>
        <w:rPr>
          <w:rFonts w:ascii="Arial" w:cs="Arial" w:eastAsia="宋体" w:hAnsi="Arial"/>
          <w:sz w:val="22"/>
        </w:rPr>
        <w:t>(2020年)：与农药包装废弃物回收处理等工作统筹考虑、协同推进；实行分类处置；落实生产者、销售者、使用者收集回收义务，执行“谁生产、谁回收，谁销售、谁回收，谁使用、谁回收”的原则。</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《国家危险废物名录》</w:t>
      </w:r>
      <w:r>
        <w:rPr>
          <w:rFonts w:ascii="Arial" w:cs="Arial" w:eastAsia="宋体" w:hAnsi="Arial"/>
          <w:sz w:val="22"/>
        </w:rPr>
        <w:t>(2021 年版)：农药使用后被废弃的与农药直接接触或含有农药残余物的包装物，按危险废物管理，除非依据《农药包装废弃物回收处理管理办法》（以下简称“管理办法”）收集并转移到所设定的集中贮存点，收集过程不按危险废物管理；满足“管理办法”中的运输要求，不按危险废物进行运输；进入依据“管理办法”确定的资源化利用单位进行资源化利用，利用过程不按危险废物管理；进入生活垃圾填埋场填埋或进入生活垃圾焚烧厂焚烧，处置过程不按危险废物管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《“十四五”全国农业绿色发展规划》</w:t>
      </w:r>
      <w:r>
        <w:rPr>
          <w:rFonts w:ascii="Arial" w:cs="Arial" w:eastAsia="宋体" w:hAnsi="Arial"/>
          <w:sz w:val="22"/>
        </w:rPr>
        <w:t>(2019):</w:t>
      </w:r>
      <w:r>
        <w:rPr>
          <w:rFonts w:ascii="Arial" w:cs="Arial" w:eastAsia="宋体" w:hAnsi="Arial"/>
        </w:rPr>
        <w:t xml:space="preserve"> </w:t>
      </w:r>
      <w:r>
        <w:rPr>
          <w:rFonts w:ascii="Arial" w:cs="Arial" w:eastAsia="宋体" w:hAnsi="Arial"/>
          <w:sz w:val="22"/>
        </w:rPr>
        <w:t>推进秸秆肥料化、 饲料化、燃料化、基料化和原料化利用，严格禁烧管控，防止秸秆焚烧带来区域性大气污染。</w:t>
      </w:r>
    </w:p>
    <w:p>
      <w:pPr>
        <w:pStyle w:val="style179"/>
        <w:numPr>
          <w:ilvl w:val="0"/>
          <w:numId w:val="6"/>
        </w:numPr>
        <w:tabs>
          <w:tab w:val="left" w:leader="none" w:pos="851"/>
          <w:tab w:val="left" w:leader="none" w:pos="993"/>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贵州</w:t>
      </w:r>
      <w:r>
        <w:rPr>
          <w:rFonts w:ascii="Arial" w:cs="Arial" w:eastAsia="宋体" w:hAnsi="Arial"/>
          <w:sz w:val="22"/>
        </w:rPr>
        <w:t>制定了相应的地方规章和实施细则，如《关于进一步加强塑料污染治理的实施方案》(2020年)、《贵州省农药包装废弃物回收处理指导意见》(2021年)；</w:t>
      </w:r>
      <w:r>
        <w:rPr>
          <w:rFonts w:ascii="Arial" w:cs="Arial" w:eastAsia="宋体" w:hAnsi="Arial"/>
          <w:b/>
          <w:bCs/>
          <w:sz w:val="22"/>
        </w:rPr>
        <w:t>广西</w:t>
      </w:r>
      <w:r>
        <w:rPr>
          <w:rFonts w:ascii="Arial" w:cs="Arial" w:eastAsia="宋体" w:hAnsi="Arial"/>
          <w:sz w:val="22"/>
        </w:rPr>
        <w:t>也制定了相应的地方规章，如《广西农用薄膜管理办法》(2020年)、《关于农药包装废弃物回收处理的指导意见》(2020年) 、《关于进一步加强农作物秸秆综合利用工作的通知》</w:t>
      </w:r>
      <w:r>
        <w:rPr>
          <w:rFonts w:ascii="Arial" w:cs="Arial" w:eastAsia="宋体" w:hAnsi="Arial"/>
          <w:sz w:val="22"/>
          <w:lang w:val="en-GB"/>
        </w:rPr>
        <w:t>(</w:t>
      </w:r>
      <w:r>
        <w:rPr>
          <w:rFonts w:ascii="Arial" w:cs="Arial" w:eastAsia="宋体" w:hAnsi="Arial"/>
          <w:sz w:val="22"/>
        </w:rPr>
        <w:t>2019)、《秸秆禁烧管理暂行办法》</w:t>
      </w:r>
      <w:r>
        <w:rPr>
          <w:rFonts w:ascii="Arial" w:cs="Arial" w:eastAsia="宋体" w:hAnsi="Arial"/>
          <w:sz w:val="22"/>
          <w:lang w:val="en-GB"/>
        </w:rPr>
        <w:t>(</w:t>
      </w:r>
      <w:r>
        <w:rPr>
          <w:rFonts w:ascii="Arial" w:cs="Arial" w:eastAsia="宋体" w:hAnsi="Arial"/>
          <w:sz w:val="22"/>
        </w:rPr>
        <w:t>2020)等。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851"/>
          <w:tab w:val="left" w:leader="none" w:pos="993"/>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rPr>
        <w:t>秸秆</w:t>
      </w:r>
      <w:r>
        <w:rPr>
          <w:rFonts w:ascii="Arial" w:cs="Arial" w:eastAsia="宋体" w:hAnsi="Arial"/>
          <w:sz w:val="22"/>
        </w:rPr>
        <w:t>：</w:t>
      </w:r>
      <w:r>
        <w:rPr>
          <w:rFonts w:ascii="Arial" w:cs="Arial" w:eastAsia="宋体" w:hAnsi="Arial"/>
          <w:sz w:val="22"/>
          <w:lang w:val="en-GB"/>
        </w:rPr>
        <w:t>(1) 禁烧管理：</w:t>
      </w:r>
      <w:r>
        <w:rPr>
          <w:rFonts w:ascii="Arial" w:cs="Arial" w:eastAsia="宋体" w:hAnsi="Arial"/>
          <w:sz w:val="22"/>
        </w:rPr>
        <w:t>划定禁烧区</w:t>
      </w:r>
      <w:r>
        <w:rPr>
          <w:rFonts w:ascii="Arial" w:cs="Arial" w:eastAsia="宋体" w:hAnsi="Arial"/>
          <w:sz w:val="22"/>
          <w:lang w:val="en-GB"/>
        </w:rPr>
        <w:t xml:space="preserve">、开展火点监控、实施火灾预警和应对；(2) 肥料化利用：结合腐熟还田、堆沤还田、生物反应堆、秸秆有机肥生产等提高秸秆肥料化利用率；(3) 饲料化利用；秸秆青贮、氨化、微贮、颗粒饲料等发展；(4) 能源化利用：推广秸秆生物气化、热解气化、固化成型、炭化、直燃发电、生物质能利用；(5) </w:t>
      </w:r>
      <w:r>
        <w:rPr>
          <w:rFonts w:ascii="Arial" w:cs="Arial" w:eastAsia="宋体" w:hAnsi="Arial"/>
          <w:sz w:val="22"/>
        </w:rPr>
        <w:t>基料化利用</w:t>
      </w:r>
      <w:r>
        <w:rPr>
          <w:rFonts w:ascii="Arial" w:cs="Arial" w:eastAsia="宋体" w:hAnsi="Arial"/>
          <w:sz w:val="22"/>
          <w:lang w:val="en-GB"/>
        </w:rPr>
        <w:t>：发展以秸秆为基料的食用菌生产，利用生化处理技术生产育苗基质、栽培基质；(6) 原料化利用：以秸秆为原料生产非木浆纸、木糖醇、包装材料、降解膜、餐具、人造板材、复合材料、编织产品等</w:t>
      </w:r>
      <w:r>
        <w:rPr>
          <w:rFonts w:ascii="Arial" w:cs="Arial" w:eastAsia="宋体" w:hAnsi="Arial"/>
          <w:sz w:val="22"/>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ab/>
      </w:r>
      <w:r>
        <w:rPr>
          <w:rFonts w:ascii="Arial" w:cs="Arial" w:eastAsia="宋体" w:hAnsi="Arial"/>
          <w:b/>
          <w:bCs/>
          <w:sz w:val="22"/>
        </w:rPr>
        <w:t>农膜</w:t>
      </w:r>
      <w:r>
        <w:rPr>
          <w:rFonts w:ascii="Arial" w:cs="Arial" w:eastAsia="宋体" w:hAnsi="Arial"/>
          <w:sz w:val="22"/>
        </w:rPr>
        <w:t>：应该由农户和农业经营主体捡拾离田、村级设置收集网点、乡镇或回收企业负责回收利用，政府为此提供支持。农膜使用者应建立使用台账，农膜回收网点和回收再利用企业建立回收台账。农膜管理主要措施包括：</w:t>
      </w:r>
      <w:r>
        <w:rPr>
          <w:rFonts w:ascii="Arial" w:cs="Arial" w:eastAsia="宋体" w:hAnsi="Arial"/>
          <w:sz w:val="22"/>
          <w:lang w:val="en-GB"/>
        </w:rPr>
        <w:t xml:space="preserve">(1) </w:t>
      </w:r>
      <w:r>
        <w:rPr>
          <w:rFonts w:ascii="Arial" w:cs="Arial" w:eastAsia="宋体" w:hAnsi="Arial"/>
          <w:sz w:val="22"/>
        </w:rPr>
        <w:t>地膜覆盖减量化：推进地膜覆盖技术合理应用，加强倒茬轮作制度探索，示范推广一膜多用、行间覆盖等技术；</w:t>
      </w:r>
      <w:r>
        <w:rPr>
          <w:rFonts w:ascii="Arial" w:cs="Arial" w:eastAsia="宋体" w:hAnsi="Arial"/>
          <w:sz w:val="22"/>
          <w:lang w:val="en-GB"/>
        </w:rPr>
        <w:t xml:space="preserve">(2) </w:t>
      </w:r>
      <w:r>
        <w:rPr>
          <w:rFonts w:ascii="Arial" w:cs="Arial" w:eastAsia="宋体" w:hAnsi="Arial"/>
          <w:sz w:val="22"/>
        </w:rPr>
        <w:t>地膜产品标准化：出台和执行地膜地方标准，推进0.01mm以上加厚地膜应用；</w:t>
      </w:r>
      <w:r>
        <w:rPr>
          <w:rFonts w:ascii="Arial" w:cs="Arial" w:eastAsia="宋体" w:hAnsi="Arial"/>
          <w:sz w:val="22"/>
          <w:lang w:val="en-GB"/>
        </w:rPr>
        <w:t xml:space="preserve">(3) </w:t>
      </w:r>
      <w:r>
        <w:rPr>
          <w:rFonts w:ascii="Arial" w:cs="Arial" w:eastAsia="宋体" w:hAnsi="Arial"/>
          <w:sz w:val="22"/>
        </w:rPr>
        <w:t>地膜捡拾机械化：加强地膜回收机具研发和技术集成；</w:t>
      </w:r>
      <w:r>
        <w:rPr>
          <w:rFonts w:ascii="Arial" w:cs="Arial" w:eastAsia="宋体" w:hAnsi="Arial"/>
          <w:sz w:val="22"/>
          <w:lang w:val="en-GB"/>
        </w:rPr>
        <w:t xml:space="preserve">(4) </w:t>
      </w:r>
      <w:r>
        <w:rPr>
          <w:rFonts w:ascii="Arial" w:cs="Arial" w:eastAsia="宋体" w:hAnsi="Arial"/>
          <w:sz w:val="22"/>
        </w:rPr>
        <w:t>地膜回收专业化：扶持地膜回收加工社会化服务组织和企业，形成回收加工体系。</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color w:val="000000"/>
          <w:sz w:val="22"/>
        </w:rPr>
      </w:pPr>
      <w:r>
        <w:rPr>
          <w:rFonts w:ascii="Arial" w:cs="Arial" w:eastAsia="宋体" w:hAnsi="Arial"/>
          <w:color w:val="000000"/>
          <w:sz w:val="22"/>
        </w:rPr>
        <w:tab/>
      </w:r>
      <w:r>
        <w:rPr>
          <w:rFonts w:ascii="Arial" w:cs="Arial" w:eastAsia="宋体" w:hAnsi="Arial"/>
          <w:b/>
          <w:bCs/>
          <w:color w:val="000000"/>
          <w:sz w:val="22"/>
        </w:rPr>
        <w:t>农药包装废弃物</w:t>
      </w:r>
      <w:r>
        <w:rPr>
          <w:rFonts w:ascii="Arial" w:cs="Arial" w:eastAsia="宋体" w:hAnsi="Arial"/>
          <w:color w:val="000000"/>
          <w:sz w:val="22"/>
        </w:rPr>
        <w:t>：按最新的危险废物名录规定，农药包装废弃物在满足国家豁免条件的情况下不再作为危险废物进行收集、运输和处理，但需要通过以下机制进行妥善管理：(1) 回收处理范围：农药使用后被废弃的与农药直接接触或含有农药残余物的包装物，包括瓶、罐、桶、袋等。(2) 回收处理主体：农药生产者、经营者和使用者是农药包装废弃物回收处理的主体；农药生产者、经营者应设置农药包装废弃物回收装置，不得拒收其生产、销售农药的包装废弃物，并采取有效措施，引导农药使用者及时交回农药包装废弃物；农药使用者应当及时收集农药包装废弃物并交回农药经营者或农药包装废弃物回收站点，不得随意丢弃。(3) 收集贮存运输处理方式：回收站点布局要做到农药生产企业、农药经营门店、规模化种植基地、农业园区、农药使用大户、合作社及行政村组全覆盖；原则上要在每个行政村组建立1个农药包装废弃物暂存点，每个乡镇建立1个农药包装废弃物转运点，每个县建立1个农药包装废弃物集中存放点；利用农村垃圾回收处置体系定期转运；鼓励和支持对农药包装废弃物进行资源化利用（如垃圾发电、制造下水道井盖和地下管道），资源化利用以外的，依法依规进行填埋、焚烧等无害化处理。(4) 回收处理费用：由相应的农药生产者和经营者承担；农药生产者、经营者不明确的，处理费用由所在地县级人民政府财政列支。(5) 源头减量：鼓励农药生产者使用易资源化利用和易处置包装物、水溶性高分子包装物或者在环境中可降解的包装物，逐步淘汰铝箔包装物，鼓励使用便于回收的大容量包装物。(6) 社会化服务：鼓励和支持行业协会在农药包装废弃物回收处理中发挥组织协调、技术指导、提供服务等作用，鼓励和扶持专业化服务机构开展农药包装废弃物回收处理。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肥料包装废弃物</w:t>
      </w:r>
      <w:r>
        <w:rPr>
          <w:rFonts w:ascii="Arial" w:cs="Arial" w:eastAsia="宋体" w:hAnsi="Arial"/>
          <w:sz w:val="22"/>
        </w:rPr>
        <w:t>：可以通过以下机制进行综合管理：(1) 回收处理范围：包括化学肥料、有机肥料、微生物肥料、水溶肥料、土壤调理剂等肥料包装废弃物。 (2) 回收处理主体：肥料生产者、销售者和使用者是肥料包装废弃物回收的主体；肥料生产者、销售者在其生产和经营场所设立肥料包装废弃物回收装置；鼓励农业生产服务组织、供销合作社、再生资源企业等开展肥料包装废弃物回收。 (3) 回收处理方式：有再利用价值的肥料包装废弃物，由使用者收集、市场主体回收、企业循环利用；无再利用价值的可纳入农村垃圾收集与处置系统或农药包装废弃物回收处理体系。 (4) 源头减量：鼓励肥料生产企业使用易资源化利用、易处置、大容量包装物。 (5) 发展统配统施：推行肥料统配统施社会化服务；为规模经营主体提供大规格包装肥料产品；开展集中连片施肥作业服务等。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县级以上农业农村部门负责牵头监管农膜、农药和化肥包装废弃物、秸秆等农业废弃物的回收及综合利用，并指导回收利用体系的建设；县级以上生态环境部门负责废弃农用塑料回收处理活动以及秸秆焚烧环境污染防治的监管。各县农业农村局通过植保站或农村服务中心等机构（1-4人），对农用塑料回收和秸秆综合利用情况进行现场勘查，核查回收档案，开展回收宣传教育活动，组织建设收集、贮存和利用设施及运营体系。各县生态环境部门则通过污染防治股（2-5人）或环境执法大队（10人左右）对相关活动中的环境保护和污染防治进行监管。</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sz w:val="22"/>
          <w:lang w:val="en-GB"/>
        </w:rPr>
        <w:t>针对秸秆禁烧，广西生态环境部门利用六颗监测卫星覆盖每个村，在禁烧区安装了视频接收系统，时时掌握监测结果；同时建立了网格员制度，每个村安排1-2名网格员及时了解当地秸秆禁烧情况。对于监测发现的秸秆禁烧行为，生态环境、公安、农业农村、地方政府等联合监管，对责任人实施罚款、通过媒体公开、扣除作物补助、不收购其农产品等惩罚措施。秸秆禁烧管理成果比较明显，重污染天气明显减少。在</w:t>
      </w:r>
      <w:r>
        <w:rPr>
          <w:rFonts w:ascii="Arial" w:cs="Arial" w:eastAsia="宋体" w:hAnsi="Arial"/>
          <w:sz w:val="22"/>
        </w:rPr>
        <w:t>综合利用方面，秸秆还田是主要的利用方式，广西和贵州两省的秸秆综合利用率都达到了85%以上。</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近年来，广西和贵州两省的项目县都普遍开展了农膜回收工作。根据对贵州省施秉县的调查了解到，县农业农村局2021年开展了比较全面的农膜使用及回收监督管理工作，包括：</w:t>
      </w:r>
      <w:r>
        <w:rPr>
          <w:rFonts w:ascii="Arial" w:cs="Arial" w:eastAsia="宋体" w:hAnsi="Arial"/>
          <w:sz w:val="22"/>
          <w:lang w:val="en-GB"/>
        </w:rPr>
        <w:t>(</w:t>
      </w:r>
      <w:r>
        <w:rPr>
          <w:rFonts w:ascii="Arial" w:cs="Arial" w:eastAsia="宋体" w:hAnsi="Arial"/>
          <w:sz w:val="22"/>
        </w:rPr>
        <w:t>1) 印发宣传单、设立咨询台、悬挂横幅标语、召开培训会议等，按照“谁使用、谁回收”的原则，引导群众自觉捡拾、收集、定点堆放废旧农膜。(2) 提供技术培训和指导服务，引导农户和合作社正确使用和回收地膜。</w:t>
      </w:r>
      <w:r>
        <w:rPr>
          <w:rFonts w:ascii="Arial" w:cs="Arial" w:eastAsia="宋体" w:hAnsi="Arial"/>
          <w:bCs/>
          <w:sz w:val="22"/>
        </w:rPr>
        <w:t>(3) 对农膜销售、使用和回收情况开展检查，覆盖8个乡镇、32户农资店、13户种植大户、11户种植专业合作社。该县种植业平均每亩地膜使用量约6公斤</w:t>
      </w:r>
      <w:r>
        <w:rPr>
          <w:rFonts w:ascii="Arial" w:cs="Arial" w:eastAsia="宋体" w:hAnsi="Arial"/>
          <w:sz w:val="22"/>
        </w:rPr>
        <w:t>，回收的农膜通过农村垃圾收集系统进行处理。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中国对农药包装废物的管理尚处于启动阶段。许多省、市、县已制定了相应的实施方案，基层收集贮存处理设施及运行管理体系也在逐步建设中。以贵州省施秉县为例，农业农村局牵头成立了由县植保站、农推站、土肥站、执法队及乡镇农业服务中心组成的领导小组；制定了农药包装废物回收处置实施方案并下发到各乡镇。2021年开展了专题培训22期、培训1200人、印发宣传资料4380份、张贴宣传标语300多份；目前全县已建完县级存放点1个、乡镇转运点8个、村级暂存点96个、农药经营门店回收点61个、种植基地回收点21个；每个村选用1-2名保洁员作为农药包装废弃物专职回收员，并委托第三方环保公司进行填埋或焚烧分类处置。另外，在贵州省息烽县现场考察中发现，大型种植企业能够做到有序收集农药包装废弃物，建有专门的贮存间，记录完善的台账，并定期送回农药销售方。</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其他废弃农用塑料如肥料包装废弃物，一般通过农民自用或由经销商、废品收购站回收，回收后会作为资源再利用，如生产</w:t>
      </w:r>
      <w:r>
        <w:rPr>
          <w:rFonts w:ascii="Arial" w:cs="Arial" w:eastAsia="宋体" w:hAnsi="Arial"/>
          <w:sz w:val="22"/>
          <w:lang w:val="en-GB"/>
        </w:rPr>
        <w:t>塑料颗粒</w:t>
      </w:r>
      <w:r>
        <w:rPr>
          <w:rFonts w:ascii="Arial" w:cs="Arial" w:eastAsia="宋体" w:hAnsi="Arial"/>
          <w:sz w:val="22"/>
        </w:rPr>
        <w:t>；不能回收的则进入农村生活垃圾系统进行处置。在对贵州</w:t>
      </w:r>
      <w:r>
        <w:rPr>
          <w:rFonts w:ascii="Arial" w:cs="Arial" w:eastAsia="宋体" w:hAnsi="Arial"/>
          <w:sz w:val="22"/>
          <w:lang w:val="en-GB"/>
        </w:rPr>
        <w:t>一家塑料颗粒厂的现场考察中发现，进场原料中多以农膜和塑料包装袋为主，经过粉碎、清洗、热熔等工序生产塑料颗粒，该厂已按要求取得排污许可证，清洗废水循环利用不外排，主要污染物为有机废气，已在当地生态环境部门监管之下。</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通过对广西和贵州两省一些样本县的考察了解到，县级农业农村局都具备完整的机构设置和人员配备开展农用塑料废弃物和秸秆管理，生态环境部门也在逐步加强相应的污染防治监督。存在的主要问题是山地地区农膜机械化回收程度低，农民关于农用塑料污染和回收意识</w:t>
      </w:r>
      <w:r>
        <w:rPr>
          <w:rFonts w:ascii="Arial" w:cs="Arial" w:eastAsia="宋体" w:hAnsi="Arial"/>
          <w:sz w:val="22"/>
          <w:lang w:val="en-GB"/>
        </w:rPr>
        <w:t>有待提高等。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(4)</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畜禽粪污管理系统</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本项目不包括新建、改建、扩建畜禽养殖场活动，仅针对现有畜禽养殖场支持其完善畜禽粪污治理和利用设施，以促进畜禽养殖污染治理和资源综合利用。</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《畜牧法》</w:t>
      </w:r>
      <w:r>
        <w:rPr>
          <w:rFonts w:ascii="Arial" w:cs="Arial" w:eastAsia="宋体" w:hAnsi="Arial"/>
          <w:sz w:val="22"/>
          <w:lang w:val="en-GB"/>
        </w:rPr>
        <w:t>(</w:t>
      </w:r>
      <w:r>
        <w:rPr>
          <w:rFonts w:ascii="Arial" w:cs="Arial" w:eastAsia="宋体" w:hAnsi="Arial"/>
          <w:sz w:val="22"/>
        </w:rPr>
        <w:t>2015年)：畜禽养殖场、养殖小区应当有对畜禽粪便、废水和其他废弃物进行综合利用的无害化处理设施；违法排放废弃物，造成环境污染危害的，应当排除危害，依法赔偿损失。</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《畜禽规模化养殖污染防治条例》</w:t>
      </w:r>
      <w:r>
        <w:rPr>
          <w:rFonts w:ascii="Arial" w:cs="Arial" w:eastAsia="宋体" w:hAnsi="Arial"/>
          <w:sz w:val="22"/>
          <w:lang w:val="en-GB"/>
        </w:rPr>
        <w:t>(</w:t>
      </w:r>
      <w:r>
        <w:rPr>
          <w:rFonts w:ascii="Arial" w:cs="Arial" w:eastAsia="宋体" w:hAnsi="Arial"/>
          <w:sz w:val="22"/>
        </w:rPr>
        <w:t>2013年)：畜牧业发展规划应当统筹考虑环境承载能力以及畜禽养殖污染防治要求，科学确定畜禽养殖的品种、规模、总量。鼓励和支持采取粪肥还田、制取沼气、制造有机肥等方法，对畜禽养殖废弃物进行综合利用。</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《畜禽养殖业污染防治技术政策》</w:t>
      </w:r>
      <w:r>
        <w:rPr>
          <w:rFonts w:ascii="Arial" w:cs="Arial" w:eastAsia="宋体" w:hAnsi="Arial"/>
          <w:sz w:val="22"/>
          <w:lang w:val="en-GB"/>
        </w:rPr>
        <w:t>(</w:t>
      </w:r>
      <w:r>
        <w:rPr>
          <w:rFonts w:ascii="Arial" w:cs="Arial" w:eastAsia="宋体" w:hAnsi="Arial"/>
          <w:sz w:val="22"/>
        </w:rPr>
        <w:t>2010年)：规定了畜禽粪污治理“源头削减、清洁生产、资源化综合利用，防止二次污染”的总体原则。</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《畜禽粪便无害化处理技术规范》</w:t>
      </w:r>
      <w:r>
        <w:rPr>
          <w:rFonts w:ascii="Arial" w:cs="Arial" w:eastAsia="宋体" w:hAnsi="Arial"/>
          <w:sz w:val="22"/>
        </w:rPr>
        <w:t>(GBT36195-2018)：规定了畜禽养殖场、养殖小区场区布局、粪便贮存、污水处理、固体粪肥处理利用、饲养管理、病死动物处理、污染物监测等技术要求。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《病死及病害动物无害化处理技术规范》</w:t>
      </w:r>
      <w:r>
        <w:rPr>
          <w:rFonts w:ascii="Arial" w:cs="Arial" w:eastAsia="宋体" w:hAnsi="Arial"/>
          <w:sz w:val="22"/>
          <w:lang w:val="en-GB"/>
        </w:rPr>
        <w:t>(</w:t>
      </w:r>
      <w:r>
        <w:rPr>
          <w:rFonts w:ascii="Arial" w:cs="Arial" w:eastAsia="宋体" w:hAnsi="Arial"/>
          <w:sz w:val="22"/>
        </w:rPr>
        <w:t>2017年)：要求采用物理、化学等方法处理病死及病害动物和相关产品，消灭病原体危害。</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sz w:val="22"/>
        </w:rPr>
        <w:tab/>
      </w:r>
      <w:r>
        <w:rPr>
          <w:rFonts w:ascii="Arial" w:cs="Arial" w:eastAsia="宋体" w:hAnsi="Arial"/>
          <w:sz w:val="22"/>
        </w:rPr>
        <w:t>中国还出台了其他相关的技术规范和标准，如《畜禽粪便还田技术规范》(GBT25246-2010)、《畜禽污染物排放标准》(GB18596-2001)、《畜禽粪污土地承载力测算技术指南》等，对畜禽粪便处理设施和资源化利用提供了全面的技术指南。</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广西壮族自治区制定了一系列相关的地方规章，如《广西深入推进畜禽粪污治理和资源化利用实施方案》(2018年)、《广西畜禽养殖废弃物资源化利用工作考核办法》(2018年)等；贵州省也制定了相应的政府规章，如《贵州省畜禽养殖废弃物资源化利用工作考核办法（试行）》(2018年)、《贵州省畜禽养殖废弃物资源化利用工作方案》(2017年)等</w:t>
      </w:r>
      <w:r>
        <w:rPr>
          <w:rFonts w:ascii="Arial" w:cs="Arial" w:eastAsia="宋体" w:hAnsi="Arial"/>
          <w:sz w:val="22"/>
          <w:lang w:val="en-GB"/>
        </w:rPr>
        <w:t>。</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污染预防</w:t>
      </w:r>
      <w:r>
        <w:rPr>
          <w:rFonts w:ascii="Arial" w:cs="Arial" w:eastAsia="宋体" w:hAnsi="Arial"/>
          <w:sz w:val="22"/>
        </w:rPr>
        <w:t>：</w:t>
      </w:r>
      <w:r>
        <w:rPr>
          <w:rFonts w:ascii="Arial" w:cs="Arial" w:eastAsia="宋体" w:hAnsi="Arial"/>
          <w:sz w:val="22"/>
          <w:lang w:val="en-GB"/>
        </w:rPr>
        <w:t xml:space="preserve">(1) </w:t>
      </w:r>
      <w:r>
        <w:rPr>
          <w:rFonts w:ascii="Arial" w:cs="Arial" w:eastAsia="宋体" w:hAnsi="Arial"/>
          <w:sz w:val="22"/>
        </w:rPr>
        <w:t>编制当地畜禽养殖污染防治规划；</w:t>
      </w:r>
      <w:r>
        <w:rPr>
          <w:rFonts w:ascii="Arial" w:cs="Arial" w:eastAsia="宋体" w:hAnsi="Arial"/>
          <w:sz w:val="22"/>
          <w:lang w:val="en-GB"/>
        </w:rPr>
        <w:t>(2) 划分禁建区，</w:t>
      </w:r>
      <w:r>
        <w:rPr>
          <w:rFonts w:ascii="Arial" w:cs="Arial" w:eastAsia="宋体" w:hAnsi="Arial"/>
          <w:sz w:val="22"/>
        </w:rPr>
        <w:t>禁止在生活饮用水的水源保护区，风景名胜区，自然保护区的核心区和缓冲区，城镇居民区、文化教育科学研究区等人口集中区域建设畜禽养殖场、养殖小区和粪污处理设施；</w:t>
      </w:r>
      <w:r>
        <w:rPr>
          <w:rFonts w:ascii="Arial" w:cs="Arial" w:eastAsia="宋体" w:hAnsi="Arial"/>
          <w:sz w:val="22"/>
          <w:lang w:val="en-GB"/>
        </w:rPr>
        <w:t xml:space="preserve">(3) </w:t>
      </w:r>
      <w:r>
        <w:rPr>
          <w:rFonts w:ascii="Arial" w:cs="Arial" w:eastAsia="宋体" w:hAnsi="Arial"/>
          <w:sz w:val="22"/>
        </w:rPr>
        <w:t>新改扩建畜禽养殖场、养殖小区以及粪污处理设施，应符合相关规划要求并进行环境影响评价</w:t>
      </w:r>
      <w:r>
        <w:rPr>
          <w:rFonts w:ascii="Arial" w:cs="Arial" w:eastAsia="宋体" w:hAnsi="Arial"/>
          <w:sz w:val="22"/>
          <w:lang w:val="en-GB"/>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污染治理</w:t>
      </w:r>
      <w:r>
        <w:rPr>
          <w:rFonts w:ascii="Arial" w:cs="Arial" w:eastAsia="宋体" w:hAnsi="Arial"/>
          <w:sz w:val="22"/>
        </w:rPr>
        <w:t>：</w:t>
      </w:r>
      <w:r>
        <w:rPr>
          <w:rFonts w:ascii="Arial" w:cs="Arial" w:eastAsia="宋体" w:hAnsi="Arial"/>
          <w:sz w:val="22"/>
          <w:lang w:val="en-GB"/>
        </w:rPr>
        <w:t xml:space="preserve">(1) </w:t>
      </w:r>
      <w:r>
        <w:rPr>
          <w:rFonts w:ascii="Arial" w:cs="Arial" w:eastAsia="宋体" w:hAnsi="Arial"/>
          <w:sz w:val="22"/>
        </w:rPr>
        <w:t>采取科学的饲养方式，减少粪污产生量；</w:t>
      </w:r>
      <w:r>
        <w:rPr>
          <w:rFonts w:ascii="Arial" w:cs="Arial" w:eastAsia="宋体" w:hAnsi="Arial"/>
          <w:sz w:val="22"/>
          <w:lang w:val="en-GB"/>
        </w:rPr>
        <w:t>(2) 必须设置粪污处理区，采取地面硬化、防渗漏、防径流、</w:t>
      </w:r>
      <w:r>
        <w:rPr>
          <w:rFonts w:ascii="Arial" w:cs="Arial" w:eastAsia="宋体" w:hAnsi="Arial"/>
          <w:sz w:val="22"/>
        </w:rPr>
        <w:t>雨污分流措施；</w:t>
      </w:r>
      <w:r>
        <w:rPr>
          <w:rFonts w:ascii="Arial" w:cs="Arial" w:eastAsia="宋体" w:hAnsi="Arial"/>
          <w:sz w:val="22"/>
          <w:lang w:val="en-GB"/>
        </w:rPr>
        <w:t>(3)</w:t>
      </w:r>
      <w:r>
        <w:rPr>
          <w:rFonts w:ascii="Arial" w:cs="Arial" w:eastAsia="宋体" w:hAnsi="Arial"/>
          <w:sz w:val="22"/>
        </w:rPr>
        <w:t xml:space="preserve"> 粪污收集和运输中应采取防遗洒和防渗漏措施；(4) 无害化处理后还田的或向环境排放的，均应符合国家和地方的相应标准；(5) 将畜禽粪便、污水、沼渣、沼液等用作肥料的，应当与土地的消纳能力相适应；(6) 病死及病害动物和相关产品应进行深埋、化制、焚烧、高温等无害化处理，不得随意处置。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综合利用</w:t>
      </w:r>
      <w:r>
        <w:rPr>
          <w:rFonts w:ascii="Arial" w:cs="Arial" w:eastAsia="宋体" w:hAnsi="Arial"/>
          <w:sz w:val="22"/>
        </w:rPr>
        <w:t>：支持粪肥还田、制取沼气、制造有机肥等综合利用；推进种养结合消纳方式；培育粪肥收运和田间施用等社会化服务主体；提升设施装备水平，推行畜禽粪肥机械化还田利用；加强以畜禽粪污为主要原料的商品有机肥产品监管，推进绿色有机地理标志农产品发展。</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主体责任</w:t>
      </w:r>
      <w:r>
        <w:rPr>
          <w:rFonts w:ascii="Arial" w:cs="Arial" w:eastAsia="宋体" w:hAnsi="Arial"/>
          <w:sz w:val="22"/>
        </w:rPr>
        <w:t>：养殖场户是履行粪污利用和污染防治的责任主体，应</w:t>
      </w:r>
      <w:r>
        <w:rPr>
          <w:rFonts w:ascii="Arial" w:cs="Arial" w:eastAsia="宋体" w:hAnsi="Arial"/>
          <w:sz w:val="22"/>
          <w:lang w:val="en-GB"/>
        </w:rPr>
        <w:t>建设</w:t>
      </w:r>
      <w:r>
        <w:rPr>
          <w:rFonts w:ascii="Arial" w:cs="Arial" w:eastAsia="宋体" w:hAnsi="Arial"/>
          <w:sz w:val="22"/>
        </w:rPr>
        <w:t>粪污无害化处理和资源化利用设施，确保设施正常运行，并</w:t>
      </w:r>
      <w:r>
        <w:rPr>
          <w:rFonts w:ascii="Arial" w:cs="Arial" w:eastAsia="宋体" w:hAnsi="Arial"/>
          <w:sz w:val="22"/>
          <w:lang w:val="en-GB"/>
        </w:rPr>
        <w:t>配套相应的土地消纳面积；也</w:t>
      </w:r>
      <w:r>
        <w:rPr>
          <w:rFonts w:ascii="Arial" w:cs="Arial" w:eastAsia="宋体" w:hAnsi="Arial"/>
          <w:sz w:val="22"/>
        </w:rPr>
        <w:t>可委托第三方代为实现粪污无害化处理和资源化利用。</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lang w:val="en-GB"/>
        </w:rPr>
        <w:t>县级以上农业农村部门负责畜禽养殖废弃物综合利用的指导、服务和监管。</w:t>
      </w:r>
      <w:r>
        <w:rPr>
          <w:rFonts w:ascii="Arial" w:cs="Arial" w:eastAsia="宋体" w:hAnsi="Arial"/>
          <w:sz w:val="22"/>
        </w:rPr>
        <w:t>通过对广西</w:t>
      </w:r>
      <w:r>
        <w:rPr>
          <w:rFonts w:ascii="Arial" w:cs="Arial" w:eastAsia="宋体" w:hAnsi="Arial"/>
          <w:sz w:val="22"/>
          <w:lang w:val="en-GB"/>
        </w:rPr>
        <w:t>和</w:t>
      </w:r>
      <w:r>
        <w:rPr>
          <w:rFonts w:ascii="Arial" w:cs="Arial" w:eastAsia="宋体" w:hAnsi="Arial"/>
          <w:sz w:val="22"/>
        </w:rPr>
        <w:t>贵州样本区县的调查，各县均成立了专门的领导小组负责总体监督指导，县级农业农村局设有畜牧科或畜牧站（1-4人）负责日常具体管理工作。县级农业农村局制定实施方案，联合生态环境、水务等部门及乡镇政府对畜禽粪污开展日常监督管理，引导种植户将无害化处理后的粪污科学还田利用，并指导企业进行粪污资源化利用设施改造。省级农业农村厅每年开展一至两次省级畜禽粪污资源化利用第三方考核评估工作，随机抽取一定数量的养殖场进行考核。</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rPr>
        <w:tab/>
      </w:r>
      <w:r>
        <w:rPr>
          <w:rFonts w:ascii="Arial" w:cs="Arial" w:eastAsia="宋体" w:hAnsi="Arial"/>
          <w:sz w:val="22"/>
        </w:rPr>
        <w:t>县级以上生态环境部门对畜禽养殖污染防治情况进行监督检查，并对畜禽养殖环境污染进行监测。畜禽养殖场、养殖小区按规定开展环评、环保验收、排污许可，定期将畜禽养殖品种、规模以及畜禽养殖废弃物的产生、排放和综合利用等情况，报县级生态环境部门备案。县或市级环境执法大队（10人左右）会采取“双随机、一公开”的方式地对养殖场开展不定期的环境监管。</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sz w:val="22"/>
        </w:rPr>
        <w:tab/>
      </w:r>
      <w:r>
        <w:rPr>
          <w:rFonts w:ascii="Arial" w:cs="Arial" w:eastAsia="宋体" w:hAnsi="Arial"/>
          <w:sz w:val="22"/>
        </w:rPr>
        <w:t>通过对贵州省施秉县的调查发现，</w:t>
      </w:r>
      <w:r>
        <w:rPr>
          <w:rFonts w:ascii="Arial" w:cs="Arial" w:eastAsia="宋体" w:hAnsi="Arial"/>
          <w:sz w:val="22"/>
          <w:lang w:val="en-GB"/>
        </w:rPr>
        <w:t>全县2021年畜禽</w:t>
      </w:r>
      <w:r>
        <w:rPr>
          <w:rFonts w:ascii="Arial" w:cs="Arial" w:eastAsia="宋体" w:hAnsi="Arial"/>
          <w:sz w:val="22"/>
        </w:rPr>
        <w:t>粪污产生总量为45万吨，其中粪便17万吨，尿污28万吨。县农业农村局和生态环境局一起对全县118个养殖场开展了实地核查，检查养殖场雨污分流、干湿分离等粪污处理设施情况。调查发现，大中型养殖场均建有比较完善的粪污处理设施，规模较小的养殖场还需要完善粪污处理设施。该县正在规划建设有机肥加工厂，对全县</w:t>
      </w:r>
      <w:r>
        <w:rPr>
          <w:rFonts w:ascii="Arial" w:cs="Arial" w:eastAsia="宋体" w:hAnsi="Arial"/>
          <w:sz w:val="22"/>
          <w:lang w:val="en-GB"/>
        </w:rPr>
        <w:t>畜禽</w:t>
      </w:r>
      <w:r>
        <w:rPr>
          <w:rFonts w:ascii="Arial" w:cs="Arial" w:eastAsia="宋体" w:hAnsi="Arial"/>
          <w:sz w:val="22"/>
        </w:rPr>
        <w:t>粪污进行统一处理和综合利用，目前已完成项目可研。</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通过对广西和贵州两省样本县的调查了解到，在畜禽粪污资源化利用和污染防治监管方面，县级农业农村和生态环境部门都具备完整的机构设置和人员配备，也具有足够的经费预算，在畜禽粪污管理方面取得了较大的进步。世行团在实际调查中也发现：</w:t>
      </w:r>
      <w:r>
        <w:rPr>
          <w:rFonts w:ascii="Arial" w:cs="Arial" w:eastAsia="宋体" w:hAnsi="Arial"/>
          <w:sz w:val="22"/>
          <w:lang w:val="en-GB"/>
        </w:rPr>
        <w:t xml:space="preserve">(1) </w:t>
      </w:r>
      <w:r>
        <w:rPr>
          <w:rFonts w:ascii="Arial" w:cs="Arial" w:eastAsia="宋体" w:hAnsi="Arial"/>
          <w:sz w:val="22"/>
        </w:rPr>
        <w:t>少数养殖场采取异位发酵床而粪污处理比较规范；</w:t>
      </w:r>
      <w:r>
        <w:rPr>
          <w:rFonts w:ascii="Arial" w:cs="Arial" w:eastAsia="宋体" w:hAnsi="Arial"/>
          <w:sz w:val="22"/>
          <w:lang w:val="en-GB"/>
        </w:rPr>
        <w:t>(2)</w:t>
      </w:r>
      <w:r>
        <w:rPr>
          <w:rFonts w:ascii="Arial" w:cs="Arial" w:eastAsia="宋体" w:hAnsi="Arial"/>
          <w:sz w:val="22"/>
        </w:rPr>
        <w:t xml:space="preserve"> 大多数养殖场采用化粪池或堆粪棚，粪污处理设施比较简单且分散，处理水平不高，很难满足有机肥企业的运输和生产要求，影响了粪污收集和利用率，也造成养殖场环境状况不够理想；</w:t>
      </w:r>
      <w:r>
        <w:rPr>
          <w:rFonts w:ascii="Arial" w:cs="Arial" w:eastAsia="宋体" w:hAnsi="Arial"/>
          <w:sz w:val="22"/>
          <w:lang w:val="en-GB"/>
        </w:rPr>
        <w:t>(3) 养殖场</w:t>
      </w:r>
      <w:r>
        <w:rPr>
          <w:rFonts w:ascii="Arial" w:cs="Arial" w:eastAsia="宋体" w:hAnsi="Arial"/>
          <w:sz w:val="22"/>
        </w:rPr>
        <w:t>基本上都缺乏适当的臭气处理措施；</w:t>
      </w:r>
      <w:r>
        <w:rPr>
          <w:rFonts w:ascii="Arial" w:cs="Arial" w:eastAsia="宋体" w:hAnsi="Arial"/>
          <w:sz w:val="22"/>
          <w:lang w:val="en-GB"/>
        </w:rPr>
        <w:t xml:space="preserve">(4) </w:t>
      </w:r>
      <w:r>
        <w:rPr>
          <w:rFonts w:ascii="Arial" w:cs="Arial" w:eastAsia="宋体" w:hAnsi="Arial"/>
          <w:sz w:val="22"/>
        </w:rPr>
        <w:t>部分项目县计划向集中粪污处置设施方向发展，但还存在运输工具不足的问题。</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(5)</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农村生活污水管理系统</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lang w:val="en-GB"/>
        </w:rPr>
        <w:t>《关于推进农村生活污水治理的指导意见》</w:t>
      </w:r>
      <w:r>
        <w:rPr>
          <w:rFonts w:ascii="Arial" w:cs="Arial" w:eastAsia="宋体" w:hAnsi="Arial"/>
          <w:sz w:val="22"/>
          <w:lang w:val="en-GB"/>
        </w:rPr>
        <w:t>(</w:t>
      </w:r>
      <w:r>
        <w:rPr>
          <w:rFonts w:ascii="Arial" w:cs="Arial" w:eastAsia="宋体" w:hAnsi="Arial"/>
          <w:sz w:val="22"/>
        </w:rPr>
        <w:t>2019年</w:t>
      </w:r>
      <w:r>
        <w:rPr>
          <w:rFonts w:ascii="Arial" w:cs="Arial" w:eastAsia="宋体" w:hAnsi="Arial"/>
          <w:sz w:val="22"/>
          <w:lang w:val="en-GB"/>
        </w:rPr>
        <w:t>)：九部委</w:t>
      </w:r>
      <w:r>
        <w:rPr>
          <w:rStyle w:val="style38"/>
          <w:rFonts w:ascii="Arial" w:cs="Arial" w:eastAsia="宋体" w:hAnsi="Arial"/>
          <w:sz w:val="22"/>
          <w:lang w:val="en-GB"/>
        </w:rPr>
        <w:footnoteReference w:id="8"/>
      </w:r>
      <w:r>
        <w:rPr>
          <w:rFonts w:ascii="Arial" w:cs="Arial" w:eastAsia="宋体" w:hAnsi="Arial"/>
          <w:sz w:val="22"/>
          <w:lang w:val="en-GB"/>
        </w:rPr>
        <w:t>联合发文，要求推进农村生活污水治理，补齐农村人居环境短板，加快建设美丽宜居乡村。</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lang w:val="en-GB"/>
        </w:rPr>
        <w:t>《关于加强以奖促治农村环境基础设施运行管理的意见》</w:t>
      </w:r>
      <w:r>
        <w:rPr>
          <w:rFonts w:ascii="Arial" w:cs="Arial" w:eastAsia="宋体" w:hAnsi="Arial"/>
          <w:sz w:val="22"/>
          <w:lang w:val="en-GB"/>
        </w:rPr>
        <w:t>(</w:t>
      </w:r>
      <w:r>
        <w:rPr>
          <w:rFonts w:ascii="Arial" w:cs="Arial" w:eastAsia="宋体" w:hAnsi="Arial"/>
          <w:sz w:val="22"/>
        </w:rPr>
        <w:t>2015年</w:t>
      </w:r>
      <w:r>
        <w:rPr>
          <w:rFonts w:ascii="Arial" w:cs="Arial" w:eastAsia="宋体" w:hAnsi="Arial"/>
          <w:sz w:val="22"/>
          <w:lang w:val="en-GB"/>
        </w:rPr>
        <w:t>)：要求明确设施运行管理的责任主体和资金渠道，建立健全规章制度，加强管护队伍建设，强化监督管理，确保设施“建成一个、运行一个、见效一个”。</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合理选择技术模式</w:t>
      </w:r>
      <w:r>
        <w:rPr>
          <w:rFonts w:ascii="Arial" w:cs="Arial" w:eastAsia="宋体" w:hAnsi="Arial"/>
          <w:sz w:val="22"/>
        </w:rPr>
        <w:t>：</w:t>
      </w:r>
      <w:r>
        <w:rPr>
          <w:rFonts w:ascii="Arial" w:cs="Arial" w:eastAsia="宋体" w:hAnsi="Arial"/>
          <w:sz w:val="22"/>
          <w:lang w:val="en-GB"/>
        </w:rPr>
        <w:t>1) 有条件的地区推进城镇污水处理设施和服务向城镇近郊的农村延伸；2) 离城镇生活污水管网较远、人品密集且不具备利用条件的村庄，可建设集中处理设施实现达标排放；3) 人口较少的村庄，以卫生厕所改造为重点推进农村生活治理，在杜绝化粪池出水直排基础上，就地就近实现农田利用。推广低成本、低能耗、易维护、高效率的污水处理技术，鼓励具备条件的地区采用以渔净水、人工湿地、氧化塘等生态处理模式。</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b/>
          <w:bCs/>
          <w:sz w:val="22"/>
          <w:lang w:val="en-GB"/>
        </w:rPr>
        <w:t>加快标准制修订</w:t>
      </w:r>
      <w:r>
        <w:rPr>
          <w:rFonts w:ascii="Arial" w:cs="Arial" w:eastAsia="宋体" w:hAnsi="Arial"/>
          <w:sz w:val="22"/>
          <w:lang w:val="en-GB"/>
        </w:rPr>
        <w:t>：制修订本地区农村生活污水处理排放标准；研究制农村生活污水治理设施标准；编制适合本地区的农村生活污水治理技术导则或规范，</w:t>
      </w:r>
      <w:r>
        <w:rPr>
          <w:rFonts w:ascii="Arial" w:cs="Arial" w:eastAsia="宋体" w:hAnsi="Arial"/>
          <w:sz w:val="22"/>
        </w:rPr>
        <w:t>强化技术指导</w:t>
      </w:r>
      <w:r>
        <w:rPr>
          <w:rFonts w:ascii="Arial" w:cs="Arial" w:eastAsia="宋体" w:hAnsi="Arial"/>
          <w:sz w:val="22"/>
          <w:lang w:val="en-GB"/>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完善管护机制</w:t>
      </w:r>
      <w:r>
        <w:rPr>
          <w:rFonts w:ascii="Arial" w:cs="Arial" w:eastAsia="宋体" w:hAnsi="Arial"/>
          <w:sz w:val="22"/>
        </w:rPr>
        <w:t>：建立管护队伍，开展培训提高业务水平；</w:t>
      </w:r>
      <w:r>
        <w:rPr>
          <w:rFonts w:ascii="Arial" w:cs="Arial" w:eastAsia="宋体" w:hAnsi="Arial"/>
          <w:sz w:val="22"/>
          <w:lang w:val="en-GB"/>
        </w:rPr>
        <w:t>鼓励专业化、市场化运行管理；鼓励有条件的地区探索建立污水处理受益农户付费制度，</w:t>
      </w:r>
      <w:r>
        <w:rPr>
          <w:rFonts w:ascii="Arial" w:cs="Arial" w:eastAsia="宋体" w:hAnsi="Arial"/>
          <w:sz w:val="22"/>
        </w:rPr>
        <w:t>提高农户自觉参与的积极性</w:t>
      </w:r>
      <w:r>
        <w:rPr>
          <w:rFonts w:ascii="Arial" w:cs="Arial" w:eastAsia="宋体" w:hAnsi="Arial"/>
          <w:sz w:val="22"/>
          <w:lang w:val="en-GB"/>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b/>
          <w:bCs/>
          <w:sz w:val="22"/>
          <w:lang w:val="en-GB"/>
        </w:rPr>
        <w:t>建立监测制度</w:t>
      </w:r>
      <w:r>
        <w:rPr>
          <w:rFonts w:ascii="Arial" w:cs="Arial" w:eastAsia="宋体" w:hAnsi="Arial"/>
          <w:sz w:val="22"/>
          <w:lang w:val="en-GB"/>
        </w:rPr>
        <w:t>：县级环境监测站要开展农村生活污水处理设施运行情况监督性监测。日处理能力100吨以上的污水处理设施，每季度至少监测一次；日处理能力20-100吨的污水处理设施，每年至少监测一次。无县级站或县级站不具备监测能力的，由地市级监测提供必要的支持，或者由县级生态环境部门委托具有资质的监测机构承担监测任务。</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b/>
          <w:bCs/>
          <w:sz w:val="22"/>
          <w:lang w:val="en-GB"/>
        </w:rPr>
        <w:t>统筹推进农村厕所革命</w:t>
      </w:r>
      <w:r>
        <w:rPr>
          <w:rFonts w:ascii="Arial" w:cs="Arial" w:eastAsia="宋体" w:hAnsi="Arial"/>
          <w:sz w:val="22"/>
          <w:lang w:val="en-GB"/>
        </w:rPr>
        <w:t>：具备条件的地区一体化推进、</w:t>
      </w:r>
      <w:r>
        <w:rPr>
          <w:rFonts w:ascii="Arial" w:cs="Arial" w:eastAsia="宋体" w:hAnsi="Arial"/>
          <w:sz w:val="22"/>
        </w:rPr>
        <w:t>同步设计</w:t>
      </w:r>
      <w:r>
        <w:rPr>
          <w:rFonts w:ascii="Arial" w:cs="Arial" w:eastAsia="宋体" w:hAnsi="Arial"/>
          <w:sz w:val="22"/>
          <w:lang w:val="en-GB"/>
        </w:rPr>
        <w:t>、同步建设、同步运营。</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村生活污水管理分为两部分，即农户厕所改造和污水收集处理。前者由农业农村部门负责，后者由生态环境部门负责。户厕改造包括将旱厕改为水冲式厕所，并修建三格化粪池，在接入管网之前，经化粪池处理后的粪污由农户还田利用。截止2020年，贵州省已完成70%多农户的厕所改造，而广西的农村卫生厕所普及率已超过90%。但相应的收集和处理设施还不充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hint="eastAsia"/>
          <w:sz w:val="22"/>
        </w:rPr>
        <w:t>根据对两省的调查，</w:t>
      </w:r>
      <w:r>
        <w:rPr>
          <w:rFonts w:ascii="Arial" w:cs="Arial" w:eastAsia="宋体" w:hAnsi="Arial"/>
          <w:sz w:val="22"/>
        </w:rPr>
        <w:t>生态环境部门监管</w:t>
      </w:r>
      <w:r>
        <w:rPr>
          <w:rFonts w:ascii="Arial" w:cs="Arial" w:eastAsia="宋体" w:hAnsi="Arial" w:hint="eastAsia"/>
          <w:sz w:val="22"/>
        </w:rPr>
        <w:t>日处理能力</w:t>
      </w:r>
      <w:r>
        <w:rPr>
          <w:rFonts w:ascii="Arial" w:cs="Arial" w:eastAsia="宋体" w:hAnsi="Arial"/>
          <w:sz w:val="22"/>
        </w:rPr>
        <w:t>20吨</w:t>
      </w:r>
      <w:r>
        <w:rPr>
          <w:rFonts w:ascii="Arial" w:cs="Arial" w:eastAsia="宋体" w:hAnsi="Arial" w:hint="eastAsia"/>
          <w:sz w:val="22"/>
        </w:rPr>
        <w:t>以及</w:t>
      </w:r>
      <w:r>
        <w:rPr>
          <w:rFonts w:ascii="Arial" w:cs="Arial" w:eastAsia="宋体" w:hAnsi="Arial"/>
          <w:sz w:val="22"/>
        </w:rPr>
        <w:t>以上的农村污水处理设施</w:t>
      </w:r>
      <w:r>
        <w:rPr>
          <w:rFonts w:ascii="Arial" w:cs="Arial" w:eastAsia="宋体" w:hAnsi="Arial" w:hint="eastAsia"/>
          <w:sz w:val="22"/>
        </w:rPr>
        <w:t>，</w:t>
      </w:r>
      <w:r>
        <w:rPr>
          <w:rFonts w:ascii="Arial" w:cs="Arial" w:eastAsia="宋体" w:hAnsi="Arial"/>
          <w:sz w:val="22"/>
        </w:rPr>
        <w:t>基本都能达标排放。两省目前的农村生活污水治理率都约为10%，低于全国水平25.5%，计划到2025年治理率达到25%。</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国家生态环境部的土壤生态环境司下设机构农村生态环境处从国家层面组织宏观指导农村生活污水管理。两个省级生态环境厅均设有土壤生态环境处（分别为5人和3人），组织指导辖区内的农村生活污水管理工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涉及的农村生活污水处理设施建设与运行由区县级生态环境局具体负责监管，一般设有业务股或综合股（2-3人）负责监管农村污水处理设施建设与运行，环境监测站（4-7人）或委托第三方机构开展监督性监测，环境执法大队（10人左右）通过“双随机、一公开”的方式不定期开展污水设施运行和达标排放情况检查。</w:t>
      </w:r>
    </w:p>
    <w:p>
      <w:pPr>
        <w:pStyle w:val="style179"/>
        <w:widowControl/>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根据对两省样本区县（贵州息烽和兴仁、广西博白）的实地调查发现，大部分村屯采用水冲式厕所和三格化粪池进行污水分散式处理，少部分</w:t>
      </w:r>
      <w:r>
        <w:rPr>
          <w:rFonts w:ascii="Arial" w:cs="Arial" w:eastAsia="宋体" w:hAnsi="Arial"/>
          <w:sz w:val="22"/>
          <w:lang w:val="en-GB"/>
        </w:rPr>
        <w:t>村庄采用集中处理或纳入城镇污水管网和处理系统。</w:t>
      </w:r>
      <w:r>
        <w:rPr>
          <w:rFonts w:ascii="Arial" w:cs="Arial" w:eastAsia="宋体" w:hAnsi="Arial"/>
          <w:sz w:val="22"/>
        </w:rPr>
        <w:t>这些样本县均针对日处理能力20吨以上的设施开展出水监测，通过人工采样方式，一般频率为每季度或半年一次，有些地方由市或县级环境监测站实施，有些是委托第三方开展监测。通过分析</w:t>
      </w:r>
      <w:r>
        <w:rPr>
          <w:rFonts w:ascii="Arial" w:cs="Arial" w:eastAsia="宋体" w:hAnsi="Arial"/>
          <w:sz w:val="22"/>
          <w:szCs w:val="24"/>
        </w:rPr>
        <w:t>贵州省息烽县环境监测站对青山苗族乡绿化村以及养龙司镇坝上村污水处理设施</w:t>
      </w:r>
      <w:r>
        <w:rPr>
          <w:rFonts w:ascii="Arial" w:cs="Arial" w:eastAsia="宋体" w:hAnsi="Arial"/>
          <w:sz w:val="22"/>
        </w:rPr>
        <w:t>的监测样本可以看到，其出水水质均能满足《贵州省农村生活污水处理污染物排放标准》（DB52</w:t>
      </w:r>
      <w:r>
        <w:rPr>
          <w:rFonts w:ascii="Arial" w:cs="Arial" w:eastAsia="宋体" w:hAnsi="Arial"/>
          <w:sz w:val="22"/>
          <w:lang w:val="en-GB"/>
        </w:rPr>
        <w:t>/</w:t>
      </w:r>
      <w:r>
        <w:rPr>
          <w:rFonts w:ascii="Arial" w:cs="Arial" w:eastAsia="宋体" w:hAnsi="Arial"/>
          <w:sz w:val="22"/>
        </w:rPr>
        <w:t>1424-2019）二级标准限值要求，表明农村生活污水处理设施运行效果较好。在两省样本县的调查中也发现，个别农村污水处理设施的运行维护费用（主要是电费和人工费）存在缺口，难以实现可持续运转。</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(6)</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农村生活垃圾管理系统</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《关于全面推进农村垃圾治理的指导意见》</w:t>
      </w:r>
      <w:r>
        <w:rPr>
          <w:rFonts w:ascii="Arial" w:cs="Arial" w:eastAsia="宋体" w:hAnsi="Arial"/>
          <w:sz w:val="22"/>
          <w:lang w:val="en-GB"/>
        </w:rPr>
        <w:t>(2015年)：</w:t>
      </w:r>
      <w:r>
        <w:rPr>
          <w:rFonts w:ascii="Arial" w:cs="Arial" w:eastAsia="宋体" w:hAnsi="Arial"/>
          <w:sz w:val="22"/>
        </w:rPr>
        <w:t>国家住建部明确要求全面推进农村人居环境整治，开展农村垃圾专项治理。因地制宜建立“村收集、镇转运、县处理”的模式，有效治理农业生产生活垃圾、建筑垃圾、农村工业垃圾等。</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《关于建立健全农村生活垃圾收集、转运和处置体系的指导意见》</w:t>
      </w:r>
      <w:r>
        <w:rPr>
          <w:rFonts w:ascii="Arial" w:cs="Arial" w:eastAsia="宋体" w:hAnsi="Arial"/>
          <w:sz w:val="22"/>
          <w:lang w:val="en-GB"/>
        </w:rPr>
        <w:t>(2019年)：</w:t>
      </w:r>
      <w:r>
        <w:rPr>
          <w:rFonts w:ascii="Arial" w:cs="Arial" w:eastAsia="宋体" w:hAnsi="Arial"/>
          <w:sz w:val="22"/>
        </w:rPr>
        <w:t>国家住建部要求落实垃圾分类要求，统筹县、乡镇、村三级设施和服务，建立健全收运处置体系，推动农村地区环境卫生水平提升。</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《贵州省农村生活垃圾治理专项行动方案》</w:t>
      </w:r>
      <w:r>
        <w:rPr>
          <w:rFonts w:ascii="Arial" w:cs="Arial" w:eastAsia="宋体" w:hAnsi="Arial"/>
          <w:sz w:val="22"/>
        </w:rPr>
        <w:t>(贵州省住建厅</w:t>
      </w:r>
      <w:r>
        <w:rPr>
          <w:rFonts w:ascii="Arial" w:cs="Arial" w:eastAsia="宋体" w:hAnsi="Arial"/>
          <w:sz w:val="22"/>
          <w:lang w:val="en-GB"/>
        </w:rPr>
        <w:t>、农业农村厅、生态环境厅和财政厅，</w:t>
      </w:r>
      <w:r>
        <w:rPr>
          <w:rFonts w:ascii="Arial" w:cs="Arial" w:eastAsia="宋体" w:hAnsi="Arial"/>
          <w:sz w:val="22"/>
        </w:rPr>
        <w:t>2021年)：要求全面建立健全农村生活垃圾收运体系和村庄保洁稳定运行长效机制；因地制宜推进农村生活垃圾减量化、资源化。</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分类减量</w:t>
      </w:r>
      <w:r>
        <w:rPr>
          <w:rFonts w:ascii="Arial" w:cs="Arial" w:eastAsia="宋体" w:hAnsi="Arial"/>
          <w:sz w:val="22"/>
        </w:rPr>
        <w:t>：开展村庄保洁和垃圾分类，易腐烂就地就近堆肥处理，灰渣土等惰性垃圾在村内铺路填坑或就近掩埋，可回收垃圾纳入资源回收利用体系，有毒有害垃圾单独收集、妥善处置。</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优化收运处置设施布局</w:t>
      </w:r>
      <w:r>
        <w:rPr>
          <w:rFonts w:ascii="Arial" w:cs="Arial" w:eastAsia="宋体" w:hAnsi="Arial"/>
          <w:sz w:val="22"/>
        </w:rPr>
        <w:t>：根据当地经济条件、终端处置设施能力等因素，统筹县、乡镇、村三级设施和服务，合理选择收集、转运和处置方式。合理安排终端处置设施，鼓励相邻县（市、区、旗）终端处置设施共建共享。</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收运处置设施建设</w:t>
      </w:r>
      <w:r>
        <w:rPr>
          <w:rFonts w:ascii="Arial" w:cs="Arial" w:eastAsia="宋体" w:hAnsi="Arial"/>
          <w:sz w:val="22"/>
        </w:rPr>
        <w:t>：自然村垃圾收集点全覆盖，收集车辆密闭、卫生；新建或改建乡镇垃圾转运站，普及密闭运输车辆，每个乡镇均具备转运农村生活垃圾的能力；完善终端处置设施，每个县均具备农村生活垃圾无害化处置设施或能力。</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健全运行管护制度</w:t>
      </w:r>
      <w:r>
        <w:rPr>
          <w:rFonts w:ascii="Arial" w:cs="Arial" w:eastAsia="宋体" w:hAnsi="Arial"/>
          <w:sz w:val="22"/>
        </w:rPr>
        <w:t>：建立运行管护队伍，引导社会资本参与设施建设和管护，建立农民群众普遍参与的管护效果评价机制。</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国家住建部负责全国农村生活垃圾管理的顶层设计和指导。省级住建厅负责本地区农村生活垃圾收集、转运和处置体系规划、建设和运行管理。比如贵州省住建厅村镇建设处具体负责全省农村生活垃圾管理工作，并充分利用“贵州数字乡村农村生活垃圾收运体系监控平台”进行时时在线监督管理，同时全省各市都明确了农村生活垃圾治理责任人，均为副市长；广西壮族自治区住建厅村镇建设处每季度对全区农村生活垃圾建设项目进行督导调研，年底进行考评。</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下的农村生活垃圾收集与转运活动由区县级住建或相关部门具体负责监管，不同区县的具体责任部门可能有所不同。比如贵州省息烽县是综合行政执法局下属的环境卫生管理中心（17个人）；三都县是住建局村镇建设管理科（8人）。</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广西和贵州两省的几个样本县基本上都</w:t>
      </w:r>
      <w:r>
        <w:rPr>
          <w:rFonts w:ascii="Arial" w:cs="Arial" w:eastAsia="宋体" w:hAnsi="Arial"/>
          <w:color w:val="000000"/>
          <w:lang w:val="en-GB"/>
        </w:rPr>
        <w:t>采用“村收集、镇转运、县处理”的模式。行政村一般实行保洁制度，配备兼职保洁员负责公共区域的保洁工作；</w:t>
      </w:r>
      <w:r>
        <w:rPr>
          <w:rFonts w:ascii="Arial" w:cs="Arial" w:eastAsia="宋体" w:hAnsi="Arial"/>
          <w:sz w:val="22"/>
        </w:rPr>
        <w:t>同时委托第三方公司负责垃圾的收集</w:t>
      </w:r>
      <w:r>
        <w:rPr>
          <w:rFonts w:ascii="Arial" w:cs="Arial" w:eastAsia="宋体" w:hAnsi="Arial"/>
          <w:color w:val="000000"/>
          <w:lang w:val="en-GB"/>
        </w:rPr>
        <w:t>、转运和处理；终端处置方式一般为卫生填埋或焚烧</w:t>
      </w:r>
      <w:r>
        <w:rPr>
          <w:rFonts w:ascii="Arial" w:cs="Arial" w:eastAsia="宋体" w:hAnsi="Arial"/>
          <w:sz w:val="22"/>
        </w:rPr>
        <w:t>。比如贵州省息烽县通过</w:t>
      </w:r>
      <w:r>
        <w:rPr>
          <w:rFonts w:ascii="Arial" w:cs="Arial" w:eastAsia="宋体" w:hAnsi="Arial"/>
          <w:color w:val="000000"/>
          <w:lang w:val="en-GB"/>
        </w:rPr>
        <w:t>PPP模式委托侨营公司负责运行全县农村垃圾管理，设立了1273个垃圾收集亭、5092个垃圾桶，覆盖161个行政村、1150自然村；10个乡镇均建有垃圾中转站、配套足够的运输车辆和设施。全县农村垃圾产生量约60吨/天，目前进入息烽县垃圾填埋场处置，计划建设厨余垃圾处理站和生活垃圾焚烧厂进行分类处置。</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从现场考察来看，两省农村垃圾收集和转运系统比较健全，管理</w:t>
      </w:r>
      <w:bookmarkStart w:id="451" w:name="_Toc79939257"/>
      <w:bookmarkStart w:id="452" w:name="_Toc66694841"/>
      <w:r>
        <w:rPr>
          <w:rFonts w:ascii="Arial" w:cs="Arial" w:eastAsia="宋体" w:hAnsi="Arial"/>
          <w:sz w:val="22"/>
        </w:rPr>
        <w:t>也比较到位。对于终端处置设施，世行团也对样本垃圾填埋场和焚烧厂进行了实地考察，这些设施的污染治理措施比较完善，能够有效处理农村生活垃圾。只是部分乡镇垃圾中</w:t>
      </w:r>
      <w:r>
        <w:rPr>
          <w:rFonts w:ascii="Arial" w:cs="Arial" w:eastAsia="宋体" w:hAnsi="Arial"/>
          <w:color w:val="000000"/>
          <w:lang w:val="en-GB"/>
        </w:rPr>
        <w:t>转站的防臭、渗滤液收集、职工清洁卫生和休息等设施尚有待提高和完善。</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(7)</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其他项目活动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还包括完善现有灌溉系统实现节水增效、建设或改造田间道路、农村道路、冷链体系等活动。这些活动工程规模不大，建设和运行对环境的影响都很有限。在实际工作中，这些活动分别由县级水利、交通、农业农村等相应的行业主管部门分别进行监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不新建灌溉设施，仅涉及节水改造等措施。一般来说水利部门负责管理大中型灌区的水源工程和干支渠，农业农村部门负责管理田间灌溉设施和其他小农水项目。这在中国已经形成了完善的管理体系，并一直运行良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村道路一般规模较小，相应的环境与安全影响不大，其建设和运行由县级交通部门负责管理，道路使用中通过禁鸣和限速、道路养护、安全标志设置与维护等实现农村道路降噪、降尘和安全监管，交通部门会定期巡察。</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冷库设施的建设规模不大，施工和运行产生的环境影响有限，且所涉及产品均为本地产品并大部分在本地销售，不太可能引发新冠肺炎疫情传播。疫情期间国家加强了冷链系统（含冷库）新冠肺炎疫情防控工作</w:t>
      </w:r>
      <w:r>
        <w:rPr>
          <w:rFonts w:ascii="Arial" w:cs="Arial" w:eastAsia="宋体" w:hAnsi="Arial"/>
          <w:sz w:val="22"/>
          <w:lang w:val="en-GB"/>
        </w:rPr>
        <w:t>，农业农村、卫生健康、商务、市场监管等部门联合管理，不仅能够防范</w:t>
      </w:r>
      <w:r>
        <w:rPr>
          <w:rFonts w:ascii="Arial" w:cs="Arial" w:eastAsia="宋体" w:hAnsi="Arial"/>
          <w:sz w:val="22"/>
        </w:rPr>
        <w:t>新冠疫情，还同时强化了食品安全、卫生、环境等方面的风险管理，并因此形成了常态化管理模式。</w:t>
      </w:r>
    </w:p>
    <w:bookmarkStart w:id="453" w:name="_Toc93944810"/>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3.2.3</w:t>
      </w:r>
      <w:r>
        <w:rPr>
          <w:rFonts w:ascii="Arial" w:cs="Arial" w:eastAsia="宋体" w:hAnsi="Arial"/>
          <w:color w:val="1f4e79"/>
          <w:sz w:val="24"/>
          <w:szCs w:val="24"/>
        </w:rPr>
        <w:tab/>
      </w:r>
      <w:r>
        <w:rPr>
          <w:rFonts w:ascii="Arial" w:cs="Arial" w:eastAsia="宋体" w:hAnsi="Arial"/>
          <w:color w:val="1f4e79"/>
          <w:sz w:val="24"/>
          <w:szCs w:val="24"/>
        </w:rPr>
        <w:t>自然生态保护系统</w:t>
      </w:r>
      <w:bookmarkEnd w:id="453"/>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rPr>
        <w:tab/>
      </w:r>
      <w:r>
        <w:rPr>
          <w:rFonts w:ascii="Arial" w:cs="Arial" w:eastAsia="宋体" w:hAnsi="Arial"/>
          <w:sz w:val="22"/>
          <w:lang w:val="en-GB"/>
        </w:rPr>
        <w:t>本项目位于农村地区，利用原有农业用地开展农业生产活动，或利用建设用地开展小型基础设施建设</w:t>
      </w:r>
      <w:r>
        <w:rPr>
          <w:rFonts w:ascii="Arial" w:cs="Arial" w:eastAsia="宋体" w:hAnsi="Arial"/>
          <w:sz w:val="22"/>
        </w:rPr>
        <w:t>，不会占用重要自然栖息地；同时，本项目环境排除原则也会将任何可能影响重要自然栖息地的活动</w:t>
      </w:r>
      <w:r>
        <w:rPr>
          <w:rFonts w:ascii="Arial" w:cs="Arial" w:eastAsia="宋体" w:hAnsi="Arial"/>
          <w:sz w:val="22"/>
          <w:lang w:val="en-GB"/>
        </w:rPr>
        <w:t>都排除在PforR范围以外。因此本项目活动不会对重要自然栖息地造成重大破坏。同时，针对自然栖息地、野生动植物和生物多样性保护，中国已通过法律制度、管理机制和实施机构，建立了有效的自然生态保护系统，完全可以避免本项目活动对自然栖息地造成重大影响。</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Cs w:val="24"/>
        </w:rPr>
      </w:pPr>
      <w:r>
        <w:rPr>
          <w:rFonts w:ascii="Arial" w:cs="Arial" w:eastAsia="宋体" w:hAnsi="Arial"/>
          <w:b/>
          <w:szCs w:val="24"/>
        </w:rPr>
        <w:t>《野生动物保护法》</w:t>
      </w:r>
      <w:r>
        <w:rPr>
          <w:rFonts w:ascii="Arial" w:cs="Arial" w:eastAsia="宋体" w:hAnsi="Arial"/>
          <w:bCs/>
          <w:szCs w:val="24"/>
        </w:rPr>
        <w:t>（2018年修订）和《</w:t>
      </w:r>
      <w:r>
        <w:rPr>
          <w:rFonts w:ascii="Arial" w:cs="Arial" w:eastAsia="宋体" w:hAnsi="Arial"/>
          <w:b/>
          <w:bCs/>
          <w:szCs w:val="24"/>
        </w:rPr>
        <w:t>野生植物保护条例》</w:t>
      </w:r>
      <w:r>
        <w:rPr>
          <w:rFonts w:ascii="Arial" w:cs="Arial" w:eastAsia="宋体" w:hAnsi="Arial"/>
          <w:szCs w:val="24"/>
        </w:rPr>
        <w:t>（2017年修订）：</w:t>
      </w:r>
      <w:r>
        <w:rPr>
          <w:rFonts w:ascii="Arial" w:cs="Arial" w:eastAsia="宋体" w:hAnsi="Arial"/>
          <w:bCs/>
          <w:szCs w:val="24"/>
        </w:rPr>
        <w:t>规定了对</w:t>
      </w:r>
      <w:r>
        <w:rPr>
          <w:rFonts w:ascii="Arial" w:cs="Arial" w:eastAsia="宋体" w:hAnsi="Arial"/>
          <w:szCs w:val="24"/>
        </w:rPr>
        <w:t>野生动物及其自然栖息地、野生植物及其生长环境的保护要求。</w:t>
      </w:r>
      <w:r>
        <w:rPr>
          <w:rFonts w:ascii="Arial" w:cs="Arial" w:eastAsia="宋体" w:hAnsi="Arial"/>
          <w:sz w:val="22"/>
        </w:rPr>
        <w:t>建设项目对野生动植物及栖息地的影响及减缓措施</w:t>
      </w:r>
      <w:r>
        <w:rPr>
          <w:rFonts w:ascii="Arial" w:cs="Arial" w:eastAsia="宋体" w:hAnsi="Arial"/>
          <w:szCs w:val="24"/>
        </w:rPr>
        <w:t>，</w:t>
      </w:r>
      <w:r>
        <w:rPr>
          <w:rFonts w:ascii="Arial" w:cs="Arial" w:eastAsia="宋体" w:hAnsi="Arial"/>
          <w:sz w:val="22"/>
        </w:rPr>
        <w:t>是环评文件的重点关注内容</w:t>
      </w:r>
      <w:r>
        <w:rPr>
          <w:rFonts w:ascii="Arial" w:cs="Arial" w:eastAsia="宋体" w:hAnsi="Arial"/>
          <w:szCs w:val="24"/>
        </w:rPr>
        <w:t>。中国的《环评导则-生态影响》明确要求环评文件关注生态不利影响和有利影响，直接、间接和累积影响，减缓措施遵循避让、减缓、补偿和重建的次序来制定。</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Cs w:val="24"/>
        </w:rPr>
      </w:pPr>
      <w:r>
        <w:rPr>
          <w:rFonts w:ascii="Arial" w:cs="Arial" w:eastAsia="宋体" w:hAnsi="Arial"/>
          <w:b/>
          <w:szCs w:val="24"/>
        </w:rPr>
        <w:t>《自然保护区条例》</w:t>
      </w:r>
      <w:r>
        <w:rPr>
          <w:rFonts w:ascii="Arial" w:cs="Arial" w:eastAsia="宋体" w:hAnsi="Arial"/>
          <w:bCs/>
          <w:szCs w:val="24"/>
        </w:rPr>
        <w:t>（2017年修订）：</w:t>
      </w:r>
      <w:r>
        <w:rPr>
          <w:rFonts w:ascii="Arial" w:cs="Arial" w:eastAsia="宋体" w:hAnsi="Arial"/>
          <w:szCs w:val="24"/>
        </w:rPr>
        <w:t>对重要的栖息地，设立自然保护区。禁止在自然保护区内进行砍伐、放牧、狩猎、捕捞、采药、开垦、烧荒、开矿、采石、挖沙等活动。禁止任何人进入自然保护区的核心区（经批准的科研活动除外）。</w:t>
      </w:r>
      <w:r>
        <w:rPr>
          <w:rFonts w:ascii="Arial" w:cs="Arial" w:eastAsia="宋体" w:hAnsi="Arial"/>
          <w:sz w:val="22"/>
        </w:rPr>
        <w:t>在自然保护区的核心区和缓冲区内</w:t>
      </w:r>
      <w:r>
        <w:rPr>
          <w:rFonts w:ascii="Arial" w:cs="Arial" w:eastAsia="宋体" w:hAnsi="Arial"/>
          <w:szCs w:val="24"/>
        </w:rPr>
        <w:t>，</w:t>
      </w:r>
      <w:r>
        <w:rPr>
          <w:rFonts w:ascii="Arial" w:cs="Arial" w:eastAsia="宋体" w:hAnsi="Arial"/>
          <w:sz w:val="22"/>
        </w:rPr>
        <w:t>不得建设任何生产设施</w:t>
      </w:r>
      <w:r>
        <w:rPr>
          <w:rFonts w:ascii="Arial" w:cs="Arial" w:eastAsia="宋体" w:hAnsi="Arial"/>
          <w:szCs w:val="24"/>
        </w:rPr>
        <w:t>，</w:t>
      </w:r>
      <w:r>
        <w:rPr>
          <w:rFonts w:ascii="Arial" w:cs="Arial" w:eastAsia="宋体" w:hAnsi="Arial"/>
          <w:sz w:val="22"/>
        </w:rPr>
        <w:t>实验区内不得建设污染环境</w:t>
      </w:r>
      <w:r>
        <w:rPr>
          <w:rFonts w:ascii="Arial" w:cs="Arial" w:eastAsia="宋体" w:hAnsi="Arial"/>
          <w:szCs w:val="24"/>
        </w:rPr>
        <w:t>、破坏资源或者景观的生产设施。</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《关于建立以国家公园为主体的自然保护地体系的指导意见</w:t>
      </w:r>
      <w:r>
        <w:rPr>
          <w:rFonts w:ascii="Arial" w:cs="Arial" w:eastAsia="宋体" w:hAnsi="Arial"/>
          <w:sz w:val="22"/>
          <w:szCs w:val="24"/>
        </w:rPr>
        <w:t>》</w:t>
      </w:r>
      <w:r>
        <w:rPr>
          <w:rFonts w:ascii="Arial" w:cs="Arial" w:eastAsia="宋体" w:hAnsi="Arial"/>
          <w:sz w:val="22"/>
          <w:szCs w:val="24"/>
          <w:lang w:val="en-GB"/>
        </w:rPr>
        <w:t>(2019年)</w:t>
      </w:r>
      <w:r>
        <w:rPr>
          <w:rFonts w:ascii="Arial" w:cs="Arial" w:eastAsia="宋体" w:hAnsi="Arial"/>
          <w:sz w:val="22"/>
          <w:szCs w:val="24"/>
        </w:rPr>
        <w:t>：总体目标是建成中国特色的以国家公园为主体的自然保护地</w:t>
      </w:r>
      <w:r>
        <w:rPr>
          <w:rStyle w:val="style38"/>
          <w:rFonts w:ascii="Arial" w:cs="Arial" w:eastAsia="宋体" w:hAnsi="Arial"/>
          <w:sz w:val="22"/>
          <w:szCs w:val="24"/>
        </w:rPr>
        <w:footnoteReference w:id="9"/>
      </w:r>
      <w:r>
        <w:rPr>
          <w:rFonts w:ascii="Arial" w:cs="Arial" w:eastAsia="宋体" w:hAnsi="Arial"/>
          <w:sz w:val="22"/>
          <w:szCs w:val="24"/>
        </w:rPr>
        <w:t>体系。按照自然生态系统原真性、整体性、系统性及其内在规律，依据管理目标与效能并借鉴国际经验，将自然保护地按生态价值和保护强度高低依次分为3类，即国家公园</w:t>
      </w:r>
      <w:r>
        <w:rPr>
          <w:rStyle w:val="style38"/>
          <w:rFonts w:ascii="Arial" w:cs="Arial" w:eastAsia="宋体" w:hAnsi="Arial"/>
          <w:sz w:val="22"/>
          <w:szCs w:val="24"/>
        </w:rPr>
        <w:footnoteReference w:id="10"/>
      </w:r>
      <w:r>
        <w:rPr>
          <w:rFonts w:ascii="Arial" w:cs="Arial" w:eastAsia="宋体" w:hAnsi="Arial"/>
          <w:sz w:val="22"/>
          <w:szCs w:val="24"/>
        </w:rPr>
        <w:t>、自然保护区</w:t>
      </w:r>
      <w:r>
        <w:rPr>
          <w:rStyle w:val="style38"/>
          <w:rFonts w:ascii="Arial" w:cs="Arial" w:eastAsia="宋体" w:hAnsi="Arial"/>
          <w:sz w:val="22"/>
          <w:szCs w:val="24"/>
        </w:rPr>
        <w:footnoteReference w:id="11"/>
      </w:r>
      <w:r>
        <w:rPr>
          <w:rFonts w:ascii="Arial" w:cs="Arial" w:eastAsia="宋体" w:hAnsi="Arial"/>
          <w:sz w:val="22"/>
          <w:szCs w:val="24"/>
        </w:rPr>
        <w:t>、自然公园</w:t>
      </w:r>
      <w:r>
        <w:rPr>
          <w:rStyle w:val="style38"/>
          <w:rFonts w:ascii="Arial" w:cs="Arial" w:eastAsia="宋体" w:hAnsi="Arial"/>
          <w:sz w:val="22"/>
          <w:szCs w:val="24"/>
        </w:rPr>
        <w:footnoteReference w:id="12"/>
      </w:r>
      <w:r>
        <w:rPr>
          <w:rFonts w:ascii="Arial" w:cs="Arial" w:eastAsia="宋体" w:hAnsi="Arial"/>
          <w:sz w:val="22"/>
          <w:szCs w:val="24"/>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《关于加强资源环境生态红线管控的指导意见》</w:t>
      </w:r>
      <w:r>
        <w:rPr>
          <w:rFonts w:ascii="Arial" w:cs="Arial" w:eastAsia="宋体" w:hAnsi="Arial"/>
          <w:sz w:val="22"/>
          <w:szCs w:val="24"/>
          <w:lang w:val="en-GB"/>
        </w:rPr>
        <w:t>(</w:t>
      </w:r>
      <w:r>
        <w:rPr>
          <w:rFonts w:ascii="Arial" w:cs="Arial" w:eastAsia="宋体" w:hAnsi="Arial"/>
          <w:sz w:val="22"/>
          <w:szCs w:val="24"/>
        </w:rPr>
        <w:t>2016年)：根据涵养水源、保持水土、防风固沙、保护生物多样性</w:t>
      </w:r>
      <w:r>
        <w:rPr>
          <w:rFonts w:ascii="Arial" w:cs="Arial" w:eastAsia="宋体" w:hAnsi="Arial"/>
          <w:sz w:val="22"/>
        </w:rPr>
        <w:t>等要求</w:t>
      </w:r>
      <w:r>
        <w:rPr>
          <w:rFonts w:ascii="Arial" w:cs="Arial" w:eastAsia="宋体" w:hAnsi="Arial"/>
          <w:sz w:val="22"/>
          <w:szCs w:val="24"/>
        </w:rPr>
        <w:t>，兼顾经济社会发展需要，划定并严守生态保护红线。截至2020年底，全国各省市均已完成了生态保护红线的划定并开始实施。</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近年来，中国对现有的自然保护区、风景名胜区、地质公园、森林公园、海洋公园、湿地公园、冰川公园、草原公园、沙漠公园、草原风景区、水产种质资源保护区、野生植物原生境保护区（点）、自然保护小区、野生动物重要栖息地等各类自然保护地，按照保护区域的自然属性、生态价值和管理目标进行梳理调整和归类，逐步形成以国家公园为主体、自然保护区为基础、各类自然公园为补充的自然保护地分类系统。</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自然保护地实行差别化管控，国家公园和自然保护区内划分为核心保护区和一般控制区，核心保护区内原则上禁止人为活动，一般控制区内限制人为活动；自然公园原则上按一般控制区管理。</w:t>
      </w:r>
      <w:r>
        <w:rPr>
          <w:rFonts w:ascii="Arial" w:cs="Arial" w:eastAsia="宋体" w:hAnsi="Arial"/>
          <w:sz w:val="22"/>
          <w:szCs w:val="24"/>
        </w:rPr>
        <w:t>将生态功能重要、生态环境敏感脆弱以及其他有必要严格保护的各类自然保护地纳入生态保护红线管控范围。</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整合重要或脆弱的自然保护地、水源地保护区、永久基本农田等信息，划定区域生态保护红线。生态保护红线划定后，原则上按禁止开发区域的要求进行管理。严禁不符合主体功能定位的各类开发活动，严禁任意改变用途。</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林业部门</w:t>
      </w:r>
      <w:r>
        <w:rPr>
          <w:rFonts w:ascii="Arial" w:cs="Arial" w:eastAsia="宋体" w:hAnsi="Arial"/>
          <w:sz w:val="22"/>
        </w:rPr>
        <w:t>：2018年初中国组建了国家林业和草原局，加挂国家公园管理局牌子，统一监督管理国家公园、自然保护区等自然保护地。规划到2020年构建统一的自然保护地分类分级管理体制；到2025年初步建成以国家公园为主体的自然保护地体系；到2035年自然保护地规模和管理达到世界先进水平，全面建成中国特色自然保护地体系。</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color w:val="000000"/>
          <w:sz w:val="22"/>
        </w:rPr>
      </w:pPr>
      <w:r>
        <w:rPr>
          <w:rFonts w:ascii="Arial" w:cs="Arial" w:eastAsia="宋体" w:hAnsi="Arial"/>
          <w:color w:val="000000"/>
          <w:sz w:val="22"/>
        </w:rPr>
        <w:t>区县级林业局一般设有森林资源管理股或森林资源管理中心（4-5人），</w:t>
      </w:r>
      <w:r>
        <w:rPr>
          <w:rFonts w:ascii="Arial" w:cs="Arial" w:eastAsia="宋体" w:hAnsi="Arial"/>
          <w:bCs/>
          <w:color w:val="000000"/>
          <w:sz w:val="22"/>
        </w:rPr>
        <w:t>负责整合辖区内自然保护地范围、编制自然保护地规划、提交省级林业部门批准，并将生态功能重要、生态环境敏感脆弱的自然保护地纳入生态保护红线管控范围（个别区县由不同部门负责</w:t>
      </w:r>
      <w:r>
        <w:rPr>
          <w:rFonts w:ascii="Arial" w:cs="Arial" w:eastAsia="宋体" w:hAnsi="Arial"/>
          <w:color w:val="000000"/>
          <w:sz w:val="22"/>
        </w:rPr>
        <w:t>该项具体工作</w:t>
      </w:r>
      <w:r>
        <w:rPr>
          <w:rFonts w:ascii="Arial" w:cs="Arial" w:eastAsia="宋体" w:hAnsi="Arial"/>
          <w:bCs/>
          <w:color w:val="000000"/>
          <w:sz w:val="22"/>
        </w:rPr>
        <w:t>）。自然保护地</w:t>
      </w:r>
      <w:r>
        <w:rPr>
          <w:rFonts w:ascii="Arial" w:cs="Arial" w:eastAsia="宋体" w:hAnsi="Arial" w:hint="eastAsia"/>
          <w:bCs/>
          <w:color w:val="000000"/>
          <w:sz w:val="22"/>
        </w:rPr>
        <w:t>内非法开矿、修路、筑坝等造成生态</w:t>
      </w:r>
      <w:r>
        <w:rPr>
          <w:rFonts w:ascii="Arial" w:cs="Arial" w:eastAsia="宋体" w:hAnsi="Arial"/>
          <w:bCs/>
          <w:color w:val="000000"/>
          <w:sz w:val="22"/>
        </w:rPr>
        <w:t>破坏行为由生态环境部门</w:t>
      </w:r>
      <w:r>
        <w:rPr>
          <w:rFonts w:ascii="Arial" w:cs="Arial" w:eastAsia="宋体" w:hAnsi="Arial" w:hint="eastAsia"/>
          <w:bCs/>
          <w:color w:val="000000"/>
          <w:sz w:val="22"/>
        </w:rPr>
        <w:t>实施行政处罚</w:t>
      </w:r>
      <w:r>
        <w:rPr>
          <w:rFonts w:ascii="Arial" w:cs="Arial" w:eastAsia="宋体" w:hAnsi="Arial"/>
          <w:bCs/>
          <w:color w:val="000000"/>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自然资源部门</w:t>
      </w:r>
      <w:r>
        <w:rPr>
          <w:rFonts w:ascii="Arial" w:cs="Arial" w:eastAsia="宋体" w:hAnsi="Arial"/>
          <w:sz w:val="22"/>
        </w:rPr>
        <w:t>：区县级自然资源局一般设有乡村国土空间规划股（2-3人），负责整合当地林业局、生态环境局提供的自然保护地、水源保护区等红线信息，通过叠加而形成辖区内的生态保护红线范围，报省级自然资源厅审批，并负责协调其他相关部门一起对生态保护红线实施监管职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生态环境部门</w:t>
      </w:r>
      <w:r>
        <w:rPr>
          <w:rFonts w:ascii="Arial" w:cs="Arial" w:eastAsia="宋体" w:hAnsi="Arial"/>
          <w:sz w:val="22"/>
        </w:rPr>
        <w:t>：区县级生态环境局一般设有环评股或综合股（1-3人），负责水源保护区等红线管理，并在环评过程中审核生态保护红线的符合性，按三线一单分区管控要求严格环境准入。</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村庄规划或农村基础设施建设项目选址和用地申请均由区县级自然资源部门牵头审批。在用地预审前，建设单位需事先征求林业、生态环境等部门的意见，逐一确认项目选址不存在占用自然保护地、水源保护区等情况，最后由自然资源部门明确符合当地生态保护红线要求，完成选址和用地预审，报相应的人民政府批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自然资源、林业、生态环境等与自然生态保护和生态保护红线相关的部门一般都会采用相应的A</w:t>
      </w:r>
      <w:r>
        <w:rPr>
          <w:rFonts w:ascii="Arial" w:cs="Arial" w:eastAsia="宋体" w:hAnsi="Arial"/>
          <w:sz w:val="22"/>
          <w:lang w:val="en-GB"/>
        </w:rPr>
        <w:t>rc</w:t>
      </w:r>
      <w:r>
        <w:rPr>
          <w:rFonts w:ascii="Arial" w:cs="Arial" w:eastAsia="宋体" w:hAnsi="Arial"/>
          <w:sz w:val="22"/>
        </w:rPr>
        <w:t>GIS系统，对各自管辖范围内的自然保护地、水源保护区、永久基本农田等进行精准定位和管理。同时，国家自然资源部采用专用卫星随时监测全国国土空间变化，一旦发现不符合生态保护红线要求的图斑，就能及时锁定目标，责令地方相关部门进行核查、整改或接受惩治。</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综合考察结果，与本项目活动相关的自然栖息地和自然生态保护系统的法律制度合理，基层行业主管部门的机构设置和人员配备完整，运行体制健全，具备合适的知识和能力履行本项目活动相关的生态保护红线和自然保护地管理职责，与世行的自然栖息地核心原则要求相符。</w:t>
      </w:r>
    </w:p>
    <w:bookmarkStart w:id="454" w:name="_Toc93944811"/>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w:t>
      </w:r>
      <w:r>
        <w:rPr>
          <w:rFonts w:ascii="Arial" w:cs="Arial" w:eastAsia="宋体" w:hAnsi="Arial"/>
          <w:color w:val="1f4e79"/>
          <w:sz w:val="24"/>
          <w:szCs w:val="24"/>
          <w:lang w:val="en-GB"/>
        </w:rPr>
        <w:t>.4</w:t>
      </w:r>
      <w:r>
        <w:rPr>
          <w:rFonts w:ascii="Arial" w:cs="Arial" w:eastAsia="宋体" w:hAnsi="Arial"/>
          <w:color w:val="1f4e79"/>
          <w:sz w:val="24"/>
          <w:szCs w:val="24"/>
        </w:rPr>
        <w:tab/>
      </w:r>
      <w:r>
        <w:rPr>
          <w:rFonts w:ascii="Arial" w:cs="Arial" w:eastAsia="宋体" w:hAnsi="Arial"/>
          <w:color w:val="1f4e79"/>
          <w:sz w:val="24"/>
          <w:szCs w:val="24"/>
        </w:rPr>
        <w:t>健康与安全管理</w:t>
      </w:r>
      <w:bookmarkEnd w:id="451"/>
      <w:bookmarkEnd w:id="452"/>
      <w:r>
        <w:rPr>
          <w:rFonts w:ascii="Arial" w:cs="Arial" w:eastAsia="宋体" w:hAnsi="Arial"/>
          <w:color w:val="1f4e79"/>
          <w:sz w:val="24"/>
          <w:szCs w:val="24"/>
        </w:rPr>
        <w:t>系统</w:t>
      </w:r>
      <w:bookmarkEnd w:id="454"/>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本节只针对</w:t>
      </w:r>
      <w:r>
        <w:rPr>
          <w:rFonts w:ascii="Arial" w:cs="Arial" w:eastAsia="宋体" w:hAnsi="Arial"/>
          <w:sz w:val="22"/>
          <w:szCs w:val="24"/>
        </w:rPr>
        <w:t>暴露于有毒有害危险物品的活动中保护公众和工人安全的管理体系进行评价</w:t>
      </w:r>
      <w:r>
        <w:rPr>
          <w:rFonts w:ascii="Arial" w:cs="Arial" w:eastAsia="宋体" w:hAnsi="Arial"/>
          <w:sz w:val="22"/>
        </w:rPr>
        <w:t>，涉及农村生活污水、农村生活垃圾、畜禽粪污等设施中的恶臭（含氨、硫化氢等吸入性毒性物质）和固液废物（含致病微生物），农村生活垃圾中的危险废物（如废药品、废杀虫剂、废油漆、废荧光灯管、废电池），种植业生产中使用的农药（属于危险化学品），养殖业中的病死动物（含致病微生物）等，都可能对劳动者或附近公众产生健康风险。关于本项目工程设施建设与运行中可能涉及的健康与安全风险，中国已建有专门的职业病防治和安全生产管理体系，详情在第4章介绍。</w:t>
      </w:r>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《动物防疫法》</w:t>
      </w:r>
      <w:r>
        <w:rPr>
          <w:rFonts w:ascii="Arial" w:cs="Arial" w:eastAsia="宋体" w:hAnsi="Arial"/>
          <w:bCs/>
          <w:sz w:val="22"/>
        </w:rPr>
        <w:t>(2021年修订)：要求</w:t>
      </w:r>
      <w:r>
        <w:rPr>
          <w:rFonts w:ascii="Arial" w:cs="Arial" w:eastAsia="宋体" w:hAnsi="Arial"/>
          <w:sz w:val="22"/>
        </w:rPr>
        <w:t>对从事动物疫病预防、检疫、监督检查、现场处理疫情以及在工作中接触动物疫病病原体的人员，有关单位按照国家规定，采取有效的卫生防护、医疗保健措施，给予畜牧兽医医疗卫生津贴等相关待遇。</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sz w:val="22"/>
        </w:rPr>
        <w:t>《危险化学品安全管理条例》</w:t>
      </w:r>
      <w:r>
        <w:rPr>
          <w:rFonts w:ascii="Arial" w:cs="Arial" w:eastAsia="宋体" w:hAnsi="Arial"/>
          <w:bCs/>
          <w:sz w:val="22"/>
        </w:rPr>
        <w:t>(2013年修订)：</w:t>
      </w:r>
      <w:r>
        <w:rPr>
          <w:rFonts w:ascii="Arial" w:cs="Arial" w:eastAsia="宋体" w:hAnsi="Arial"/>
          <w:sz w:val="22"/>
        </w:rPr>
        <w:t>明确了企业负有危险化学品安全管理的主体责任；要求接触危险化学品的工人需要接受强制性的培训；提供个人防护设备。本项目涉及农药经营和使用活动，属于危险化学品安全管理范畴。</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《病死及病害动物无害化处理技术规范》</w:t>
      </w:r>
      <w:r>
        <w:rPr>
          <w:rFonts w:ascii="Arial" w:cs="Arial" w:eastAsia="宋体" w:hAnsi="Arial"/>
          <w:sz w:val="22"/>
          <w:lang w:val="en-GB"/>
        </w:rPr>
        <w:t>(</w:t>
      </w:r>
      <w:r>
        <w:rPr>
          <w:rFonts w:ascii="Arial" w:cs="Arial" w:eastAsia="宋体" w:hAnsi="Arial"/>
          <w:sz w:val="22"/>
        </w:rPr>
        <w:t>2017年)：规定了处理病死、病害动物和相关产品的人员防护和记录要求。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《建设项目职业病危害风险分类管理目录》</w:t>
      </w:r>
      <w:r>
        <w:rPr>
          <w:rFonts w:ascii="Arial" w:cs="Arial" w:eastAsia="宋体" w:hAnsi="Arial"/>
          <w:sz w:val="22"/>
          <w:lang w:val="en-GB"/>
        </w:rPr>
        <w:t>(2021年)</w:t>
      </w:r>
      <w:r>
        <w:rPr>
          <w:rFonts w:ascii="Arial" w:cs="Arial" w:eastAsia="宋体" w:hAnsi="Arial"/>
          <w:sz w:val="22"/>
        </w:rPr>
        <w:t>：规定了十二大类风险类别（84个行业，281个具体生产活动），其中畜牧业、污水处理、环境卫生管理等都被划为具有危害风险的职业病。</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《职业病分类和目录》</w:t>
      </w:r>
      <w:r>
        <w:rPr>
          <w:rFonts w:ascii="Arial" w:cs="Arial" w:eastAsia="宋体" w:hAnsi="Arial"/>
          <w:sz w:val="22"/>
          <w:lang w:val="en-GB"/>
        </w:rPr>
        <w:t>(2013年)</w:t>
      </w:r>
      <w:r>
        <w:rPr>
          <w:rFonts w:ascii="Arial" w:cs="Arial" w:eastAsia="宋体" w:hAnsi="Arial"/>
          <w:sz w:val="22"/>
        </w:rPr>
        <w:t>：列出了呼吸、皮肤、化学、物理等十大类132小类职业病类型，将氨中毒和硫化氢中毒列为职业性化学中毒。</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hint="eastAsia"/>
          <w:b/>
          <w:bCs/>
          <w:sz w:val="22"/>
        </w:rPr>
        <w:t>《国家危险废物名录》</w:t>
      </w:r>
      <w:r>
        <w:rPr>
          <w:rFonts w:ascii="Arial" w:cs="Arial" w:eastAsia="宋体" w:hAnsi="Arial"/>
          <w:sz w:val="22"/>
          <w:lang w:val="en-GB"/>
        </w:rPr>
        <w:t>(2021年)</w:t>
      </w:r>
      <w:r>
        <w:rPr>
          <w:rFonts w:ascii="Arial" w:cs="Arial" w:eastAsia="宋体" w:hAnsi="Arial"/>
          <w:sz w:val="22"/>
        </w:rPr>
        <w:t>：生活垃圾中未集中收集的废药品、废杀虫剂，废油漆、废电池等，不按危险废物管理。</w:t>
      </w:r>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农药中部分品种属于危险化学品，根据前面农药管理系统中的介绍，农药生产者和经营者都按国家规定取得许可证，并且整个生产、销售和使用过程都在农业农村、生态环境、工信、市监督等部门的监管下进行，因此不会对公众健康产生广泛的影响。农药使用者应当遵守农药安全使用制度，妥善保管农药，并在配药、用药过程中采取必要的防护措施（如口罩、护目镜、手套等），避免发生农药使用事故。</w:t>
      </w:r>
    </w:p>
    <w:p>
      <w:pPr>
        <w:pStyle w:val="style179"/>
        <w:numPr>
          <w:ilvl w:val="0"/>
          <w:numId w:val="6"/>
        </w:numPr>
        <w:adjustRightInd w:val="false"/>
        <w:snapToGrid w:val="false"/>
        <w:ind w:left="0" w:firstLine="0" w:firstLineChars="0"/>
        <w:rPr>
          <w:rFonts w:ascii="Arial" w:cs="Arial" w:eastAsia="宋体" w:hAnsi="Arial"/>
          <w:sz w:val="22"/>
        </w:rPr>
      </w:pPr>
      <w:r>
        <w:rPr>
          <w:rFonts w:ascii="Arial" w:cs="Arial" w:eastAsia="宋体" w:hAnsi="Arial"/>
          <w:sz w:val="22"/>
        </w:rPr>
        <w:t>农村家庭生活产生的危险废物（如废药品、废杀虫剂，废油漆、废电池等）一般量比较小，且与生活垃圾混在一起未集中收集。根据最近的《国家危险废物名录》规定，这些废物不作为危险废物管理。考虑这种情况，多数生活垃圾焚烧厂和垃圾填埋场都在设计、施工和运行中采用妥善措施处理这类危险废物。比如垃圾填埋场会设置雨水分流、双层防渗、渗滤液收集与处理、监测与应急等设施。许多项目县正在规划开展农村生活垃圾分类收集，这样其中的危险废物将在未来得到单独收集、运输和处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村生活污水处理、农村垃圾收集与转运、畜禽养殖等设施一般离居民密集区较远，对公众健康的影响有限。运行单位负责各自员工的职业健康与安全管理，按国家规定建立职业卫生管理制度和劳动者健康档案，为员工提供健康体检。从事特殊岗位如污水运行维护、垃圾收集和转运、畜禽粪污管理、病死病害动物处置等工作人员，会接受专门的上岗培训；为避免受到恶臭、固液废物、危险废物中有毒有害物质和致病微生物对健康的影响，工人作业时要佩戴、使用符合国家或者行业标准的劳动防护用品，如防护服、口罩、护目镜、胶鞋、手套等，自觉养成勤洗手、工作后洗澡、不在生产场所进食或喝水等卫生习惯；病死病害动物处理人员还应按规范要求使用专用的收集、包装、转运、清洗、消毒等工具，工作完毕后对防护用品进行妥善消毒或销毁处理以免传播致病菌。</w:t>
      </w:r>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卫健和应急管理部门对本项目活动安全与健康问题进行宏观协调与监督，具体的管理工作由项目单位或企业主体负责、由县级各行业主管部门（农业农村、生态环境、住建）监管。县级行业主管部门一般在每个月的例行督察中同时检查职业健康与安全情况，比如农业综合执法大队或环境执法大队会要求垃圾转运站、畜禽养殖场改进除臭措施并加强工人卫生防疫和健康防护措施；农业农村部门会指导农户安全保管农药、使用时佩戴必要的防护用具，避免对公众或使用者造成毒性事故等。</w:t>
      </w:r>
    </w:p>
    <w:bookmarkStart w:id="455" w:name="_Toc79939259"/>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根据调查，广西和贵州两省的样本县在项目活动相关的恶臭、农药等</w:t>
      </w:r>
      <w:r>
        <w:rPr>
          <w:rFonts w:ascii="Arial" w:cs="Arial" w:eastAsia="宋体" w:hAnsi="Arial"/>
          <w:sz w:val="22"/>
          <w:szCs w:val="24"/>
        </w:rPr>
        <w:t>有毒有害危险物品管理中，通过行业主管部门的监督、检查、培训、指导，提高企业或使用者的健康与安全保护意识和能力，</w:t>
      </w:r>
      <w:r>
        <w:rPr>
          <w:rFonts w:ascii="Arial" w:cs="Arial" w:eastAsia="宋体" w:hAnsi="Arial"/>
          <w:sz w:val="22"/>
        </w:rPr>
        <w:t>建立了有效的管理和监督体系，可以应对本项目下支持的相关活动的健康与安全风险。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调查中也发现，垃圾转运站、畜禽养殖场还应加强恶臭气体处理措施，因地制宜采取场所密闭、喷洒除臭剂、生物吸附、生物过滤、建设绿化隔离带、及时清理畜禽养殖废弃物等手段减少恶臭气体扩散，降低恶臭气体对场区工人和周边居民的影响。工作人员的卫生清洁设施和劳动防护用品也需要进一步完善。</w:t>
      </w:r>
    </w:p>
    <w:bookmarkStart w:id="456" w:name="_Toc93944812"/>
    <w:p>
      <w:pPr>
        <w:pStyle w:val="style2"/>
        <w:ind w:left="426" w:hanging="426"/>
        <w:rPr>
          <w:color w:val="1f4e79"/>
          <w:sz w:val="24"/>
          <w:szCs w:val="24"/>
        </w:rPr>
      </w:pPr>
      <w:r>
        <w:rPr>
          <w:color w:val="1f4e79"/>
          <w:sz w:val="24"/>
          <w:szCs w:val="24"/>
        </w:rPr>
        <w:t>3.3</w:t>
      </w:r>
      <w:r>
        <w:rPr>
          <w:color w:val="1f4e79"/>
          <w:sz w:val="24"/>
          <w:szCs w:val="24"/>
        </w:rPr>
        <w:tab/>
      </w:r>
      <w:r>
        <w:rPr>
          <w:color w:val="1f4e79"/>
          <w:sz w:val="24"/>
          <w:szCs w:val="24"/>
        </w:rPr>
        <w:tab/>
      </w:r>
      <w:r>
        <w:rPr>
          <w:color w:val="1f4e79"/>
          <w:sz w:val="24"/>
          <w:szCs w:val="24"/>
        </w:rPr>
        <w:t>与世行原则的一致性分析</w:t>
      </w:r>
      <w:bookmarkEnd w:id="450"/>
      <w:bookmarkEnd w:id="455"/>
      <w:bookmarkEnd w:id="45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通过以上对与本项目环境管理系统的描述，本节将其与世行《结果导向型贷款项目环境与社会系统评价指南》中的原则和关键要素进行对比分析</w:t>
      </w:r>
      <w:r>
        <w:rPr>
          <w:rStyle w:val="style38"/>
          <w:rFonts w:ascii="Arial" w:cs="Arial" w:eastAsia="宋体" w:hAnsi="Arial"/>
          <w:sz w:val="22"/>
        </w:rPr>
        <w:footnoteReference w:id="13"/>
      </w:r>
      <w:r>
        <w:rPr>
          <w:rFonts w:ascii="Arial" w:cs="Arial" w:eastAsia="宋体" w:hAnsi="Arial"/>
          <w:sz w:val="22"/>
        </w:rPr>
        <w:t>，得出的结论摘要列于表3-4，详细的对比分析见</w:t>
      </w:r>
      <w:r>
        <w:rPr>
          <w:rFonts w:ascii="Arial" w:cs="Arial" w:eastAsia="宋体" w:hAnsi="Arial"/>
          <w:sz w:val="22"/>
        </w:rPr>
        <w:fldChar w:fldCharType="begin"/>
      </w:r>
      <w:r>
        <w:rPr>
          <w:rFonts w:ascii="Arial" w:cs="Arial" w:eastAsia="宋体" w:hAnsi="Arial"/>
          <w:sz w:val="22"/>
        </w:rPr>
        <w:instrText xml:space="preserve"> REF _Ref91096120 \r \h  \* MERGEFORMAT </w:instrText>
      </w:r>
      <w:r>
        <w:rPr>
          <w:rFonts w:ascii="Arial" w:cs="Arial" w:eastAsia="宋体" w:hAnsi="Arial"/>
          <w:sz w:val="22"/>
        </w:rPr>
        <w:fldChar w:fldCharType="separate"/>
      </w:r>
      <w:r>
        <w:rPr>
          <w:rFonts w:ascii="Arial" w:cs="Arial" w:eastAsia="宋体" w:hAnsi="Arial"/>
          <w:sz w:val="22"/>
        </w:rPr>
        <w:t>附件3</w:t>
      </w:r>
      <w:r>
        <w:rPr>
          <w:rFonts w:ascii="Arial" w:cs="Arial" w:eastAsia="宋体" w:hAnsi="Arial"/>
          <w:sz w:val="22"/>
        </w:rPr>
        <w:fldChar w:fldCharType="end"/>
      </w:r>
      <w:r>
        <w:rPr>
          <w:rFonts w:ascii="Arial" w:cs="Arial" w:eastAsia="宋体" w:hAnsi="Arial"/>
          <w:sz w:val="22"/>
        </w:rPr>
        <w:t>。</w:t>
      </w:r>
    </w:p>
    <w:p>
      <w:pPr>
        <w:pStyle w:val="style0"/>
        <w:adjustRightInd w:val="false"/>
        <w:snapToGrid w:val="false"/>
        <w:spacing w:before="120" w:after="120"/>
        <w:jc w:val="center"/>
        <w:rPr>
          <w:rFonts w:ascii="Arial" w:cs="Arial" w:eastAsia="宋体" w:hAnsi="Arial"/>
          <w:b/>
          <w:bCs/>
          <w:color w:val="1f4e79"/>
          <w:sz w:val="22"/>
          <w:szCs w:val="24"/>
        </w:rPr>
      </w:pPr>
      <w:r>
        <w:rPr>
          <w:rFonts w:ascii="Arial" w:cs="Arial" w:eastAsia="宋体" w:hAnsi="Arial"/>
          <w:b/>
          <w:bCs/>
          <w:color w:val="1f4e79"/>
          <w:sz w:val="22"/>
          <w:szCs w:val="24"/>
        </w:rPr>
        <w:t>表3-4：</w:t>
      </w:r>
      <w:r>
        <w:rPr>
          <w:rFonts w:ascii="Arial" w:cs="Arial" w:eastAsia="宋体" w:hAnsi="Arial"/>
          <w:b/>
          <w:bCs/>
          <w:color w:val="1f4e79"/>
          <w:sz w:val="22"/>
        </w:rPr>
        <w:t>国内环境体系与世行原则和要素对比分析</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57" w:type="dxa"/>
          <w:bottom w:w="0" w:type="dxa"/>
          <w:right w:w="57" w:type="dxa"/>
        </w:tblCellMar>
      </w:tblPr>
      <w:tblGrid>
        <w:gridCol w:w="2581"/>
        <w:gridCol w:w="6315"/>
        <w:gridCol w:w="850"/>
      </w:tblGrid>
      <w:tr>
        <w:trPr>
          <w:tblHeader/>
        </w:trPr>
        <w:tc>
          <w:tcPr>
            <w:tcW w:w="1324" w:type="pct"/>
            <w:tcBorders/>
            <w:shd w:val="clear" w:color="auto" w:fill="f1f1f1"/>
          </w:tcPr>
          <w:p>
            <w:pPr>
              <w:pStyle w:val="style0"/>
              <w:autoSpaceDE w:val="false"/>
              <w:autoSpaceDN w:val="false"/>
              <w:adjustRightInd w:val="false"/>
              <w:jc w:val="center"/>
              <w:rPr>
                <w:rFonts w:ascii="Arial" w:cs="Arial" w:eastAsia="宋体" w:hAnsi="Arial"/>
                <w:b/>
                <w:sz w:val="20"/>
                <w:szCs w:val="24"/>
              </w:rPr>
            </w:pPr>
            <w:r>
              <w:rPr>
                <w:rFonts w:ascii="Arial" w:cs="Arial" w:eastAsia="宋体" w:hAnsi="Arial"/>
                <w:b/>
                <w:sz w:val="20"/>
                <w:szCs w:val="24"/>
              </w:rPr>
              <w:t>世行关键要素</w:t>
            </w:r>
          </w:p>
        </w:tc>
        <w:tc>
          <w:tcPr>
            <w:tcW w:w="3240" w:type="pct"/>
            <w:tcBorders/>
            <w:shd w:val="clear" w:color="auto" w:fill="f1f1f1"/>
          </w:tcPr>
          <w:p>
            <w:pPr>
              <w:pStyle w:val="style0"/>
              <w:autoSpaceDE w:val="false"/>
              <w:autoSpaceDN w:val="false"/>
              <w:adjustRightInd w:val="false"/>
              <w:jc w:val="center"/>
              <w:rPr>
                <w:rFonts w:ascii="Arial" w:cs="Arial" w:eastAsia="宋体" w:hAnsi="Arial"/>
                <w:b/>
                <w:sz w:val="20"/>
                <w:szCs w:val="24"/>
              </w:rPr>
            </w:pPr>
            <w:r>
              <w:rPr>
                <w:rFonts w:ascii="Arial" w:cs="Arial" w:eastAsia="宋体" w:hAnsi="Arial"/>
                <w:b/>
                <w:sz w:val="20"/>
                <w:szCs w:val="24"/>
              </w:rPr>
              <w:t>国内环境管理系统</w:t>
            </w:r>
          </w:p>
        </w:tc>
        <w:tc>
          <w:tcPr>
            <w:tcW w:w="436" w:type="pct"/>
            <w:tcBorders/>
            <w:shd w:val="clear" w:color="auto" w:fill="f1f1f1"/>
          </w:tcPr>
          <w:p>
            <w:pPr>
              <w:pStyle w:val="style0"/>
              <w:autoSpaceDE w:val="false"/>
              <w:autoSpaceDN w:val="false"/>
              <w:adjustRightInd w:val="false"/>
              <w:jc w:val="center"/>
              <w:rPr>
                <w:rFonts w:ascii="Arial" w:cs="Arial" w:eastAsia="宋体" w:hAnsi="Arial"/>
                <w:b/>
                <w:sz w:val="20"/>
                <w:szCs w:val="24"/>
              </w:rPr>
            </w:pPr>
            <w:r>
              <w:rPr>
                <w:rFonts w:ascii="Arial" w:cs="Arial" w:eastAsia="宋体" w:hAnsi="Arial"/>
                <w:b/>
                <w:sz w:val="20"/>
                <w:szCs w:val="24"/>
              </w:rPr>
              <w:t>一致性</w:t>
            </w:r>
          </w:p>
        </w:tc>
      </w:tr>
      <w:tr>
        <w:tblPrEx>
          <w:shd w:val="clear" w:color="auto" w:fill="d9d9d9"/>
        </w:tblPrEx>
        <w:trPr/>
        <w:tc>
          <w:tcPr>
            <w:tcW w:w="5000" w:type="pct"/>
            <w:gridSpan w:val="3"/>
            <w:tcBorders/>
            <w:shd w:val="clear" w:color="auto" w:fill="ffffff"/>
          </w:tcPr>
          <w:p>
            <w:pPr>
              <w:pStyle w:val="style0"/>
              <w:autoSpaceDE w:val="false"/>
              <w:autoSpaceDN w:val="false"/>
              <w:adjustRightInd w:val="false"/>
              <w:rPr>
                <w:rFonts w:ascii="Arial" w:cs="Arial" w:eastAsia="宋体" w:hAnsi="Arial"/>
                <w:b/>
                <w:sz w:val="20"/>
                <w:szCs w:val="24"/>
              </w:rPr>
            </w:pPr>
            <w:r>
              <w:rPr>
                <w:rFonts w:ascii="Arial" w:cs="Arial" w:eastAsia="宋体" w:hAnsi="Arial"/>
                <w:b/>
                <w:sz w:val="20"/>
                <w:szCs w:val="24"/>
              </w:rPr>
              <w:t>原则1 - 环境影响评价和管理：PforR项目环境管理系统应该能够促进环境可持续发展；避免、减少或缓解不利影响；从环境影响方面为项目决策提供建议（社会影响评价和管理在第4章介绍）。</w:t>
            </w:r>
          </w:p>
        </w:tc>
      </w:tr>
      <w:tr>
        <w:tblPrEx/>
        <w:trPr/>
        <w:tc>
          <w:tcPr>
            <w:tcW w:w="1324" w:type="pct"/>
            <w:tcBorders/>
            <w:shd w:val="clear" w:color="auto" w:fill="auto"/>
          </w:tcPr>
          <w:p>
            <w:pPr>
              <w:pStyle w:val="style0"/>
              <w:autoSpaceDE w:val="false"/>
              <w:autoSpaceDN w:val="false"/>
              <w:adjustRightInd w:val="false"/>
              <w:rPr>
                <w:rFonts w:ascii="Arial" w:cs="Arial" w:eastAsia="宋体" w:hAnsi="Arial"/>
                <w:sz w:val="20"/>
                <w:szCs w:val="24"/>
                <w:lang w:val="en-GB"/>
              </w:rPr>
            </w:pPr>
            <w:r>
              <w:rPr>
                <w:rFonts w:ascii="Arial" w:cs="Arial" w:eastAsia="宋体" w:hAnsi="Arial"/>
                <w:sz w:val="20"/>
                <w:szCs w:val="24"/>
              </w:rPr>
              <w:t>1. 针对整个PforR项目，应该有充分的法律规章制度，指导环境影响评价、消减、管理与监测的实施。</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中国已经形成了以《环境保护法》为基本法和一系列单行法为支撑、由众多法规、规章、标准、规范等共同构建的环境保护和污染防治法律法规体系，并正在逐步与世界水平接轨。</w:t>
            </w:r>
          </w:p>
        </w:tc>
        <w:tc>
          <w:tcPr>
            <w:tcW w:w="436" w:type="pct"/>
            <w:tcBorders/>
            <w:shd w:val="clear" w:color="auto" w:fill="auto"/>
          </w:tcPr>
          <w:p>
            <w:pPr>
              <w:pStyle w:val="style0"/>
              <w:autoSpaceDE w:val="false"/>
              <w:autoSpaceDN w:val="false"/>
              <w:adjustRightIn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rPr>
                <w:rFonts w:ascii="Arial" w:cs="Arial" w:eastAsia="宋体" w:hAnsi="Arial"/>
                <w:sz w:val="20"/>
                <w:szCs w:val="24"/>
              </w:rPr>
            </w:pPr>
            <w:r>
              <w:rPr>
                <w:rFonts w:ascii="Arial" w:cs="Arial" w:eastAsia="宋体" w:hAnsi="Arial"/>
                <w:sz w:val="20"/>
                <w:szCs w:val="24"/>
              </w:rPr>
              <w:t>2. 环境影响评价和管理中应充分考虑：</w:t>
            </w:r>
            <w:r>
              <w:rPr>
                <w:rFonts w:ascii="Arial" w:cs="Arial" w:eastAsia="宋体" w:hAnsi="Arial"/>
                <w:sz w:val="20"/>
                <w:szCs w:val="24"/>
                <w:lang w:val="en-GB"/>
              </w:rPr>
              <w:t>(</w:t>
            </w:r>
            <w:r>
              <w:rPr>
                <w:rFonts w:ascii="Arial" w:cs="Arial" w:eastAsia="宋体" w:hAnsi="Arial"/>
                <w:sz w:val="20"/>
                <w:szCs w:val="24"/>
              </w:rPr>
              <w:t>i) 早期影响筛查；</w:t>
            </w:r>
            <w:r>
              <w:rPr>
                <w:rFonts w:ascii="Arial" w:cs="Arial" w:eastAsia="宋体" w:hAnsi="Arial"/>
                <w:sz w:val="20"/>
                <w:szCs w:val="24"/>
                <w:lang w:val="en-GB"/>
              </w:rPr>
              <w:t>(</w:t>
            </w:r>
            <w:r>
              <w:rPr>
                <w:rFonts w:ascii="Arial" w:cs="Arial" w:eastAsia="宋体" w:hAnsi="Arial"/>
                <w:sz w:val="20"/>
                <w:szCs w:val="24"/>
              </w:rPr>
              <w:t>ii) 战略、技术和选址等替代方案（包括无项目方案）分析；</w:t>
            </w:r>
            <w:r>
              <w:rPr>
                <w:rFonts w:ascii="Arial" w:cs="Arial" w:eastAsia="宋体" w:hAnsi="Arial"/>
                <w:sz w:val="20"/>
                <w:szCs w:val="24"/>
                <w:lang w:val="en-GB"/>
              </w:rPr>
              <w:t>(</w:t>
            </w:r>
            <w:r>
              <w:rPr>
                <w:rFonts w:ascii="Arial" w:cs="Arial" w:eastAsia="宋体" w:hAnsi="Arial"/>
                <w:sz w:val="20"/>
                <w:szCs w:val="24"/>
              </w:rPr>
              <w:t>iii) 诱发、累积和跨境环境影响评价；</w:t>
            </w:r>
            <w:r>
              <w:rPr>
                <w:rFonts w:ascii="Arial" w:cs="Arial" w:eastAsia="宋体" w:hAnsi="Arial"/>
                <w:sz w:val="20"/>
                <w:szCs w:val="24"/>
                <w:lang w:val="en-GB"/>
              </w:rPr>
              <w:t>(</w:t>
            </w:r>
            <w:r>
              <w:rPr>
                <w:rFonts w:ascii="Arial" w:cs="Arial" w:eastAsia="宋体" w:hAnsi="Arial"/>
                <w:sz w:val="20"/>
                <w:szCs w:val="24"/>
              </w:rPr>
              <w:t>iv) 制定措施避免、减少和缓解不利的环境风险和影响；</w:t>
            </w:r>
            <w:r>
              <w:rPr>
                <w:rFonts w:ascii="Arial" w:cs="Arial" w:eastAsia="宋体" w:hAnsi="Arial"/>
                <w:sz w:val="20"/>
                <w:szCs w:val="24"/>
                <w:lang w:val="en-GB"/>
              </w:rPr>
              <w:t>(</w:t>
            </w:r>
            <w:r>
              <w:rPr>
                <w:rFonts w:ascii="Arial" w:cs="Arial" w:eastAsia="宋体" w:hAnsi="Arial"/>
                <w:sz w:val="20"/>
                <w:szCs w:val="24"/>
              </w:rPr>
              <w:t>v) 明确实施环境影响消减措施的机构职责和人员安排；</w:t>
            </w:r>
            <w:r>
              <w:rPr>
                <w:rFonts w:ascii="Arial" w:cs="Arial" w:eastAsia="宋体" w:hAnsi="Arial"/>
                <w:sz w:val="20"/>
                <w:szCs w:val="24"/>
                <w:lang w:val="en-GB"/>
              </w:rPr>
              <w:t>(</w:t>
            </w:r>
            <w:r>
              <w:rPr>
                <w:rFonts w:ascii="Arial" w:cs="Arial" w:eastAsia="宋体" w:hAnsi="Arial"/>
                <w:sz w:val="20"/>
                <w:szCs w:val="24"/>
              </w:rPr>
              <w:t>vi) 通过利益相关方参与、信息发布和投诉机制，提高公众</w:t>
            </w:r>
            <w:r>
              <w:rPr>
                <w:rFonts w:ascii="Arial" w:cs="Arial" w:eastAsia="宋体" w:hAnsi="Arial"/>
                <w:sz w:val="20"/>
                <w:szCs w:val="24"/>
                <w:lang w:val="en-GB"/>
              </w:rPr>
              <w:t>的响应能力和责任感</w:t>
            </w:r>
            <w:r>
              <w:rPr>
                <w:rFonts w:ascii="Arial" w:cs="Arial" w:eastAsia="宋体" w:hAnsi="Arial"/>
                <w:sz w:val="20"/>
                <w:szCs w:val="24"/>
              </w:rPr>
              <w:t>。</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环境影响评价体系要求在项目设计和环境评价初期开展环境影响筛查，根据环境影响程度进行环评分类（报告书、报告表、登记表、豁免环评）管理。</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环评过程中一般都要开展替代方案比选、影响预测（包括有利与不利、长期与短期、直接与间接、累积性的影响）、环保措施、实施机构和职责、环境管理与监测计划、公众参与和信息披露等工作。</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具有比较成熟的环保机制和生态环境部门牵头的环保机构安排。近年来环境管理改革，从只重环评审批，到加强事中事后监管，逐步实现环境影响全过程管理。</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在实际调查中发现，大中型建设项目的环境管理比较完善，但农村污水处理设施、垃圾中转站等小型项目存在运行维护资金和能力不足、污染物处理设施不到位等问题。</w:t>
            </w:r>
          </w:p>
        </w:tc>
        <w:tc>
          <w:tcPr>
            <w:tcW w:w="436" w:type="pct"/>
            <w:tcBorders/>
            <w:shd w:val="clear" w:color="auto" w:fill="auto"/>
          </w:tcPr>
          <w:p>
            <w:pPr>
              <w:pStyle w:val="style0"/>
              <w:autoSpaceDE w:val="false"/>
              <w:autoSpaceDN w:val="false"/>
              <w:adjustRightInd w:val="false"/>
              <w:jc w:val="left"/>
              <w:rPr>
                <w:rFonts w:ascii="Arial" w:cs="Arial" w:eastAsia="宋体" w:hAnsi="Arial"/>
                <w:sz w:val="20"/>
                <w:szCs w:val="24"/>
              </w:rPr>
            </w:pPr>
            <w:r>
              <w:rPr>
                <w:rFonts w:ascii="Arial" w:cs="Arial" w:eastAsia="宋体" w:hAnsi="Arial"/>
                <w:sz w:val="20"/>
                <w:szCs w:val="24"/>
              </w:rPr>
              <w:t>基本一致。小型设施环境管理需要加强。</w:t>
            </w:r>
          </w:p>
        </w:tc>
      </w:tr>
      <w:tr>
        <w:tblPrEx>
          <w:shd w:val="clear" w:color="auto" w:fill="d9d9d9"/>
        </w:tblPrEx>
        <w:trPr/>
        <w:tc>
          <w:tcPr>
            <w:tcW w:w="5000" w:type="pct"/>
            <w:gridSpan w:val="3"/>
            <w:tcBorders/>
            <w:shd w:val="clear" w:color="auto" w:fill="ffffff"/>
          </w:tcPr>
          <w:p>
            <w:pPr>
              <w:pStyle w:val="style0"/>
              <w:snapToGrid w:val="false"/>
              <w:rPr>
                <w:rFonts w:ascii="Arial" w:cs="Arial" w:eastAsia="宋体" w:hAnsi="Arial"/>
                <w:b/>
                <w:sz w:val="20"/>
                <w:szCs w:val="24"/>
                <w:lang w:val="en-GB"/>
              </w:rPr>
            </w:pPr>
            <w:r>
              <w:rPr>
                <w:rFonts w:ascii="Arial" w:cs="Arial" w:eastAsia="宋体" w:hAnsi="Arial"/>
                <w:b/>
                <w:sz w:val="20"/>
                <w:szCs w:val="24"/>
              </w:rPr>
              <w:t>原则2 - 自然栖息地保护：</w:t>
            </w:r>
            <w:r>
              <w:rPr>
                <w:rFonts w:ascii="Arial" w:cs="Arial" w:eastAsia="宋体" w:hAnsi="Arial"/>
                <w:b/>
                <w:bCs/>
                <w:kern w:val="0"/>
                <w:sz w:val="20"/>
                <w:szCs w:val="24"/>
              </w:rPr>
              <w:t>环境管理系统应能够避免、减少或缓解本项目活动对自然栖息地的影响；项目活动若涉及重要自然栖息地重大破坏或显著退化，则不被</w:t>
            </w:r>
            <w:r>
              <w:rPr>
                <w:rFonts w:ascii="Arial" w:cs="Arial" w:eastAsia="宋体" w:hAnsi="Arial"/>
                <w:b/>
                <w:bCs/>
                <w:kern w:val="0"/>
                <w:sz w:val="20"/>
                <w:szCs w:val="24"/>
                <w:lang w:val="en-GB"/>
              </w:rPr>
              <w:t>PforR项目所支持（</w:t>
            </w:r>
            <w:r>
              <w:rPr>
                <w:rFonts w:ascii="Arial" w:cs="Arial" w:eastAsia="宋体" w:hAnsi="Arial"/>
                <w:b/>
                <w:bCs/>
                <w:kern w:val="0"/>
                <w:sz w:val="20"/>
                <w:szCs w:val="24"/>
              </w:rPr>
              <w:t>物质文化资源在第4章介绍</w:t>
            </w:r>
            <w:r>
              <w:rPr>
                <w:rFonts w:ascii="Arial" w:cs="Arial" w:eastAsia="宋体" w:hAnsi="Arial"/>
                <w:b/>
                <w:bCs/>
                <w:kern w:val="0"/>
                <w:sz w:val="20"/>
                <w:szCs w:val="24"/>
                <w:lang w:val="en-GB"/>
              </w:rPr>
              <w:t>）。</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3. 尽早识别和筛查可能对重要生物多样性维护区域产生的不利影响，并制定充分的避免、减少或缓解措施。</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生态环境要素（包括野生动植物、重要栖息地、生物多样性）属于国内环评要求识别的环境保护目标，是环评文件的重要内容。</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在实际执行中，环评工作会通过当地"三线一单"方案识别项目选址与生态保护红线的关系，并经自然资源、生态环境等行业主管部门的审批。因此本项目可能涉及的自然栖息地都会在项目准备期间得以尽早识别和避让。</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4. 支持和促进自然栖息地的保护、保持、维护与修复。</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lang w:val="en-GB"/>
              </w:rPr>
            </w:pPr>
            <w:r>
              <w:rPr>
                <w:rFonts w:ascii="Arial" w:cs="Arial" w:eastAsia="宋体" w:hAnsi="Arial"/>
                <w:sz w:val="20"/>
                <w:szCs w:val="24"/>
              </w:rPr>
              <w:t>中国制定并正在完善先进的生态环境保护制度，对重要的生物多样性维护等自然栖息地，建立了制度予以严格保护，国家也设立专门机构、利用专门资金对这些重要自然栖息地进行保护和修复。</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5. 避免造成重要自然栖息地重大破坏或显著退化。</w:t>
            </w:r>
          </w:p>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6. 如果无法从技术上避免重要自然栖息地的重大破坏，需要制定有效措施缓解或补偿项目活动的不利影响。</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环评中会对建设项目选址进行合理性分析，避让生态保护红线区域，且经相关行业主管部门审批。</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本项目位于农村地区，利用原有农业用地开展农业生产活动，或利用建设用地开展小型基础设施建设，不会占用重要自然栖息地；同时，环境排除原则也会将任何可能影响重要自然栖息地的活动排除在项目</w:t>
            </w:r>
            <w:r>
              <w:rPr>
                <w:rFonts w:ascii="Arial" w:cs="Arial" w:eastAsia="宋体" w:hAnsi="Arial"/>
                <w:sz w:val="20"/>
                <w:szCs w:val="24"/>
                <w:lang w:val="en-GB"/>
              </w:rPr>
              <w:t>范围外。</w:t>
            </w:r>
            <w:r>
              <w:rPr>
                <w:rFonts w:ascii="Arial" w:cs="Arial" w:eastAsia="宋体" w:hAnsi="Arial"/>
                <w:sz w:val="20"/>
                <w:szCs w:val="24"/>
              </w:rPr>
              <w:t>因此本项目不会对重要自然栖息地造成重大破坏。</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shd w:val="clear" w:color="auto" w:fill="d9d9d9"/>
        </w:tblPrEx>
        <w:trPr/>
        <w:tc>
          <w:tcPr>
            <w:tcW w:w="5000" w:type="pct"/>
            <w:gridSpan w:val="3"/>
            <w:tcBorders/>
            <w:shd w:val="clear" w:color="auto" w:fill="ffffff"/>
          </w:tcPr>
          <w:p>
            <w:pPr>
              <w:pStyle w:val="style0"/>
              <w:snapToGrid w:val="false"/>
              <w:ind w:right="133"/>
              <w:rPr>
                <w:rFonts w:ascii="Arial" w:cs="Arial" w:eastAsia="宋体" w:hAnsi="Arial"/>
                <w:b/>
                <w:sz w:val="20"/>
                <w:szCs w:val="24"/>
              </w:rPr>
            </w:pPr>
            <w:r>
              <w:rPr>
                <w:rFonts w:ascii="Arial" w:cs="Arial" w:eastAsia="宋体" w:hAnsi="Arial"/>
                <w:b/>
                <w:sz w:val="20"/>
                <w:szCs w:val="24"/>
              </w:rPr>
              <w:t xml:space="preserve">原则3 - </w:t>
            </w:r>
            <w:r>
              <w:rPr>
                <w:rFonts w:ascii="Arial" w:cs="Arial" w:eastAsia="宋体" w:hAnsi="Arial"/>
                <w:b/>
                <w:bCs/>
                <w:sz w:val="20"/>
                <w:szCs w:val="24"/>
              </w:rPr>
              <w:t>健康与安全</w:t>
            </w:r>
            <w:r>
              <w:rPr>
                <w:rFonts w:ascii="Arial" w:cs="Arial" w:eastAsia="宋体" w:hAnsi="Arial"/>
                <w:b/>
                <w:sz w:val="20"/>
                <w:szCs w:val="24"/>
              </w:rPr>
              <w:t>：</w:t>
            </w:r>
            <w:r>
              <w:rPr>
                <w:rFonts w:ascii="Arial" w:cs="Arial" w:eastAsia="宋体" w:hAnsi="Arial"/>
                <w:b/>
                <w:bCs/>
                <w:sz w:val="20"/>
                <w:szCs w:val="24"/>
              </w:rPr>
              <w:t>环境管理系统应在暴露于有毒化学品、危险废物或其他危险物品的活动中保护公众和工人安全（其他健康与安全内容在第4章介绍）。</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7. 项目活动涉及有害物质的生产、管理、储存、运输和处置的，应采取良好的管理实践。</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生产和经营危险化学品需要许可证；接触危险化学品的工人需要接受专业培训；工作佩戴和使用符合标准的劳动保护用品；并接受健康体检。</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本项目农药生产者和销售者严格按规定进行登记并取得许可证，并接受农业农村部门的监管。污水处理、垃圾收集转运、畜禽粪污处理会涉及氨、硫化氢等吸入性毒性物质，固液废物中存在致病微生物以及废药品、旧电池等危险废物，会对工人健康造成影响。企业制定安全操作规范、配备工人防护设备、并提供培训；行业主管部门开展定期的巡查、监管和指导。</w:t>
            </w:r>
          </w:p>
        </w:tc>
        <w:tc>
          <w:tcPr>
            <w:tcW w:w="436" w:type="pct"/>
            <w:tcBorders/>
            <w:shd w:val="clear" w:color="auto" w:fill="auto"/>
          </w:tcPr>
          <w:p>
            <w:pPr>
              <w:pStyle w:val="style0"/>
              <w:autoSpaceDE w:val="false"/>
              <w:autoSpaceDN w:val="false"/>
              <w:adjustRightInd w:val="false"/>
              <w:snapToGrid w:val="false"/>
              <w:jc w:val="left"/>
              <w:rPr>
                <w:rFonts w:ascii="Arial" w:cs="Arial" w:eastAsia="宋体" w:hAnsi="Arial"/>
                <w:sz w:val="20"/>
                <w:szCs w:val="24"/>
              </w:rPr>
            </w:pPr>
            <w:r>
              <w:rPr>
                <w:rFonts w:ascii="Arial" w:cs="Arial" w:eastAsia="宋体" w:hAnsi="Arial"/>
                <w:sz w:val="20"/>
                <w:szCs w:val="24"/>
              </w:rPr>
              <w:t>基本一致。臭气收集和处理设置需要加强。</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lang w:val="en-GB"/>
              </w:rPr>
            </w:pPr>
            <w:r>
              <w:rPr>
                <w:rFonts w:ascii="Arial" w:cs="Arial" w:eastAsia="宋体" w:hAnsi="Arial"/>
                <w:sz w:val="20"/>
                <w:szCs w:val="24"/>
              </w:rPr>
              <w:t>8. 鼓励采用病虫害综合防治手段管理和控制病虫害或病媒传播。</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中国已形成了成熟的农药管理体系，并采用物理、生物等病虫害综合防治手段减少农药使用量。</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农药生产者和销售者取得许可证；农药使用者接受培训指导，妥善保管农药，使用中加强防护（口罩、手套等）。</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9. 为涉及危险化学品生产、采购、使用和处置的工人提供符合国际标准的培训。</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对接触危险化学品的工人提供安全培训，其落实情况受到行业主管部门和卫生健康的部门的监管。</w:t>
            </w:r>
          </w:p>
        </w:tc>
        <w:tc>
          <w:tcPr>
            <w:tcW w:w="436" w:type="pct"/>
            <w:tcBorders/>
            <w:shd w:val="clear" w:color="auto" w:fill="auto"/>
          </w:tcPr>
          <w:p>
            <w:pPr>
              <w:pStyle w:val="style0"/>
              <w:autoSpaceDE w:val="false"/>
              <w:autoSpaceDN w:val="false"/>
              <w:adjustRightInd w:val="false"/>
              <w:snapToGrid w:val="false"/>
              <w:jc w:val="left"/>
              <w:rPr>
                <w:rFonts w:ascii="Arial" w:cs="Arial" w:eastAsia="宋体" w:hAnsi="Arial"/>
                <w:sz w:val="20"/>
                <w:szCs w:val="24"/>
              </w:rPr>
            </w:pPr>
            <w:r>
              <w:rPr>
                <w:rFonts w:ascii="Arial" w:cs="Arial" w:eastAsia="宋体" w:hAnsi="Arial"/>
                <w:sz w:val="20"/>
                <w:szCs w:val="24"/>
              </w:rPr>
              <w:t>一致。</w:t>
            </w:r>
          </w:p>
        </w:tc>
      </w:tr>
    </w:tbl>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通过以上对比分析，可以认为中国的相关环境管理体系与世行PforR政策和关键要素的要求是一致的，能够为本项目活动的实施提供一个有效的管理框架。在项目准备的现场考察中，世行团队也发现了一些环境管理体系在实施环节中存在的不足，比如很多农村垃圾转运站渗滤液及臭气收集和处理系统不健全、工人防护与卫生设施不足；大部分农村污水处理设施缺乏足够的运维经费、运维技术和出水水质监测；农民的有机肥替代化肥积极性不高；农膜及农药化肥包装废弃物收集和处理系统不健全等。</w:t>
      </w:r>
      <w:r>
        <w:rPr>
          <w:rFonts w:ascii="Arial" w:cs="Arial" w:eastAsia="宋体" w:hAnsi="Arial"/>
          <w:sz w:val="22"/>
        </w:rPr>
        <w:t>针对这些不足</w:t>
      </w:r>
      <w:r>
        <w:rPr>
          <w:rFonts w:ascii="Arial" w:cs="Arial" w:eastAsia="宋体" w:hAnsi="Arial"/>
          <w:sz w:val="22"/>
          <w:szCs w:val="24"/>
        </w:rPr>
        <w:t>，本报告提出了行动计划建议（详见第六章）。</w:t>
      </w:r>
    </w:p>
    <w:bookmarkStart w:id="457" w:name="_Toc79939260"/>
    <w:p>
      <w:pPr>
        <w:pStyle w:val="style0"/>
        <w:widowControl/>
        <w:jc w:val="left"/>
        <w:rPr>
          <w:rFonts w:ascii="Arial" w:cs="Arial" w:eastAsia="宋体" w:hAnsi="Arial"/>
          <w:b/>
          <w:bCs/>
          <w:color w:val="1f4e79"/>
          <w:kern w:val="44"/>
          <w:sz w:val="28"/>
          <w:szCs w:val="28"/>
        </w:rPr>
      </w:pPr>
      <w:r>
        <w:rPr>
          <w:rFonts w:ascii="Arial" w:cs="Arial" w:eastAsia="宋体" w:hAnsi="Arial"/>
          <w:color w:val="1f4e79"/>
          <w:sz w:val="28"/>
          <w:szCs w:val="28"/>
        </w:rPr>
        <w:br w:type="page"/>
      </w:r>
    </w:p>
    <w:bookmarkStart w:id="458" w:name="_Toc77355654"/>
    <w:bookmarkStart w:id="459" w:name="_Toc79939265"/>
    <w:bookmarkEnd w:id="457"/>
    <w:bookmarkEnd w:id="458"/>
    <w:p>
      <w:pPr>
        <w:pStyle w:val="style1"/>
        <w:numPr>
          <w:ilvl w:val="0"/>
          <w:numId w:val="4"/>
        </w:numPr>
        <w:tabs>
          <w:tab w:val="left" w:leader="none" w:pos="709"/>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460" w:name="_Toc93944813"/>
      <w:r>
        <w:rPr>
          <w:rFonts w:ascii="Arial" w:cs="Arial" w:eastAsia="宋体" w:hAnsi="Arial"/>
          <w:color w:val="1f4e79"/>
          <w:sz w:val="28"/>
          <w:szCs w:val="28"/>
        </w:rPr>
        <w:t>社会管理系统评价</w:t>
      </w:r>
      <w:bookmarkEnd w:id="460"/>
    </w:p>
    <w:bookmarkStart w:id="461" w:name="_Hlk77948184"/>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fldChar w:fldCharType="begin"/>
      </w:r>
      <w:r>
        <w:rPr>
          <w:rFonts w:ascii="Arial" w:cs="Arial" w:eastAsia="宋体" w:hAnsi="Arial"/>
          <w:sz w:val="22"/>
          <w:szCs w:val="24"/>
        </w:rPr>
        <w:instrText xml:space="preserve"> REF _Ref85468384 \h  \* MERGEFORMAT </w:instrText>
      </w:r>
      <w:r>
        <w:rPr>
          <w:rFonts w:ascii="Arial" w:cs="Arial" w:eastAsia="宋体" w:hAnsi="Arial"/>
          <w:sz w:val="22"/>
          <w:szCs w:val="24"/>
        </w:rPr>
        <w:fldChar w:fldCharType="separate"/>
      </w:r>
      <w:r>
        <w:rPr>
          <w:rFonts w:ascii="Arial" w:cs="Arial" w:eastAsia="宋体" w:hAnsi="Arial"/>
          <w:b/>
          <w:bCs/>
          <w:sz w:val="22"/>
        </w:rPr>
        <w:t>表 4</w:t>
      </w:r>
      <w:r>
        <w:rPr>
          <w:rFonts w:ascii="Arial" w:cs="Arial" w:eastAsia="宋体" w:hAnsi="Arial"/>
          <w:b/>
          <w:bCs/>
          <w:sz w:val="22"/>
        </w:rPr>
        <w:noBreakHyphen/>
      </w:r>
      <w:r>
        <w:rPr>
          <w:rFonts w:ascii="Arial" w:cs="Arial" w:eastAsia="宋体" w:hAnsi="Arial"/>
          <w:b/>
          <w:bCs/>
          <w:sz w:val="22"/>
        </w:rPr>
        <w:t>1</w:t>
      </w:r>
      <w:r>
        <w:rPr>
          <w:rFonts w:ascii="Arial" w:cs="Arial" w:eastAsia="宋体" w:hAnsi="Arial"/>
          <w:sz w:val="22"/>
          <w:szCs w:val="24"/>
        </w:rPr>
        <w:fldChar w:fldCharType="end"/>
      </w:r>
      <w:r>
        <w:rPr>
          <w:rFonts w:ascii="Arial" w:cs="Arial" w:eastAsia="宋体" w:hAnsi="Arial"/>
          <w:sz w:val="22"/>
          <w:szCs w:val="24"/>
        </w:rPr>
        <w:t>显示广西和贵州项目(PforR program)活动涉及的社会影响与风险类型有：综合性社会影响（如社会冲突、公平性、透明性、邻避效应等），物质文化遗产影响，公众安全与劳动者安全，征地、移民与土地限制使用，少数民族和弱势群体非包容性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为管理社会风险，中国从中央到地方通过制定并执行一系列的法律和政策，建立并运行相应管理机构与机制，实现整个社会的和谐发展。社会管理体系由法律法规、管理机构及机制、以及管理实践三部分构成。在中国社会管理系统中，不同社会影响与风险依托于不同的政府机构进行管理（见</w:t>
      </w:r>
      <w:r>
        <w:rPr>
          <w:rFonts w:ascii="Arial" w:cs="Arial" w:eastAsia="宋体" w:hAnsi="Arial"/>
          <w:sz w:val="22"/>
          <w:szCs w:val="24"/>
        </w:rPr>
        <w:fldChar w:fldCharType="begin"/>
      </w:r>
      <w:r>
        <w:rPr>
          <w:rFonts w:ascii="Arial" w:cs="Arial" w:eastAsia="宋体" w:hAnsi="Arial"/>
          <w:sz w:val="22"/>
          <w:szCs w:val="24"/>
        </w:rPr>
        <w:instrText xml:space="preserve"> REF _Ref85468384 \h  \* MERGEFORMAT </w:instrText>
      </w:r>
      <w:r>
        <w:rPr>
          <w:rFonts w:ascii="Arial" w:cs="Arial" w:eastAsia="宋体" w:hAnsi="Arial"/>
          <w:sz w:val="22"/>
          <w:szCs w:val="24"/>
        </w:rPr>
        <w:fldChar w:fldCharType="separate"/>
      </w:r>
      <w:r>
        <w:rPr>
          <w:rFonts w:ascii="Arial" w:cs="Arial" w:eastAsia="宋体" w:hAnsi="Arial"/>
          <w:sz w:val="22"/>
          <w:szCs w:val="24"/>
        </w:rPr>
        <w:t>表 4</w:t>
      </w:r>
      <w:r>
        <w:rPr>
          <w:rFonts w:ascii="Arial" w:cs="Arial" w:eastAsia="宋体" w:hAnsi="Arial"/>
          <w:sz w:val="22"/>
          <w:szCs w:val="24"/>
        </w:rPr>
        <w:noBreakHyphen/>
      </w:r>
      <w:r>
        <w:rPr>
          <w:rFonts w:ascii="Arial" w:cs="Arial" w:eastAsia="宋体" w:hAnsi="Arial"/>
          <w:sz w:val="22"/>
          <w:szCs w:val="24"/>
        </w:rPr>
        <w:t>1</w:t>
      </w:r>
      <w:r>
        <w:rPr>
          <w:rFonts w:ascii="Arial" w:cs="Arial" w:eastAsia="宋体" w:hAnsi="Arial"/>
          <w:sz w:val="22"/>
          <w:szCs w:val="24"/>
        </w:rPr>
        <w:fldChar w:fldCharType="end"/>
      </w:r>
      <w:r>
        <w:rPr>
          <w:rFonts w:ascii="Arial" w:cs="Arial" w:eastAsia="宋体" w:hAnsi="Arial"/>
          <w:sz w:val="22"/>
          <w:szCs w:val="24"/>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世行结果导向型贷款环境和社会管理系统评估指南（PforR ESSA Guidance）为系统评估借款国的环境和社会系统制定了一套政策，包括。6项核心原则(core principles)和13个要素(elements)。本章将根据项目主要社会影响与风险类型，对照指南要求的针对6项原则13个要素，识别和分析中国国内对应的社会管理系统，并评估其相关的社会管理法规、管理机制与能力、实施管理效果，对存在识别出差距提出改进建议和行动计划。</w:t>
      </w:r>
    </w:p>
    <w:bookmarkStart w:id="462" w:name="_Toc79402235"/>
    <w:bookmarkStart w:id="463" w:name="_Toc86683185"/>
    <w:bookmarkStart w:id="464" w:name="_Toc90729520"/>
    <w:bookmarkStart w:id="465" w:name="_Toc93944814"/>
    <w:p>
      <w:pPr>
        <w:pStyle w:val="style2"/>
        <w:ind w:left="426" w:hanging="426"/>
        <w:rPr>
          <w:color w:val="1f4e79"/>
          <w:sz w:val="24"/>
          <w:szCs w:val="24"/>
        </w:rPr>
      </w:pPr>
      <w:r>
        <w:rPr>
          <w:color w:val="1f4e79"/>
          <w:sz w:val="24"/>
          <w:szCs w:val="24"/>
        </w:rPr>
        <w:t>4.1</w:t>
      </w:r>
      <w:r>
        <w:rPr>
          <w:color w:val="1f4e79"/>
          <w:sz w:val="24"/>
          <w:szCs w:val="24"/>
        </w:rPr>
        <w:tab/>
      </w:r>
      <w:r>
        <w:rPr>
          <w:color w:val="1f4e79"/>
          <w:sz w:val="24"/>
          <w:szCs w:val="24"/>
        </w:rPr>
        <w:tab/>
      </w:r>
      <w:r>
        <w:rPr>
          <w:color w:val="1f4e79"/>
          <w:sz w:val="24"/>
          <w:szCs w:val="24"/>
        </w:rPr>
        <w:t>世行原则相关性分析</w:t>
      </w:r>
      <w:bookmarkEnd w:id="462"/>
      <w:bookmarkEnd w:id="463"/>
      <w:bookmarkEnd w:id="464"/>
      <w:bookmarkEnd w:id="465"/>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总的来说，世行结果导向环境和社会系统评估的6个核心原则均与项目社会管理系统相关。世行中国社会管理系统与世行政策的相关性分析如</w:t>
      </w:r>
      <w:r>
        <w:rPr>
          <w:rFonts w:ascii="Arial" w:cs="Arial" w:eastAsia="宋体" w:hAnsi="Arial"/>
          <w:sz w:val="22"/>
          <w:szCs w:val="24"/>
        </w:rPr>
        <w:fldChar w:fldCharType="begin"/>
      </w:r>
      <w:r>
        <w:rPr>
          <w:rFonts w:ascii="Arial" w:cs="Arial" w:eastAsia="宋体" w:hAnsi="Arial"/>
          <w:sz w:val="22"/>
          <w:szCs w:val="24"/>
        </w:rPr>
        <w:instrText xml:space="preserve"> REF _Ref85468384 \h  \* MERGEFORMAT </w:instrText>
      </w:r>
      <w:r>
        <w:rPr>
          <w:rFonts w:ascii="Arial" w:cs="Arial" w:eastAsia="宋体" w:hAnsi="Arial"/>
          <w:sz w:val="22"/>
          <w:szCs w:val="24"/>
        </w:rPr>
        <w:fldChar w:fldCharType="separate"/>
      </w:r>
      <w:r>
        <w:rPr>
          <w:rFonts w:ascii="Arial" w:cs="Arial" w:eastAsia="宋体" w:hAnsi="Arial"/>
          <w:sz w:val="22"/>
          <w:szCs w:val="24"/>
        </w:rPr>
        <w:t>表 4</w:t>
      </w:r>
      <w:r>
        <w:rPr>
          <w:rFonts w:ascii="Arial" w:cs="Arial" w:eastAsia="宋体" w:hAnsi="Arial"/>
          <w:sz w:val="22"/>
          <w:szCs w:val="24"/>
        </w:rPr>
        <w:noBreakHyphen/>
      </w:r>
      <w:r>
        <w:rPr>
          <w:rFonts w:ascii="Arial" w:cs="Arial" w:eastAsia="宋体" w:hAnsi="Arial"/>
          <w:sz w:val="22"/>
          <w:szCs w:val="24"/>
        </w:rPr>
        <w:t>1</w:t>
      </w:r>
      <w:r>
        <w:rPr>
          <w:rFonts w:ascii="Arial" w:cs="Arial" w:eastAsia="宋体" w:hAnsi="Arial"/>
          <w:sz w:val="22"/>
          <w:szCs w:val="24"/>
        </w:rPr>
        <w:fldChar w:fldCharType="end"/>
      </w:r>
      <w:r>
        <w:rPr>
          <w:rFonts w:ascii="Arial" w:cs="Arial" w:eastAsia="宋体" w:hAnsi="Arial"/>
          <w:sz w:val="22"/>
          <w:szCs w:val="24"/>
        </w:rPr>
        <w:t>所示。</w:t>
      </w:r>
    </w:p>
    <w:bookmarkStart w:id="466" w:name="_Ref85468384"/>
    <w:bookmarkStart w:id="467" w:name="_Hlk75336809"/>
    <w:p>
      <w:pPr>
        <w:pStyle w:val="style34"/>
        <w:spacing w:before="120" w:beforeLines="50" w:after="120" w:afterLines="50"/>
        <w:jc w:val="center"/>
        <w:rPr>
          <w:rFonts w:ascii="Arial" w:cs="Arial" w:eastAsia="宋体" w:hAnsi="Arial"/>
          <w:b/>
          <w:bCs/>
          <w:sz w:val="22"/>
          <w:szCs w:val="22"/>
        </w:rPr>
      </w:pPr>
      <w:r>
        <w:rPr>
          <w:rFonts w:ascii="Arial" w:cs="Arial" w:eastAsia="宋体" w:hAnsi="Arial"/>
          <w:b/>
          <w:bCs/>
          <w:sz w:val="22"/>
          <w:szCs w:val="22"/>
        </w:rPr>
        <w:t xml:space="preserve">表 </w:t>
      </w:r>
      <w:r>
        <w:rPr>
          <w:rFonts w:ascii="Arial" w:cs="Arial" w:eastAsia="宋体" w:hAnsi="Arial"/>
          <w:b/>
          <w:bCs/>
          <w:sz w:val="22"/>
          <w:szCs w:val="22"/>
        </w:rPr>
        <w:fldChar w:fldCharType="begin"/>
      </w:r>
      <w:r>
        <w:rPr>
          <w:rFonts w:ascii="Arial" w:cs="Arial" w:eastAsia="宋体" w:hAnsi="Arial"/>
          <w:b/>
          <w:bCs/>
          <w:sz w:val="22"/>
          <w:szCs w:val="22"/>
        </w:rPr>
        <w:instrText xml:space="preserve"> STYLEREF 1 \s </w:instrText>
      </w:r>
      <w:r>
        <w:rPr>
          <w:rFonts w:ascii="Arial" w:cs="Arial" w:eastAsia="宋体" w:hAnsi="Arial"/>
          <w:b/>
          <w:bCs/>
          <w:sz w:val="22"/>
          <w:szCs w:val="22"/>
        </w:rPr>
        <w:fldChar w:fldCharType="separate"/>
      </w:r>
      <w:r>
        <w:rPr>
          <w:rFonts w:ascii="Arial" w:cs="Arial" w:eastAsia="宋体" w:hAnsi="Arial"/>
          <w:b/>
          <w:bCs/>
          <w:sz w:val="22"/>
          <w:szCs w:val="22"/>
        </w:rPr>
        <w:t>4</w:t>
      </w:r>
      <w:r>
        <w:rPr>
          <w:rFonts w:ascii="Arial" w:cs="Arial" w:eastAsia="宋体" w:hAnsi="Arial"/>
          <w:b/>
          <w:bCs/>
          <w:sz w:val="22"/>
          <w:szCs w:val="22"/>
        </w:rPr>
        <w:fldChar w:fldCharType="end"/>
      </w:r>
      <w:r>
        <w:rPr>
          <w:rFonts w:ascii="Arial" w:cs="Arial" w:eastAsia="宋体" w:hAnsi="Arial"/>
          <w:b/>
          <w:bCs/>
          <w:sz w:val="22"/>
          <w:szCs w:val="22"/>
        </w:rPr>
        <w:noBreakHyphen/>
      </w:r>
      <w:r>
        <w:rPr>
          <w:rFonts w:ascii="Arial" w:cs="Arial" w:eastAsia="宋体" w:hAnsi="Arial"/>
          <w:b/>
          <w:bCs/>
          <w:sz w:val="22"/>
          <w:szCs w:val="22"/>
        </w:rPr>
        <w:fldChar w:fldCharType="begin"/>
      </w:r>
      <w:r>
        <w:rPr>
          <w:rFonts w:ascii="Arial" w:cs="Arial" w:eastAsia="宋体" w:hAnsi="Arial"/>
          <w:b/>
          <w:bCs/>
          <w:sz w:val="22"/>
          <w:szCs w:val="22"/>
        </w:rPr>
        <w:instrText xml:space="preserve"> SEQ 表 \* ARABIC \s 1 </w:instrText>
      </w:r>
      <w:r>
        <w:rPr>
          <w:rFonts w:ascii="Arial" w:cs="Arial" w:eastAsia="宋体" w:hAnsi="Arial"/>
          <w:b/>
          <w:bCs/>
          <w:sz w:val="22"/>
          <w:szCs w:val="22"/>
        </w:rPr>
        <w:fldChar w:fldCharType="separate"/>
      </w:r>
      <w:r>
        <w:rPr>
          <w:rFonts w:ascii="Arial" w:cs="Arial" w:eastAsia="宋体" w:hAnsi="Arial"/>
          <w:b/>
          <w:bCs/>
          <w:sz w:val="22"/>
          <w:szCs w:val="22"/>
        </w:rPr>
        <w:t>1</w:t>
      </w:r>
      <w:r>
        <w:rPr>
          <w:rFonts w:ascii="Arial" w:cs="Arial" w:eastAsia="宋体" w:hAnsi="Arial"/>
          <w:b/>
          <w:bCs/>
          <w:sz w:val="22"/>
          <w:szCs w:val="22"/>
        </w:rPr>
        <w:fldChar w:fldCharType="end"/>
      </w:r>
      <w:bookmarkEnd w:id="466"/>
      <w:r>
        <w:rPr>
          <w:rFonts w:ascii="Arial" w:cs="Arial" w:eastAsia="宋体" w:hAnsi="Arial"/>
          <w:b/>
          <w:bCs/>
          <w:sz w:val="22"/>
          <w:szCs w:val="22"/>
        </w:rPr>
        <w:t>：中国社会管理系统与世行政策相关性分析</w:t>
      </w:r>
      <w:bookmarkEnd w:id="467"/>
    </w:p>
    <w:bookmarkStart w:id="468" w:name="_Hlk78460371"/>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132"/>
        <w:gridCol w:w="992"/>
        <w:gridCol w:w="5249"/>
        <w:gridCol w:w="2257"/>
      </w:tblGrid>
      <w:tr>
        <w:trPr>
          <w:trHeight w:val="20" w:hRule="atLeast"/>
          <w:tblHeader/>
        </w:trPr>
        <w:tc>
          <w:tcPr>
            <w:tcW w:w="588" w:type="pct"/>
            <w:vMerge w:val="restart"/>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社会影响和风险</w:t>
            </w:r>
          </w:p>
        </w:tc>
        <w:tc>
          <w:tcPr>
            <w:tcW w:w="515" w:type="pct"/>
            <w:vMerge w:val="restart"/>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世行政策原则</w:t>
            </w:r>
          </w:p>
        </w:tc>
        <w:tc>
          <w:tcPr>
            <w:tcW w:w="3897" w:type="pct"/>
            <w:gridSpan w:val="2"/>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中国社会风险与影响管理系统</w:t>
            </w:r>
          </w:p>
        </w:tc>
      </w:tr>
      <w:tr>
        <w:tblPrEx/>
        <w:trPr>
          <w:trHeight w:val="20" w:hRule="atLeast"/>
          <w:tblHeader/>
        </w:trPr>
        <w:tc>
          <w:tcPr>
            <w:tcW w:w="588" w:type="pct"/>
            <w:vMerge w:val="continue"/>
            <w:tcBorders/>
            <w:shd w:val="clear" w:color="auto" w:fill="f1f1f1"/>
          </w:tcPr>
          <w:p>
            <w:pPr>
              <w:pStyle w:val="style0"/>
              <w:jc w:val="center"/>
              <w:rPr>
                <w:rFonts w:ascii="Arial" w:cs="Arial" w:eastAsia="宋体" w:hAnsi="Arial"/>
                <w:b/>
                <w:sz w:val="20"/>
                <w:szCs w:val="20"/>
              </w:rPr>
            </w:pPr>
          </w:p>
        </w:tc>
        <w:tc>
          <w:tcPr>
            <w:tcW w:w="515" w:type="pct"/>
            <w:vMerge w:val="continue"/>
            <w:tcBorders/>
            <w:shd w:val="clear" w:color="auto" w:fill="f1f1f1"/>
          </w:tcPr>
          <w:p>
            <w:pPr>
              <w:pStyle w:val="style0"/>
              <w:jc w:val="center"/>
              <w:rPr>
                <w:rFonts w:ascii="Arial" w:cs="Arial" w:eastAsia="宋体" w:hAnsi="Arial"/>
                <w:b/>
                <w:sz w:val="20"/>
                <w:szCs w:val="20"/>
              </w:rPr>
            </w:pPr>
          </w:p>
        </w:tc>
        <w:tc>
          <w:tcPr>
            <w:tcW w:w="2725" w:type="pct"/>
            <w:tcBorders/>
            <w:shd w:val="clear" w:color="auto" w:fill="f1f1f1"/>
          </w:tcPr>
          <w:p>
            <w:pPr>
              <w:pStyle w:val="style0"/>
              <w:jc w:val="center"/>
              <w:rPr>
                <w:rFonts w:ascii="Arial" w:cs="Arial" w:eastAsia="宋体" w:hAnsi="Arial"/>
                <w:sz w:val="20"/>
                <w:szCs w:val="20"/>
              </w:rPr>
            </w:pPr>
            <w:r>
              <w:rPr>
                <w:rFonts w:ascii="Arial" w:cs="Arial" w:eastAsia="宋体" w:hAnsi="Arial"/>
                <w:b/>
                <w:sz w:val="20"/>
                <w:szCs w:val="20"/>
              </w:rPr>
              <w:t>相关社会法律法规</w:t>
            </w:r>
          </w:p>
        </w:tc>
        <w:tc>
          <w:tcPr>
            <w:tcW w:w="1172" w:type="pct"/>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社会管理机构</w:t>
            </w: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综合性社会影响，如社会冲突、公平性、透明性、邻避效应等</w:t>
            </w:r>
          </w:p>
        </w:tc>
        <w:tc>
          <w:tcPr>
            <w:tcW w:w="515" w:type="pct"/>
            <w:vMerge w:val="restart"/>
            <w:tcBorders/>
          </w:tcPr>
          <w:p>
            <w:pPr>
              <w:pStyle w:val="style0"/>
              <w:jc w:val="left"/>
              <w:rPr>
                <w:rFonts w:ascii="Arial" w:cs="Arial" w:eastAsia="宋体" w:hAnsi="Arial"/>
                <w:bCs/>
                <w:sz w:val="20"/>
                <w:szCs w:val="20"/>
              </w:rPr>
            </w:pPr>
            <w:r>
              <w:rPr>
                <w:rFonts w:ascii="Arial" w:cs="Arial" w:eastAsia="宋体" w:hAnsi="Arial"/>
                <w:b/>
                <w:sz w:val="20"/>
                <w:szCs w:val="20"/>
              </w:rPr>
              <w:t>原则1：</w:t>
            </w:r>
            <w:r>
              <w:rPr>
                <w:rFonts w:ascii="Arial" w:cs="Arial" w:eastAsia="宋体" w:hAnsi="Arial"/>
                <w:bCs/>
                <w:sz w:val="20"/>
                <w:szCs w:val="20"/>
              </w:rPr>
              <w:t>社会影响和风险评价及管理体系</w:t>
            </w:r>
          </w:p>
          <w:p>
            <w:pPr>
              <w:pStyle w:val="style0"/>
              <w:jc w:val="left"/>
              <w:rPr>
                <w:rFonts w:ascii="Arial" w:cs="Arial" w:eastAsia="宋体" w:hAnsi="Arial"/>
                <w:bCs/>
                <w:sz w:val="20"/>
                <w:szCs w:val="20"/>
              </w:rPr>
            </w:pPr>
          </w:p>
          <w:p>
            <w:pPr>
              <w:pStyle w:val="style0"/>
              <w:jc w:val="left"/>
              <w:rPr>
                <w:rFonts w:ascii="Arial" w:cs="Arial" w:eastAsia="宋体" w:hAnsi="Arial"/>
                <w:sz w:val="20"/>
                <w:szCs w:val="20"/>
              </w:rPr>
            </w:pPr>
            <w:r>
              <w:rPr>
                <w:rFonts w:ascii="Arial" w:cs="Arial" w:eastAsia="宋体" w:hAnsi="Arial"/>
                <w:b/>
                <w:sz w:val="20"/>
                <w:szCs w:val="20"/>
              </w:rPr>
              <w:t>原则6：</w:t>
            </w:r>
            <w:r>
              <w:rPr>
                <w:rFonts w:ascii="Arial" w:cs="Arial" w:eastAsia="宋体" w:hAnsi="Arial"/>
                <w:bCs/>
                <w:sz w:val="20"/>
                <w:szCs w:val="20"/>
              </w:rPr>
              <w:t>社会冲突</w:t>
            </w:r>
          </w:p>
        </w:tc>
        <w:tc>
          <w:tcPr>
            <w:tcW w:w="2725" w:type="pct"/>
            <w:tcBorders/>
            <w:shd w:val="clear" w:color="auto" w:fill="auto"/>
          </w:tcPr>
          <w:p>
            <w:pPr>
              <w:pStyle w:val="style0"/>
              <w:jc w:val="left"/>
              <w:rPr>
                <w:rFonts w:ascii="Arial" w:cs="Arial" w:eastAsia="宋体" w:hAnsi="Arial"/>
                <w:b/>
                <w:sz w:val="20"/>
                <w:szCs w:val="20"/>
              </w:rPr>
            </w:pPr>
            <w:r>
              <w:rPr>
                <w:rFonts w:ascii="Arial" w:cs="Arial" w:eastAsia="宋体" w:hAnsi="Arial"/>
                <w:sz w:val="20"/>
                <w:szCs w:val="20"/>
              </w:rPr>
              <w:t>《国家发展改革委关于印发国家发展改革委重大固定资产投资项目社会稳定风险评估办法的通知》（2021年修订）</w:t>
            </w:r>
          </w:p>
        </w:tc>
        <w:tc>
          <w:tcPr>
            <w:tcW w:w="1172" w:type="pct"/>
            <w:vMerge w:val="restart"/>
            <w:tcBorders/>
          </w:tcPr>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国家发改委；</w:t>
            </w:r>
          </w:p>
          <w:p>
            <w:pPr>
              <w:pStyle w:val="style0"/>
              <w:widowControl/>
              <w:shd w:val="clear" w:color="auto" w:fill="ffffff"/>
              <w:jc w:val="left"/>
              <w:rPr>
                <w:rFonts w:ascii="Arial" w:cs="Arial" w:eastAsia="宋体" w:hAnsi="Arial"/>
                <w:b/>
                <w:bCs/>
                <w:sz w:val="20"/>
                <w:szCs w:val="20"/>
                <w:shd w:val="clear" w:color="auto" w:fill="ffffff"/>
              </w:rPr>
            </w:pPr>
            <w:r>
              <w:rPr>
                <w:rFonts w:ascii="Arial" w:cs="Arial" w:eastAsia="宋体" w:hAnsi="Arial"/>
                <w:b/>
                <w:bCs/>
                <w:sz w:val="20"/>
                <w:szCs w:val="20"/>
                <w:shd w:val="clear" w:color="auto" w:fill="ffffff"/>
              </w:rPr>
              <w:t>广西、贵州省：</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领导部门-</w:t>
            </w:r>
            <w:r>
              <w:rPr>
                <w:rFonts w:ascii="Arial" w:cs="Arial" w:eastAsia="宋体" w:hAnsi="Arial"/>
                <w:sz w:val="20"/>
                <w:szCs w:val="20"/>
                <w:shd w:val="clear" w:color="auto" w:fill="ffffff"/>
              </w:rPr>
              <w:t>省发改委和政法委、各县市政法委、信访办；</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评估主体</w:t>
            </w:r>
            <w:r>
              <w:rPr>
                <w:rFonts w:ascii="Arial" w:cs="Arial" w:eastAsia="宋体" w:hAnsi="Arial"/>
                <w:sz w:val="20"/>
                <w:szCs w:val="20"/>
                <w:shd w:val="clear" w:color="auto" w:fill="ffffff"/>
              </w:rPr>
              <w:t>-市县主管部门（例如污水处理</w:t>
            </w:r>
            <w:r>
              <w:rPr>
                <w:rFonts w:ascii="Arial" w:cs="Arial" w:eastAsia="宋体" w:hAnsi="Arial" w:hint="eastAsia"/>
                <w:sz w:val="20"/>
                <w:szCs w:val="20"/>
                <w:shd w:val="clear" w:color="auto" w:fill="ffffff"/>
              </w:rPr>
              <w:t>设施</w:t>
            </w:r>
            <w:r>
              <w:rPr>
                <w:rFonts w:ascii="Arial" w:cs="Arial" w:eastAsia="宋体" w:hAnsi="Arial"/>
                <w:sz w:val="20"/>
                <w:szCs w:val="20"/>
                <w:shd w:val="clear" w:color="auto" w:fill="ffffff"/>
              </w:rPr>
              <w:t>的主管部门，县住建局）及其委托的第三方评估机构</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备案机构</w:t>
            </w:r>
            <w:r>
              <w:rPr>
                <w:rFonts w:ascii="Arial" w:cs="Arial" w:eastAsia="宋体" w:hAnsi="Arial"/>
                <w:sz w:val="20"/>
                <w:szCs w:val="20"/>
                <w:shd w:val="clear" w:color="auto" w:fill="ffffff"/>
              </w:rPr>
              <w:t>-省级政法委（涉及跨地区和跨部门的项目），或市县政法委</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决策部门</w:t>
            </w:r>
            <w:r>
              <w:rPr>
                <w:rFonts w:ascii="Arial" w:cs="Arial" w:eastAsia="宋体" w:hAnsi="Arial"/>
                <w:sz w:val="20"/>
                <w:szCs w:val="20"/>
                <w:shd w:val="clear" w:color="auto" w:fill="ffffff"/>
              </w:rPr>
              <w:t>-市县党政领导办公会</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实施机构</w:t>
            </w:r>
            <w:r>
              <w:rPr>
                <w:rFonts w:ascii="Arial" w:cs="Arial" w:eastAsia="宋体" w:hAnsi="Arial"/>
                <w:sz w:val="20"/>
                <w:szCs w:val="20"/>
                <w:shd w:val="clear" w:color="auto" w:fill="ffffff"/>
              </w:rPr>
              <w:t>-评估主体及其委托的运营单位</w:t>
            </w:r>
          </w:p>
          <w:p>
            <w:pPr>
              <w:pStyle w:val="style179"/>
              <w:widowControl/>
              <w:numPr>
                <w:ilvl w:val="0"/>
                <w:numId w:val="14"/>
              </w:numPr>
              <w:shd w:val="clear" w:color="auto" w:fill="ffffff"/>
              <w:ind w:left="173" w:hanging="173" w:firstLineChars="0"/>
              <w:jc w:val="left"/>
              <w:rPr>
                <w:rFonts w:ascii="Arial" w:cs="Arial" w:eastAsia="宋体" w:hAnsi="Arial"/>
                <w:sz w:val="20"/>
                <w:szCs w:val="20"/>
              </w:rPr>
            </w:pPr>
            <w:r>
              <w:rPr>
                <w:rFonts w:ascii="Arial" w:cs="Arial" w:eastAsia="宋体" w:hAnsi="Arial"/>
                <w:b/>
                <w:bCs/>
                <w:sz w:val="20"/>
                <w:szCs w:val="20"/>
                <w:shd w:val="clear" w:color="auto" w:fill="ffffff"/>
              </w:rPr>
              <w:t>监督机构</w:t>
            </w:r>
            <w:r>
              <w:rPr>
                <w:rFonts w:ascii="Arial" w:cs="Arial" w:eastAsia="宋体" w:hAnsi="Arial"/>
                <w:sz w:val="20"/>
                <w:szCs w:val="20"/>
                <w:shd w:val="clear" w:color="auto" w:fill="ffffff"/>
              </w:rPr>
              <w:t>-市县人民政府及其下属基层机构（如乡镇政府等）</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《国家发展改革委办公厅关于印发重大固定资产投资项目社会稳定风险分析篇章和评估报告编制大纲（试行）的通知（发改办投资【2013】428号）》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bookmarkStart w:id="469" w:name="_Hlk90039346"/>
        </w:tc>
        <w:tc>
          <w:tcPr>
            <w:tcW w:w="2725" w:type="pct"/>
            <w:tcBorders/>
            <w:shd w:val="clear" w:color="auto" w:fill="auto"/>
          </w:tcPr>
          <w:p>
            <w:pPr>
              <w:pStyle w:val="style0"/>
              <w:jc w:val="left"/>
              <w:rPr>
                <w:rFonts w:ascii="Arial" w:cs="Arial" w:eastAsia="宋体" w:hAnsi="Arial"/>
                <w:bCs/>
                <w:sz w:val="20"/>
                <w:szCs w:val="20"/>
              </w:rPr>
            </w:pPr>
            <w:r>
              <w:rPr>
                <w:rFonts w:ascii="Arial" w:cs="Arial" w:eastAsia="宋体" w:hAnsi="Arial"/>
                <w:bCs/>
                <w:sz w:val="20"/>
                <w:szCs w:val="20"/>
              </w:rPr>
              <w:t>《关于印发广西壮族自治区发展和改革委员会固定资产投资项目社会稳定风险评估暂行办法的通知》（桂发改投资〔2013〕833号）</w:t>
            </w:r>
            <w:bookmarkEnd w:id="469"/>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kern w:val="0"/>
                <w:sz w:val="20"/>
                <w:szCs w:val="20"/>
              </w:rPr>
              <w:t>《中共贵州省委办公厅贵州省人民政府办公厅关于印发〈贵州省重大决策社会稳定风险评估实施办法(试行)〉的通知》(黔委厅字〔2012〕49号)</w:t>
            </w:r>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kern w:val="0"/>
                <w:sz w:val="20"/>
                <w:szCs w:val="20"/>
              </w:rPr>
              <w:t>《贵州省重大行政决策程序实施办法》（贵州省人民政府令第197号）（2020.4）</w:t>
            </w:r>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《重大行政决策程序暂行条例》（2019.9.1）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《信访条例》（2005.5.1）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color w:val="000000"/>
                <w:sz w:val="20"/>
                <w:szCs w:val="20"/>
              </w:rPr>
              <w:t>《农业农村部办公厅关于做好2021年高素质农民培育工作的通知》（农办科〔2021〕11号）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color w:val="000000"/>
                <w:sz w:val="20"/>
                <w:szCs w:val="20"/>
              </w:rPr>
              <w:t>《自治区农业农村厅办公室关于印发2021年广西高素质农民培育实施方案的通知》(桂农厅办发〔2021〕85号)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sz w:val="20"/>
                <w:szCs w:val="20"/>
              </w:rPr>
              <w:t>《贵州省农业农村厅关于印发〈贵州省2021年高素质农民培育工作实施方案〉的通知》（2021）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bCs/>
                <w:sz w:val="20"/>
                <w:szCs w:val="20"/>
              </w:rPr>
            </w:pPr>
            <w:r>
              <w:rPr>
                <w:rFonts w:ascii="Arial" w:cs="Arial" w:eastAsia="宋体" w:hAnsi="Arial"/>
                <w:bCs/>
                <w:sz w:val="20"/>
                <w:szCs w:val="20"/>
              </w:rPr>
              <w:t>物质文化遗产</w:t>
            </w:r>
          </w:p>
        </w:tc>
        <w:tc>
          <w:tcPr>
            <w:tcW w:w="515" w:type="pct"/>
            <w:vMerge w:val="restart"/>
            <w:tcBorders/>
          </w:tcPr>
          <w:p>
            <w:pPr>
              <w:pStyle w:val="style0"/>
              <w:jc w:val="left"/>
              <w:rPr>
                <w:rFonts w:ascii="Arial" w:cs="Arial" w:eastAsia="宋体" w:hAnsi="Arial"/>
                <w:bCs/>
                <w:sz w:val="20"/>
                <w:szCs w:val="20"/>
              </w:rPr>
            </w:pPr>
            <w:r>
              <w:rPr>
                <w:rFonts w:ascii="Arial" w:cs="Arial" w:eastAsia="宋体" w:hAnsi="Arial"/>
                <w:b/>
                <w:bCs/>
                <w:sz w:val="20"/>
                <w:szCs w:val="20"/>
              </w:rPr>
              <w:t>原则2：</w:t>
            </w:r>
            <w:r>
              <w:rPr>
                <w:rFonts w:ascii="Arial" w:cs="Arial" w:eastAsia="宋体" w:hAnsi="Arial"/>
                <w:sz w:val="20"/>
                <w:szCs w:val="20"/>
              </w:rPr>
              <w:t>文物保护</w:t>
            </w: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《文物保护法》（2017年修订）</w:t>
            </w:r>
          </w:p>
        </w:tc>
        <w:tc>
          <w:tcPr>
            <w:tcW w:w="1172" w:type="pct"/>
            <w:vMerge w:val="restart"/>
            <w:tcBorders/>
          </w:tcPr>
          <w:p>
            <w:pPr>
              <w:pStyle w:val="style0"/>
              <w:widowControl/>
              <w:shd w:val="clear" w:color="auto" w:fill="ffffff"/>
              <w:jc w:val="left"/>
              <w:rPr>
                <w:rFonts w:ascii="Arial" w:cs="Arial" w:eastAsia="宋体" w:hAnsi="Arial"/>
                <w:kern w:val="0"/>
                <w:sz w:val="20"/>
                <w:szCs w:val="20"/>
                <w:shd w:val="clear" w:color="auto" w:fill="ffffff"/>
              </w:rPr>
            </w:pPr>
            <w:r>
              <w:rPr>
                <w:rFonts w:ascii="Arial" w:cs="Arial" w:eastAsia="宋体" w:hAnsi="Arial"/>
                <w:b/>
                <w:bCs/>
                <w:kern w:val="0"/>
                <w:sz w:val="20"/>
                <w:szCs w:val="20"/>
                <w:shd w:val="clear" w:color="auto" w:fill="ffffff"/>
              </w:rPr>
              <w:t>国家：</w:t>
            </w:r>
            <w:r>
              <w:rPr>
                <w:rFonts w:ascii="Arial" w:cs="Arial" w:eastAsia="宋体" w:hAnsi="Arial"/>
                <w:color w:val="3d3d3d"/>
                <w:kern w:val="0"/>
                <w:sz w:val="20"/>
                <w:szCs w:val="20"/>
              </w:rPr>
              <w:t>国家文物局</w:t>
            </w:r>
          </w:p>
          <w:p>
            <w:pPr>
              <w:pStyle w:val="style0"/>
              <w:jc w:val="left"/>
              <w:rPr>
                <w:rFonts w:ascii="Arial" w:cs="Arial" w:eastAsia="宋体" w:hAnsi="Arial"/>
                <w:sz w:val="20"/>
                <w:szCs w:val="20"/>
              </w:rPr>
            </w:pPr>
            <w:r>
              <w:rPr>
                <w:rFonts w:ascii="Arial" w:cs="Arial" w:eastAsia="宋体" w:hAnsi="Arial"/>
                <w:b/>
                <w:bCs/>
                <w:kern w:val="0"/>
                <w:sz w:val="20"/>
                <w:szCs w:val="20"/>
                <w:shd w:val="clear" w:color="auto" w:fill="ffffff"/>
              </w:rPr>
              <w:t>广西、贵州省：</w:t>
            </w:r>
            <w:r>
              <w:rPr>
                <w:rFonts w:ascii="Arial" w:cs="Arial" w:eastAsia="宋体" w:hAnsi="Arial"/>
                <w:color w:val="3d3d3d"/>
                <w:kern w:val="0"/>
                <w:sz w:val="20"/>
                <w:szCs w:val="20"/>
              </w:rPr>
              <w:t>省、市、县级文物保护部门</w:t>
            </w: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《文物保护法实施条例》（2017）</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公众安全与劳动者安全</w:t>
            </w:r>
          </w:p>
        </w:tc>
        <w:tc>
          <w:tcPr>
            <w:tcW w:w="515" w:type="pct"/>
            <w:vMerge w:val="restart"/>
            <w:tcBorders/>
          </w:tcPr>
          <w:p>
            <w:pPr>
              <w:pStyle w:val="style0"/>
              <w:jc w:val="left"/>
              <w:rPr>
                <w:rFonts w:ascii="Arial" w:cs="Arial" w:eastAsia="宋体" w:hAnsi="Arial"/>
                <w:sz w:val="20"/>
                <w:szCs w:val="20"/>
              </w:rPr>
            </w:pPr>
            <w:r>
              <w:rPr>
                <w:rFonts w:ascii="Arial" w:cs="Arial" w:eastAsia="宋体" w:hAnsi="Arial"/>
                <w:b/>
                <w:bCs/>
                <w:sz w:val="20"/>
                <w:szCs w:val="20"/>
              </w:rPr>
              <w:t>原则3：</w:t>
            </w:r>
            <w:r>
              <w:rPr>
                <w:rFonts w:ascii="Arial" w:cs="Arial" w:eastAsia="宋体" w:hAnsi="Arial"/>
                <w:sz w:val="20"/>
                <w:szCs w:val="20"/>
              </w:rPr>
              <w:t>劳工及职业健康</w:t>
            </w: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《中华人民共和国民法典》（2021.1）</w:t>
            </w:r>
          </w:p>
        </w:tc>
        <w:tc>
          <w:tcPr>
            <w:tcW w:w="1172" w:type="pct"/>
            <w:vMerge w:val="restart"/>
            <w:tcBorders/>
          </w:tcPr>
          <w:p>
            <w:pPr>
              <w:pStyle w:val="style0"/>
              <w:jc w:val="left"/>
              <w:rPr>
                <w:rFonts w:ascii="Arial" w:cs="Arial" w:eastAsia="宋体" w:hAnsi="Arial"/>
                <w:b/>
                <w:bCs/>
                <w:sz w:val="20"/>
                <w:szCs w:val="20"/>
                <w:u w:val="single"/>
              </w:rPr>
            </w:pPr>
            <w:r>
              <w:rPr>
                <w:rFonts w:ascii="Arial" w:cs="Arial" w:eastAsia="宋体" w:hAnsi="Arial"/>
                <w:b/>
                <w:bCs/>
                <w:sz w:val="20"/>
                <w:szCs w:val="20"/>
                <w:u w:val="single"/>
              </w:rPr>
              <w:t>公众安全：</w:t>
            </w:r>
          </w:p>
          <w:p>
            <w:pPr>
              <w:pStyle w:val="style0"/>
              <w:widowControl/>
              <w:jc w:val="left"/>
              <w:rPr>
                <w:rFonts w:ascii="Arial" w:cs="Arial" w:eastAsia="宋体" w:hAnsi="Arial"/>
                <w:color w:val="333333"/>
                <w:kern w:val="0"/>
                <w:sz w:val="20"/>
                <w:szCs w:val="20"/>
                <w:shd w:val="clear" w:color="auto" w:fill="ffffff"/>
              </w:rPr>
            </w:pPr>
            <w:r>
              <w:rPr>
                <w:rFonts w:ascii="Arial" w:cs="Arial" w:eastAsia="宋体" w:hAnsi="Arial"/>
                <w:b/>
                <w:bCs/>
                <w:color w:val="333333"/>
                <w:kern w:val="0"/>
                <w:sz w:val="20"/>
                <w:szCs w:val="20"/>
                <w:shd w:val="clear" w:color="auto" w:fill="ffffff"/>
              </w:rPr>
              <w:t>国家：</w:t>
            </w:r>
            <w:r>
              <w:rPr>
                <w:rFonts w:ascii="Arial" w:cs="Arial" w:eastAsia="宋体" w:hAnsi="Arial"/>
                <w:color w:val="333333"/>
                <w:kern w:val="0"/>
                <w:sz w:val="20"/>
                <w:szCs w:val="20"/>
                <w:shd w:val="clear" w:color="auto" w:fill="ffffff"/>
              </w:rPr>
              <w:t>应急管理部</w:t>
            </w:r>
          </w:p>
          <w:p>
            <w:pPr>
              <w:pStyle w:val="style0"/>
              <w:jc w:val="left"/>
              <w:rPr>
                <w:rFonts w:ascii="Arial" w:cs="Arial" w:eastAsia="宋体" w:hAnsi="Arial"/>
                <w:sz w:val="20"/>
                <w:szCs w:val="20"/>
              </w:rPr>
            </w:pPr>
            <w:r>
              <w:rPr>
                <w:rFonts w:ascii="Arial" w:cs="Arial" w:eastAsia="宋体" w:hAnsi="Arial"/>
                <w:b/>
                <w:bCs/>
                <w:color w:val="333333"/>
                <w:kern w:val="0"/>
                <w:sz w:val="20"/>
                <w:szCs w:val="20"/>
                <w:shd w:val="clear" w:color="auto" w:fill="ffffff"/>
              </w:rPr>
              <w:t>广西、贵州省：</w:t>
            </w:r>
            <w:r>
              <w:rPr>
                <w:rFonts w:ascii="Arial" w:cs="Arial" w:eastAsia="宋体" w:hAnsi="Arial"/>
                <w:color w:val="333333"/>
                <w:kern w:val="0"/>
                <w:sz w:val="20"/>
                <w:szCs w:val="20"/>
                <w:shd w:val="clear" w:color="auto" w:fill="ffffff"/>
              </w:rPr>
              <w:t>县级人民政府、应急管理局、生产经营单位、有关协会组织、为安全生产提供技术管理服务的机构</w:t>
            </w: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劳动者安全：</w:t>
            </w:r>
          </w:p>
          <w:p>
            <w:pPr>
              <w:pStyle w:val="style0"/>
              <w:widowControl/>
              <w:jc w:val="left"/>
              <w:rPr>
                <w:rFonts w:ascii="Arial" w:cs="Arial" w:eastAsia="宋体" w:hAnsi="Arial"/>
                <w:sz w:val="20"/>
                <w:szCs w:val="20"/>
              </w:rPr>
            </w:pPr>
            <w:r>
              <w:rPr>
                <w:rFonts w:ascii="Arial" w:cs="Arial" w:eastAsia="宋体" w:hAnsi="Arial"/>
                <w:b/>
                <w:bCs/>
                <w:sz w:val="20"/>
                <w:szCs w:val="20"/>
              </w:rPr>
              <w:t>国家：</w:t>
            </w:r>
            <w:r>
              <w:rPr>
                <w:rFonts w:ascii="Arial" w:cs="Arial" w:eastAsia="宋体" w:hAnsi="Arial"/>
                <w:sz w:val="20"/>
                <w:szCs w:val="20"/>
              </w:rPr>
              <w:t>国家卫健委；</w:t>
            </w:r>
          </w:p>
          <w:p>
            <w:pPr>
              <w:pStyle w:val="style0"/>
              <w:widowControl/>
              <w:jc w:val="left"/>
              <w:rPr>
                <w:rFonts w:ascii="Arial" w:cs="Arial" w:eastAsia="宋体" w:hAnsi="Arial"/>
                <w:color w:val="333333"/>
                <w:kern w:val="0"/>
                <w:sz w:val="20"/>
                <w:szCs w:val="20"/>
                <w:shd w:val="clear" w:color="auto" w:fill="ffffff"/>
              </w:rPr>
            </w:pPr>
            <w:r>
              <w:rPr>
                <w:rFonts w:ascii="Arial" w:cs="Arial" w:eastAsia="宋体" w:hAnsi="Arial"/>
                <w:b/>
                <w:bCs/>
                <w:sz w:val="20"/>
                <w:szCs w:val="20"/>
              </w:rPr>
              <w:t>广西、贵州省：</w:t>
            </w:r>
            <w:r>
              <w:rPr>
                <w:rFonts w:ascii="Arial" w:cs="Arial" w:eastAsia="宋体" w:hAnsi="Arial"/>
                <w:sz w:val="20"/>
                <w:szCs w:val="20"/>
              </w:rPr>
              <w:t>省市县</w:t>
            </w:r>
            <w:r>
              <w:rPr>
                <w:rFonts w:ascii="Arial" w:cs="Arial" w:eastAsia="宋体" w:hAnsi="Arial" w:hint="eastAsia"/>
                <w:sz w:val="20"/>
                <w:szCs w:val="20"/>
              </w:rPr>
              <w:t>卫生健康行政部门</w:t>
            </w:r>
            <w:r>
              <w:rPr>
                <w:rFonts w:ascii="Arial" w:cs="Arial" w:eastAsia="宋体" w:hAnsi="Arial"/>
                <w:sz w:val="20"/>
                <w:szCs w:val="20"/>
              </w:rPr>
              <w:t>、</w:t>
            </w:r>
            <w:r>
              <w:rPr>
                <w:rFonts w:ascii="Arial" w:cs="Arial" w:eastAsia="宋体" w:hAnsi="Arial" w:hint="eastAsia"/>
                <w:sz w:val="20"/>
                <w:szCs w:val="20"/>
              </w:rPr>
              <w:t>省市县卫生健康监督机构、以及服务支撑机构，如</w:t>
            </w:r>
            <w:r>
              <w:rPr>
                <w:rFonts w:ascii="Arial" w:cs="Arial" w:eastAsia="宋体" w:hAnsi="Arial"/>
                <w:sz w:val="20"/>
                <w:szCs w:val="20"/>
              </w:rPr>
              <w:t>省职业病防治研究院、</w:t>
            </w:r>
            <w:r>
              <w:rPr>
                <w:rFonts w:ascii="Arial" w:cs="Arial" w:eastAsia="宋体" w:hAnsi="Arial"/>
                <w:color w:val="333333"/>
                <w:kern w:val="0"/>
                <w:sz w:val="20"/>
                <w:szCs w:val="20"/>
                <w:shd w:val="clear" w:color="auto" w:fill="ffffff"/>
              </w:rPr>
              <w:t>职业健康检查机构</w:t>
            </w:r>
          </w:p>
          <w:p>
            <w:pPr>
              <w:pStyle w:val="style0"/>
              <w:rPr>
                <w:rFonts w:ascii="Arial" w:cs="Arial" w:eastAsia="宋体" w:hAnsi="Arial"/>
                <w:b/>
                <w:bCs/>
                <w:color w:val="333333"/>
                <w:sz w:val="20"/>
                <w:szCs w:val="20"/>
                <w:u w:val="single"/>
                <w:shd w:val="clear" w:color="auto" w:fill="ffffff"/>
              </w:rPr>
            </w:pPr>
            <w:r>
              <w:rPr>
                <w:rFonts w:ascii="Arial" w:cs="Arial" w:eastAsia="宋体" w:hAnsi="Arial"/>
                <w:b/>
                <w:bCs/>
                <w:color w:val="333333"/>
                <w:sz w:val="20"/>
                <w:szCs w:val="20"/>
                <w:u w:val="single"/>
                <w:shd w:val="clear" w:color="auto" w:fill="ffffff"/>
              </w:rPr>
              <w:t>劳工管理：</w:t>
            </w:r>
          </w:p>
          <w:p>
            <w:pPr>
              <w:pStyle w:val="style0"/>
              <w:rPr>
                <w:rFonts w:ascii="Arial" w:cs="Arial" w:eastAsia="宋体" w:hAnsi="Arial"/>
                <w:color w:val="333333"/>
                <w:sz w:val="20"/>
                <w:szCs w:val="20"/>
                <w:shd w:val="clear" w:color="auto" w:fill="ffffff"/>
              </w:rPr>
            </w:pPr>
            <w:r>
              <w:rPr>
                <w:rFonts w:ascii="Arial" w:cs="Arial" w:eastAsia="宋体" w:hAnsi="Arial"/>
                <w:b/>
                <w:bCs/>
                <w:color w:val="333333"/>
                <w:sz w:val="20"/>
                <w:szCs w:val="20"/>
                <w:shd w:val="clear" w:color="auto" w:fill="ffffff"/>
              </w:rPr>
              <w:t>国家：</w:t>
            </w:r>
            <w:r>
              <w:rPr>
                <w:rFonts w:ascii="Arial" w:cs="Arial" w:eastAsia="宋体" w:hAnsi="Arial"/>
                <w:color w:val="333333"/>
                <w:sz w:val="20"/>
                <w:szCs w:val="20"/>
                <w:shd w:val="clear" w:color="auto" w:fill="ffffff"/>
              </w:rPr>
              <w:t>人力资源社会保障、</w:t>
            </w:r>
            <w:r>
              <w:rPr>
                <w:rFonts w:ascii="Arial" w:cs="Arial" w:eastAsia="宋体" w:hAnsi="Arial"/>
                <w:color w:val="333333"/>
                <w:kern w:val="0"/>
                <w:sz w:val="20"/>
                <w:szCs w:val="20"/>
                <w:shd w:val="clear" w:color="auto" w:fill="ffffff"/>
              </w:rPr>
              <w:t>中华全国总工会</w:t>
            </w:r>
          </w:p>
          <w:p>
            <w:pPr>
              <w:pStyle w:val="style0"/>
              <w:rPr>
                <w:rFonts w:ascii="Arial" w:cs="Arial" w:eastAsia="宋体" w:hAnsi="Arial"/>
                <w:sz w:val="20"/>
                <w:szCs w:val="20"/>
              </w:rPr>
            </w:pPr>
            <w:r>
              <w:rPr>
                <w:rFonts w:ascii="Arial" w:cs="Arial" w:eastAsia="宋体" w:hAnsi="Arial"/>
                <w:b/>
                <w:bCs/>
                <w:color w:val="333333"/>
                <w:sz w:val="20"/>
                <w:szCs w:val="20"/>
                <w:shd w:val="clear" w:color="auto" w:fill="ffffff"/>
              </w:rPr>
              <w:t>广西、贵州省</w:t>
            </w:r>
            <w:r>
              <w:rPr>
                <w:rFonts w:ascii="Arial" w:cs="Arial" w:eastAsia="宋体" w:hAnsi="Arial"/>
                <w:color w:val="333333"/>
                <w:sz w:val="20"/>
                <w:szCs w:val="20"/>
                <w:shd w:val="clear" w:color="auto" w:fill="ffffff"/>
              </w:rPr>
              <w:t>：省市县各级辖区总工会；各级产业工会；企事业单位工会</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《中华人民共和国安全生产法》（2014.12）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《中华人民共和国职业病防治法》（2018.12）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《用人单位职业病防治指南》（2010.8）</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《职业健康安全管理体系要求及使用指南》（2018.3）</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《职业病分类和目录》（2013）</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《建设项目职业病危害风险分类管理目录》（2021.3.12）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《女职工劳动保护特别规定》（国务院令第619号）(2012.5)</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《自治区卫生健康委关于印发2021年广西职业病防治项目工作方案的通知》（桂卫职健发〔2021〕3号）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《贵州省卫生健康委关于加强职业病防治技术支撑体系建设的指导意见》（2020.12）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《中华人民共和国安全生产法》（2014.12）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《传染病防治法》（2020）</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kern w:val="0"/>
                <w:sz w:val="20"/>
                <w:szCs w:val="20"/>
              </w:rPr>
              <w:t>《中华人民共和国突发事件应对法》（2007.11.1）</w:t>
            </w:r>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《地质灾害防治条例》（2004.3.1）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《气象灾害预防条例》（2010.4.1）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《中华人民共和国防汛条例》（2005.7.15）</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《防震减灾法》（2009.5.1）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征地、移民和土地使用限制</w:t>
            </w:r>
          </w:p>
          <w:p>
            <w:pPr>
              <w:pStyle w:val="style0"/>
              <w:jc w:val="left"/>
              <w:rPr>
                <w:rFonts w:ascii="Arial" w:cs="Arial" w:eastAsia="宋体" w:hAnsi="Arial"/>
                <w:sz w:val="20"/>
                <w:szCs w:val="20"/>
              </w:rPr>
            </w:pPr>
          </w:p>
        </w:tc>
        <w:tc>
          <w:tcPr>
            <w:tcW w:w="515" w:type="pct"/>
            <w:vMerge w:val="restart"/>
            <w:tcBorders/>
          </w:tcPr>
          <w:p>
            <w:pPr>
              <w:pStyle w:val="style0"/>
              <w:jc w:val="left"/>
              <w:rPr>
                <w:rFonts w:ascii="Arial" w:cs="Arial" w:eastAsia="宋体" w:hAnsi="Arial"/>
                <w:sz w:val="20"/>
                <w:szCs w:val="20"/>
              </w:rPr>
            </w:pPr>
            <w:r>
              <w:rPr>
                <w:rFonts w:ascii="Arial" w:cs="Arial" w:eastAsia="宋体" w:hAnsi="Arial"/>
                <w:b/>
                <w:bCs/>
                <w:sz w:val="20"/>
                <w:szCs w:val="20"/>
              </w:rPr>
              <w:t>原则4：</w:t>
            </w:r>
            <w:r>
              <w:rPr>
                <w:rFonts w:ascii="Arial" w:cs="Arial" w:eastAsia="宋体" w:hAnsi="Arial"/>
                <w:sz w:val="20"/>
                <w:szCs w:val="20"/>
              </w:rPr>
              <w:t>土地征用，生计恢复和受影响人（PAP）参与</w:t>
            </w: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《建设项目用地预审管理办法》(2017)</w:t>
            </w:r>
          </w:p>
        </w:tc>
        <w:tc>
          <w:tcPr>
            <w:tcW w:w="1172" w:type="pct"/>
            <w:vMerge w:val="restart"/>
            <w:tcBorders/>
          </w:tcPr>
          <w:p>
            <w:pPr>
              <w:pStyle w:val="style0"/>
              <w:jc w:val="left"/>
              <w:rPr>
                <w:rFonts w:ascii="Arial" w:cs="Arial" w:eastAsia="宋体" w:hAnsi="Arial"/>
                <w:b/>
                <w:bCs/>
                <w:sz w:val="20"/>
                <w:szCs w:val="20"/>
                <w:u w:val="single"/>
              </w:rPr>
            </w:pPr>
            <w:r>
              <w:rPr>
                <w:rFonts w:ascii="Arial" w:cs="Arial" w:eastAsia="宋体" w:hAnsi="Arial"/>
                <w:b/>
                <w:bCs/>
                <w:sz w:val="20"/>
                <w:szCs w:val="20"/>
                <w:u w:val="single"/>
              </w:rPr>
              <w:t>征地：</w:t>
            </w:r>
          </w:p>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自然资源部</w:t>
            </w:r>
          </w:p>
          <w:p>
            <w:pPr>
              <w:pStyle w:val="style0"/>
              <w:jc w:val="left"/>
              <w:rPr>
                <w:rFonts w:ascii="Arial" w:cs="Arial" w:eastAsia="宋体" w:hAnsi="Arial"/>
                <w:sz w:val="20"/>
                <w:szCs w:val="20"/>
              </w:rPr>
            </w:pPr>
            <w:r>
              <w:rPr>
                <w:rFonts w:ascii="Arial" w:cs="Arial" w:eastAsia="宋体" w:hAnsi="Arial"/>
                <w:b/>
                <w:bCs/>
                <w:sz w:val="20"/>
                <w:szCs w:val="20"/>
                <w:lang w:bidi="en-US"/>
              </w:rPr>
              <w:t>广西、贵州省：</w:t>
            </w:r>
            <w:r>
              <w:rPr>
                <w:rFonts w:ascii="Arial" w:cs="Arial" w:eastAsia="宋体" w:hAnsi="Arial"/>
                <w:sz w:val="20"/>
                <w:szCs w:val="20"/>
                <w:lang w:bidi="en-US"/>
              </w:rPr>
              <w:t>省市县人民政府，各级自然资源主管部门</w:t>
            </w:r>
          </w:p>
          <w:p>
            <w:pPr>
              <w:pStyle w:val="style0"/>
              <w:jc w:val="left"/>
              <w:rPr>
                <w:rFonts w:ascii="Arial" w:cs="Arial" w:eastAsia="宋体" w:hAnsi="Arial"/>
                <w:sz w:val="20"/>
                <w:szCs w:val="20"/>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城镇房屋拆迁：</w:t>
            </w:r>
          </w:p>
          <w:p>
            <w:pPr>
              <w:pStyle w:val="style0"/>
              <w:jc w:val="left"/>
              <w:rPr>
                <w:rFonts w:ascii="Arial" w:cs="Arial" w:eastAsia="宋体" w:hAnsi="Arial"/>
                <w:sz w:val="20"/>
                <w:szCs w:val="20"/>
              </w:rPr>
            </w:pPr>
            <w:r>
              <w:rPr>
                <w:rFonts w:ascii="Arial" w:cs="Arial" w:eastAsia="宋体" w:hAnsi="Arial"/>
                <w:sz w:val="20"/>
                <w:szCs w:val="20"/>
                <w:lang w:bidi="en-US"/>
              </w:rPr>
              <w:t>市县级人民政府、</w:t>
            </w:r>
            <w:r>
              <w:rPr/>
              <w:fldChar w:fldCharType="begin"/>
            </w:r>
            <w:r>
              <w:instrText xml:space="preserve"> HYPERLINK "https://baike.baidu.com/item/%E6%88%BF%E5%B1%8B%E5%BE%81%E6%94%B6%E9%83%A8%E9%97%A8" \t "https://baike.baidu.com/item/%E5%9B%BD%E6%9C%89%E5%9C%9F%E5%9C%B0%E4%B8%8A%E6%88%BF%E5%B1%8B%E5%BE%81%E6%94%B6%E4%B8%8E%E8%A1%A5%E5%81%BF%E6%9D%A1%E4%BE%8B/_blank" </w:instrText>
            </w:r>
            <w:r>
              <w:rPr/>
              <w:fldChar w:fldCharType="separate"/>
            </w:r>
            <w:r>
              <w:rPr>
                <w:rFonts w:ascii="Arial" w:cs="Arial" w:eastAsia="宋体" w:hAnsi="Arial"/>
                <w:sz w:val="20"/>
                <w:szCs w:val="20"/>
                <w:lang w:bidi="en-US"/>
              </w:rPr>
              <w:t>住建局</w:t>
            </w:r>
            <w:r>
              <w:rPr>
                <w:rFonts w:ascii="Arial" w:cs="Arial" w:eastAsia="宋体" w:hAnsi="Arial"/>
                <w:sz w:val="20"/>
                <w:szCs w:val="20"/>
                <w:lang w:bidi="en-US"/>
              </w:rPr>
              <w:fldChar w:fldCharType="end"/>
            </w:r>
            <w:r>
              <w:rPr>
                <w:rFonts w:ascii="Arial" w:cs="Arial" w:eastAsia="宋体" w:hAnsi="Arial"/>
                <w:sz w:val="20"/>
                <w:szCs w:val="20"/>
                <w:lang w:bidi="en-US"/>
              </w:rPr>
              <w:t>、房屋征收实施单位</w:t>
            </w:r>
          </w:p>
          <w:p>
            <w:pPr>
              <w:pStyle w:val="style0"/>
              <w:jc w:val="left"/>
              <w:rPr>
                <w:rFonts w:ascii="Arial" w:cs="Arial" w:eastAsia="宋体" w:hAnsi="Arial"/>
                <w:sz w:val="20"/>
                <w:szCs w:val="20"/>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农村房屋拆迁：</w:t>
            </w:r>
          </w:p>
          <w:p>
            <w:pPr>
              <w:pStyle w:val="style0"/>
              <w:jc w:val="left"/>
              <w:rPr>
                <w:rFonts w:ascii="Arial" w:cs="Arial" w:eastAsia="宋体" w:hAnsi="Arial"/>
                <w:sz w:val="20"/>
                <w:szCs w:val="20"/>
                <w:lang w:bidi="en-US"/>
              </w:rPr>
            </w:pPr>
            <w:r>
              <w:rPr>
                <w:rFonts w:ascii="Arial" w:cs="Arial" w:eastAsia="宋体" w:hAnsi="Arial"/>
                <w:sz w:val="20"/>
                <w:szCs w:val="20"/>
                <w:lang w:bidi="en-US"/>
              </w:rPr>
              <w:t>农业农村部门、自然资源部门、乡镇政府、村委会</w:t>
            </w:r>
          </w:p>
          <w:p>
            <w:pPr>
              <w:pStyle w:val="style0"/>
              <w:jc w:val="left"/>
              <w:rPr>
                <w:rFonts w:ascii="Arial" w:cs="Arial" w:eastAsia="宋体" w:hAnsi="Arial"/>
                <w:sz w:val="20"/>
                <w:szCs w:val="20"/>
                <w:lang w:bidi="en-US"/>
              </w:rPr>
            </w:pP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设施农用地：</w:t>
            </w: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自然资源部、农业农村部</w:t>
            </w: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广西、贵州省：</w:t>
            </w:r>
            <w:r>
              <w:rPr>
                <w:rFonts w:ascii="Arial" w:cs="Arial" w:eastAsia="宋体" w:hAnsi="Arial"/>
                <w:sz w:val="20"/>
                <w:szCs w:val="20"/>
                <w:lang w:bidi="en-US"/>
              </w:rPr>
              <w:t>省市县自然资源主管部门、农业农村部门、乡镇人民政府</w:t>
            </w:r>
          </w:p>
          <w:p>
            <w:pPr>
              <w:pStyle w:val="style0"/>
              <w:jc w:val="left"/>
              <w:rPr>
                <w:rFonts w:ascii="Arial" w:cs="Arial" w:eastAsia="宋体" w:hAnsi="Arial"/>
                <w:b/>
                <w:bCs/>
                <w:sz w:val="20"/>
                <w:szCs w:val="20"/>
                <w:lang w:bidi="en-US"/>
              </w:rPr>
            </w:pP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 xml:space="preserve">土地流转： </w:t>
            </w:r>
          </w:p>
          <w:p>
            <w:pPr>
              <w:pStyle w:val="style0"/>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农业农村部</w:t>
            </w: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广西、贵州省：</w:t>
            </w:r>
            <w:r>
              <w:rPr>
                <w:rFonts w:ascii="Arial" w:cs="Arial" w:eastAsia="宋体" w:hAnsi="Arial"/>
                <w:sz w:val="20"/>
                <w:szCs w:val="20"/>
                <w:lang w:bidi="en-US"/>
              </w:rPr>
              <w:t>省市县农业农村部门、乡镇人民政府</w:t>
            </w:r>
          </w:p>
          <w:p>
            <w:pPr>
              <w:pStyle w:val="style0"/>
              <w:jc w:val="left"/>
              <w:rPr>
                <w:rFonts w:ascii="Arial" w:cs="Arial" w:eastAsia="宋体" w:hAnsi="Arial"/>
                <w:b/>
                <w:bCs/>
                <w:sz w:val="20"/>
                <w:szCs w:val="20"/>
                <w:lang w:bidi="en-US"/>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生计恢复：</w:t>
            </w:r>
          </w:p>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人力资源与社会保障部</w:t>
            </w:r>
          </w:p>
          <w:p>
            <w:pPr>
              <w:pStyle w:val="style0"/>
              <w:jc w:val="left"/>
              <w:rPr>
                <w:rFonts w:ascii="Arial" w:cs="Arial" w:eastAsia="宋体" w:hAnsi="Arial"/>
                <w:sz w:val="20"/>
                <w:szCs w:val="20"/>
              </w:rPr>
            </w:pPr>
            <w:r>
              <w:rPr>
                <w:rFonts w:ascii="Arial" w:cs="Arial" w:eastAsia="宋体" w:hAnsi="Arial"/>
                <w:b/>
                <w:bCs/>
                <w:sz w:val="20"/>
                <w:szCs w:val="20"/>
                <w:lang w:bidi="en-US"/>
              </w:rPr>
              <w:t>广西、贵州省：</w:t>
            </w:r>
            <w:r>
              <w:rPr>
                <w:rFonts w:ascii="Arial" w:cs="Arial" w:eastAsia="宋体" w:hAnsi="Arial"/>
                <w:sz w:val="20"/>
                <w:szCs w:val="20"/>
                <w:lang w:bidi="en-US"/>
              </w:rPr>
              <w:t>省市县人力资源保障部门、县乡人</w:t>
            </w:r>
            <w:r>
              <w:rPr>
                <w:rFonts w:ascii="Arial" w:cs="Arial" w:eastAsia="宋体" w:hAnsi="Arial" w:hint="eastAsia"/>
                <w:sz w:val="20"/>
                <w:szCs w:val="20"/>
                <w:lang w:bidi="en-US" w:eastAsia="zh-CN"/>
              </w:rPr>
              <w:t>民</w:t>
            </w:r>
            <w:r>
              <w:rPr>
                <w:rFonts w:ascii="Arial" w:cs="Arial" w:eastAsia="宋体" w:hAnsi="Arial"/>
                <w:sz w:val="20"/>
                <w:szCs w:val="20"/>
                <w:lang w:bidi="en-US"/>
              </w:rPr>
              <w:t>政府、</w:t>
            </w:r>
            <w:r>
              <w:rPr>
                <w:rFonts w:ascii="Arial" w:cs="Arial" w:eastAsia="宋体" w:hAnsi="Arial"/>
                <w:color w:val="333333"/>
                <w:sz w:val="20"/>
                <w:szCs w:val="20"/>
                <w:shd w:val="clear" w:color="auto" w:fill="ffffff"/>
              </w:rPr>
              <w:t>居民委员会、村民委员会</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《土地管理法》（2020.1）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《土地管理法实施条例》（2021年修订</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《国有土地上房屋征收与补偿条例》（国务院令【2011】590号）（2011.1.21）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《国有土地上房屋征收评估办法》的通知（建房【2011】77号）（2011-6-3）</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color w:val="000000"/>
                <w:kern w:val="0"/>
                <w:sz w:val="20"/>
                <w:szCs w:val="20"/>
              </w:rPr>
            </w:pPr>
          </w:p>
        </w:tc>
        <w:tc>
          <w:tcPr>
            <w:tcW w:w="515" w:type="pct"/>
            <w:vMerge w:val="continue"/>
            <w:tcBorders/>
          </w:tcPr>
          <w:p>
            <w:pPr>
              <w:pStyle w:val="style0"/>
              <w:jc w:val="left"/>
              <w:rPr>
                <w:rFonts w:ascii="Arial" w:cs="Arial" w:eastAsia="宋体" w:hAnsi="Arial"/>
                <w:color w:val="000000"/>
                <w:kern w:val="0"/>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《关于完善征地补偿安置制度的指导意见》（国土资发【2004】238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color w:val="000000"/>
                <w:kern w:val="0"/>
                <w:sz w:val="20"/>
                <w:szCs w:val="20"/>
              </w:rPr>
            </w:pPr>
          </w:p>
        </w:tc>
        <w:tc>
          <w:tcPr>
            <w:tcW w:w="515" w:type="pct"/>
            <w:vMerge w:val="continue"/>
            <w:tcBorders/>
          </w:tcPr>
          <w:p>
            <w:pPr>
              <w:pStyle w:val="style0"/>
              <w:jc w:val="left"/>
              <w:rPr>
                <w:rFonts w:ascii="Arial" w:cs="Arial" w:eastAsia="宋体" w:hAnsi="Arial"/>
                <w:color w:val="000000"/>
                <w:kern w:val="0"/>
                <w:sz w:val="20"/>
                <w:szCs w:val="20"/>
              </w:rPr>
            </w:pPr>
          </w:p>
        </w:tc>
        <w:tc>
          <w:tcPr>
            <w:tcW w:w="2725" w:type="pct"/>
            <w:tcBorders/>
          </w:tcPr>
          <w:p>
            <w:pPr>
              <w:pStyle w:val="style0"/>
              <w:jc w:val="left"/>
              <w:rPr>
                <w:rFonts w:ascii="Arial" w:cs="Arial" w:eastAsia="宋体" w:hAnsi="Arial"/>
                <w:color w:val="000000"/>
                <w:kern w:val="0"/>
                <w:sz w:val="20"/>
                <w:szCs w:val="20"/>
              </w:rPr>
            </w:pPr>
            <w:r>
              <w:rPr>
                <w:rFonts w:ascii="Arial" w:cs="Arial" w:eastAsia="宋体" w:hAnsi="Arial"/>
                <w:sz w:val="20"/>
                <w:szCs w:val="20"/>
              </w:rPr>
              <w:t>《关于做好被征地农民就业培训和社会保障工作的指导意见》（国办发【2006】29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《劳动和社会保障部土地资源部文件关于切实做好被征地农民社会保障工作有关问题的通知》（劳社部发【2007】14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《自然资源部 农业农村部关于设施农用地管理有关问题的通知》（自然资规【2019】4号）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《自然资源部农业农村部国家林业和草原局关于严格耕地用途管制有关问题的通知》（自然资发【2021】16号）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《农村土地经营权流转管理办法》（农业农村部2021年 第1号）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bookmarkStart w:id="470" w:name="_Hlk90040195"/>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《广西壮族自治区人民政府办公厅关于实施征地区片综合地价的通知》（桂政办函〔2020〕5号）</w:t>
            </w:r>
            <w:bookmarkEnd w:id="470"/>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《广西壮族自治区关于贯彻&lt;国有土地上房屋征收与补偿条例&gt;的规定》（桂政电〔2011〕36号）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《广西壮族自治区自然资源厅 广西壮族自治区农业农村厅关于进一步加强和规范我区设施农业用地管理的通知》（桂自然资规〔2020〕3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lang w:eastAsia="zh-CN"/>
              </w:rPr>
              <w:t>广西壮族自治区</w:t>
            </w:r>
            <w:r>
              <w:rPr>
                <w:rFonts w:ascii="Arial" w:cs="Arial" w:eastAsia="宋体" w:hAnsi="Arial"/>
                <w:sz w:val="20"/>
                <w:szCs w:val="20"/>
              </w:rPr>
              <w:t>关于改进和优化建设项目用地预审和用地审查的通知（桂国土资规〔2016〕9号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广西壮族自治区人民政府关于印发实行重大项目建设“五个优化”若干措施的通知（桂政发〔2018〕26号）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省人民政府办公厅关于实施征地区片综合地价的通知(黔府办函〔2020〕68号)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省人民政府办公厅关于贯彻落实《国有土地上房屋征收与补偿条例》的通知(黔府办发〔2011〕53号)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省人民政府办公厅关于印发《贵州省国有土地上房屋征收补偿住房保障办法(暂行)》《贵州省国有土地上房屋征收评估机构选定办法(暂行)》《贵州省国有土地上房屋征收停产停业损失补偿指导意见》的通知（黔府办发[2011]116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《省国土资源厅关于改进和优化建设项目用地预审和用地审查报批管理工作的通知》（黔国土资规〔2017〕2号））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《贵州省自然资源厅 贵州省农业农村厅关于设施农业用地管理有关问题的通知》（黔自然资规〔2020〕1号）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《关于规范建设项目选址意见书办理有关事宜的通知》（黔建规通〔2018〕13号）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少数民族与弱势群体</w:t>
            </w:r>
          </w:p>
        </w:tc>
        <w:tc>
          <w:tcPr>
            <w:tcW w:w="515" w:type="pct"/>
            <w:vMerge w:val="restart"/>
            <w:tcBorders/>
          </w:tcPr>
          <w:p>
            <w:pPr>
              <w:pStyle w:val="style0"/>
              <w:jc w:val="left"/>
              <w:rPr>
                <w:rFonts w:ascii="Arial" w:cs="Arial" w:eastAsia="宋体" w:hAnsi="Arial"/>
                <w:sz w:val="20"/>
                <w:szCs w:val="20"/>
              </w:rPr>
            </w:pPr>
            <w:r>
              <w:rPr>
                <w:rFonts w:ascii="Arial" w:cs="Arial" w:eastAsia="宋体" w:hAnsi="Arial"/>
                <w:b/>
                <w:bCs/>
                <w:sz w:val="20"/>
                <w:szCs w:val="20"/>
              </w:rPr>
              <w:t>原则5：</w:t>
            </w:r>
            <w:r>
              <w:rPr>
                <w:rFonts w:ascii="Arial" w:cs="Arial" w:eastAsia="宋体" w:hAnsi="Arial"/>
                <w:sz w:val="20"/>
                <w:szCs w:val="20"/>
              </w:rPr>
              <w:t>少数民族和弱势群体</w:t>
            </w: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《宪法》（2018年修订版）</w:t>
            </w:r>
          </w:p>
        </w:tc>
        <w:tc>
          <w:tcPr>
            <w:tcW w:w="1172" w:type="pct"/>
            <w:vMerge w:val="restart"/>
            <w:tcBorders/>
          </w:tcPr>
          <w:p>
            <w:pPr>
              <w:pStyle w:val="style0"/>
              <w:widowControl/>
              <w:jc w:val="left"/>
              <w:rPr>
                <w:rFonts w:ascii="Arial" w:cs="Arial" w:eastAsia="宋体" w:hAnsi="Arial"/>
                <w:b/>
                <w:bCs/>
                <w:sz w:val="20"/>
                <w:szCs w:val="20"/>
                <w:u w:val="single"/>
                <w:lang w:bidi="en-US"/>
              </w:rPr>
            </w:pPr>
            <w:r>
              <w:rPr>
                <w:rFonts w:ascii="Arial" w:cs="Arial" w:eastAsia="宋体" w:hAnsi="Arial"/>
                <w:b/>
                <w:bCs/>
                <w:sz w:val="20"/>
                <w:szCs w:val="20"/>
                <w:u w:val="single"/>
                <w:lang w:bidi="en-US"/>
              </w:rPr>
              <w:t>少数民族：</w:t>
            </w:r>
          </w:p>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民族事务委员会</w:t>
            </w:r>
          </w:p>
          <w:p>
            <w:pPr>
              <w:pStyle w:val="style0"/>
              <w:jc w:val="left"/>
              <w:rPr>
                <w:rFonts w:ascii="Arial" w:cs="Arial" w:eastAsia="宋体" w:hAnsi="Arial"/>
                <w:sz w:val="20"/>
                <w:szCs w:val="20"/>
                <w:lang w:bidi="en-US"/>
              </w:rPr>
            </w:pPr>
            <w:r>
              <w:rPr>
                <w:rFonts w:ascii="Arial" w:cs="Arial" w:eastAsia="宋体" w:hAnsi="Arial"/>
                <w:b/>
                <w:bCs/>
                <w:sz w:val="20"/>
                <w:szCs w:val="20"/>
                <w:lang w:bidi="en-US"/>
              </w:rPr>
              <w:t>广西、贵州省：</w:t>
            </w:r>
            <w:r>
              <w:rPr>
                <w:rFonts w:ascii="Arial" w:cs="Arial" w:eastAsia="宋体" w:hAnsi="Arial"/>
                <w:sz w:val="20"/>
                <w:szCs w:val="20"/>
                <w:lang w:bidi="en-US"/>
              </w:rPr>
              <w:t>省、市、县各级地方</w:t>
            </w:r>
            <w:r>
              <w:rPr>
                <w:rFonts w:ascii="Arial" w:cs="Arial" w:eastAsia="宋体" w:hAnsi="Arial" w:hint="eastAsia"/>
                <w:sz w:val="20"/>
                <w:szCs w:val="20"/>
                <w:lang w:bidi="en-US"/>
              </w:rPr>
              <w:t>民族工作部门</w:t>
            </w:r>
          </w:p>
          <w:p>
            <w:pPr>
              <w:pStyle w:val="style0"/>
              <w:jc w:val="left"/>
              <w:rPr>
                <w:rFonts w:ascii="Arial" w:cs="Arial" w:eastAsia="宋体" w:hAnsi="Arial"/>
                <w:sz w:val="20"/>
                <w:szCs w:val="20"/>
                <w:lang w:bidi="en-US"/>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妇女：</w:t>
            </w:r>
          </w:p>
          <w:p>
            <w:pPr>
              <w:pStyle w:val="style0"/>
              <w:widowControl/>
              <w:jc w:val="left"/>
              <w:rPr>
                <w:rFonts w:ascii="Arial" w:cs="Arial" w:eastAsia="宋体" w:hAnsi="Arial"/>
                <w:color w:val="333333"/>
                <w:kern w:val="0"/>
                <w:sz w:val="20"/>
                <w:szCs w:val="20"/>
                <w:shd w:val="clear" w:color="auto" w:fill="ffffff"/>
              </w:rPr>
            </w:pPr>
            <w:r>
              <w:rPr>
                <w:rFonts w:ascii="Arial" w:cs="Arial" w:eastAsia="宋体" w:hAnsi="Arial"/>
                <w:b/>
                <w:bCs/>
                <w:color w:val="333333"/>
                <w:kern w:val="0"/>
                <w:sz w:val="20"/>
                <w:szCs w:val="20"/>
                <w:shd w:val="clear" w:color="auto" w:fill="ffffff"/>
              </w:rPr>
              <w:t>国家：</w:t>
            </w:r>
            <w:r>
              <w:rPr>
                <w:rFonts w:ascii="Arial" w:cs="Arial" w:eastAsia="宋体" w:hAnsi="Arial"/>
                <w:color w:val="333333"/>
                <w:kern w:val="0"/>
                <w:sz w:val="20"/>
                <w:szCs w:val="20"/>
                <w:shd w:val="clear" w:color="auto" w:fill="ffffff"/>
              </w:rPr>
              <w:t>中华全国妇女联合会</w:t>
            </w:r>
          </w:p>
          <w:p>
            <w:pPr>
              <w:pStyle w:val="style0"/>
              <w:jc w:val="left"/>
              <w:rPr>
                <w:rFonts w:ascii="Arial" w:cs="Arial" w:eastAsia="宋体" w:hAnsi="Arial"/>
                <w:color w:val="333333"/>
                <w:kern w:val="0"/>
                <w:sz w:val="20"/>
                <w:szCs w:val="20"/>
                <w:shd w:val="clear" w:color="auto" w:fill="ffffff"/>
              </w:rPr>
            </w:pPr>
            <w:r>
              <w:rPr>
                <w:rFonts w:ascii="Arial" w:cs="Arial" w:eastAsia="宋体" w:hAnsi="Arial"/>
                <w:b/>
                <w:bCs/>
                <w:color w:val="333333"/>
                <w:kern w:val="0"/>
                <w:sz w:val="20"/>
                <w:szCs w:val="20"/>
                <w:shd w:val="clear" w:color="auto" w:fill="ffffff"/>
              </w:rPr>
              <w:t>广西、贵州省：</w:t>
            </w:r>
            <w:r>
              <w:rPr>
                <w:rFonts w:ascii="Arial" w:cs="Arial" w:eastAsia="宋体" w:hAnsi="Arial"/>
                <w:color w:val="333333"/>
                <w:kern w:val="0"/>
                <w:sz w:val="20"/>
                <w:szCs w:val="20"/>
                <w:shd w:val="clear" w:color="auto" w:fill="ffffff"/>
              </w:rPr>
              <w:t>各级妇女联合会</w:t>
            </w:r>
          </w:p>
          <w:p>
            <w:pPr>
              <w:pStyle w:val="style0"/>
              <w:jc w:val="left"/>
              <w:rPr>
                <w:rFonts w:ascii="Arial" w:cs="Arial" w:eastAsia="宋体" w:hAnsi="Arial"/>
                <w:b/>
                <w:bCs/>
                <w:sz w:val="20"/>
                <w:szCs w:val="20"/>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儿童：</w:t>
            </w:r>
          </w:p>
          <w:p>
            <w:pPr>
              <w:pStyle w:val="style0"/>
              <w:jc w:val="left"/>
              <w:rPr>
                <w:rFonts w:ascii="Arial" w:cs="Arial" w:eastAsia="宋体" w:hAnsi="Arial"/>
                <w:b/>
                <w:bCs/>
                <w:sz w:val="20"/>
                <w:szCs w:val="20"/>
              </w:rPr>
            </w:pPr>
            <w:r>
              <w:rPr>
                <w:rFonts w:ascii="Arial" w:cs="Arial" w:eastAsia="宋体" w:hAnsi="Arial"/>
                <w:color w:val="333333"/>
                <w:sz w:val="20"/>
                <w:szCs w:val="20"/>
                <w:shd w:val="clear" w:color="auto" w:fill="ffffff"/>
              </w:rPr>
              <w:t>县级以上政府职能部门、乡镇政府、街道办事处、居民委员会、村民委员会</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《中华人民共和国民族区域自治法》(2001修正)。</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w:t>
            </w:r>
            <w:r>
              <w:rPr>
                <w:rFonts w:ascii="Arial" w:cs="Arial" w:eastAsia="宋体" w:hAnsi="Arial"/>
                <w:sz w:val="20"/>
                <w:szCs w:val="20"/>
              </w:rPr>
              <w:t>国务院实施</w:t>
            </w:r>
            <w:r>
              <w:rPr>
                <w:rFonts w:ascii="Arial" w:cs="Arial" w:eastAsia="宋体" w:hAnsi="Arial" w:hint="eastAsia"/>
                <w:sz w:val="20"/>
                <w:szCs w:val="20"/>
              </w:rPr>
              <w:t>&lt;中华人民共和国</w:t>
            </w:r>
            <w:r>
              <w:rPr>
                <w:rFonts w:ascii="Arial" w:cs="Arial" w:eastAsia="宋体" w:hAnsi="Arial"/>
                <w:sz w:val="20"/>
                <w:szCs w:val="20"/>
              </w:rPr>
              <w:t>民族</w:t>
            </w:r>
            <w:r>
              <w:rPr>
                <w:rFonts w:ascii="Arial" w:cs="Arial" w:eastAsia="宋体" w:hAnsi="Arial" w:hint="eastAsia"/>
                <w:sz w:val="20"/>
                <w:szCs w:val="20"/>
              </w:rPr>
              <w:t>区域</w:t>
            </w:r>
            <w:r>
              <w:rPr>
                <w:rFonts w:ascii="Arial" w:cs="Arial" w:eastAsia="宋体" w:hAnsi="Arial"/>
                <w:sz w:val="20"/>
                <w:szCs w:val="20"/>
              </w:rPr>
              <w:t>自治法</w:t>
            </w:r>
            <w:r>
              <w:rPr>
                <w:rFonts w:ascii="Arial" w:cs="Arial" w:eastAsia="宋体" w:hAnsi="Arial" w:hint="eastAsia"/>
                <w:sz w:val="20"/>
                <w:szCs w:val="20"/>
              </w:rPr>
              <w:t>》</w:t>
            </w:r>
            <w:r>
              <w:rPr>
                <w:rFonts w:ascii="Arial" w:cs="Arial" w:eastAsia="宋体" w:hAnsi="Arial"/>
                <w:sz w:val="20"/>
                <w:szCs w:val="20"/>
              </w:rPr>
              <w:t>若干规定》(2005.5)</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《国务院关于印发“十三五”促进民族地区和人口较少民族发展规划的通知》（国发〔2016〕79号）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广西壮族自治区人民政府关于贯彻落实国家“十三五”促进民族地区和人口较少民族发展规划的实施意见（桂政发〔2017〕58号）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w:t>
            </w:r>
            <w:r>
              <w:rPr>
                <w:rFonts w:ascii="Arial" w:cs="Arial" w:eastAsia="宋体" w:hAnsi="Arial"/>
                <w:sz w:val="20"/>
                <w:szCs w:val="20"/>
              </w:rPr>
              <w:t>省民宗委 省发展改革委关于印发</w:t>
            </w:r>
            <w:r>
              <w:rPr>
                <w:rFonts w:ascii="Arial" w:cs="Arial" w:eastAsia="宋体" w:hAnsi="Arial" w:hint="eastAsia"/>
                <w:sz w:val="20"/>
                <w:szCs w:val="20"/>
              </w:rPr>
              <w:t>&lt;</w:t>
            </w:r>
            <w:r>
              <w:rPr>
                <w:rFonts w:ascii="Arial" w:cs="Arial" w:eastAsia="宋体" w:hAnsi="Arial"/>
                <w:sz w:val="20"/>
                <w:szCs w:val="20"/>
              </w:rPr>
              <w:t>贵州省“十四五”民族团结进步事业规划</w:t>
            </w:r>
            <w:r>
              <w:rPr>
                <w:rFonts w:ascii="Arial" w:cs="Arial" w:eastAsia="宋体" w:hAnsi="Arial" w:hint="eastAsia"/>
                <w:sz w:val="20"/>
                <w:szCs w:val="20"/>
              </w:rPr>
              <w:t>&gt;</w:t>
            </w:r>
            <w:r>
              <w:rPr>
                <w:rFonts w:ascii="Arial" w:cs="Arial" w:eastAsia="宋体" w:hAnsi="Arial"/>
                <w:sz w:val="20"/>
                <w:szCs w:val="20"/>
              </w:rPr>
              <w:t>的通知</w:t>
            </w:r>
            <w:r>
              <w:rPr>
                <w:rFonts w:ascii="Arial" w:cs="Arial" w:eastAsia="宋体" w:hAnsi="Arial" w:hint="eastAsia"/>
                <w:sz w:val="20"/>
                <w:szCs w:val="20"/>
              </w:rPr>
              <w:t>》</w:t>
            </w:r>
            <w:r>
              <w:rPr>
                <w:rFonts w:ascii="Arial" w:cs="Arial" w:eastAsia="宋体" w:hAnsi="Arial"/>
                <w:sz w:val="20"/>
                <w:szCs w:val="20"/>
              </w:rPr>
              <w:t>（黔民宗发〔2021〕14号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w:t>
            </w:r>
            <w:r>
              <w:rPr>
                <w:rFonts w:ascii="Arial" w:cs="Arial" w:eastAsia="宋体" w:hAnsi="Arial"/>
                <w:sz w:val="20"/>
                <w:szCs w:val="20"/>
              </w:rPr>
              <w:t>关于印发</w:t>
            </w:r>
            <w:r>
              <w:rPr>
                <w:rFonts w:ascii="Arial" w:cs="Arial" w:eastAsia="宋体" w:hAnsi="Arial" w:hint="eastAsia"/>
                <w:sz w:val="20"/>
                <w:szCs w:val="20"/>
              </w:rPr>
              <w:t>&lt;</w:t>
            </w:r>
            <w:r>
              <w:rPr>
                <w:rFonts w:ascii="Arial" w:cs="Arial" w:eastAsia="宋体" w:hAnsi="Arial"/>
                <w:sz w:val="20"/>
                <w:szCs w:val="20"/>
              </w:rPr>
              <w:t>贵州省少数民族群众汉语言和实用技能培训行动计划实施意见</w:t>
            </w:r>
            <w:r>
              <w:rPr>
                <w:rFonts w:ascii="Arial" w:cs="Arial" w:eastAsia="宋体" w:hAnsi="Arial" w:hint="eastAsia"/>
                <w:sz w:val="20"/>
                <w:szCs w:val="20"/>
              </w:rPr>
              <w:t>&gt;</w:t>
            </w:r>
            <w:r>
              <w:rPr>
                <w:rFonts w:ascii="Arial" w:cs="Arial" w:eastAsia="宋体" w:hAnsi="Arial"/>
                <w:sz w:val="20"/>
                <w:szCs w:val="20"/>
              </w:rPr>
              <w:t>的通知</w:t>
            </w:r>
            <w:r>
              <w:rPr>
                <w:rFonts w:ascii="Arial" w:cs="Arial" w:eastAsia="宋体" w:hAnsi="Arial" w:hint="eastAsia"/>
                <w:sz w:val="20"/>
                <w:szCs w:val="20"/>
              </w:rPr>
              <w:t>》</w:t>
            </w:r>
            <w:r>
              <w:rPr>
                <w:rFonts w:ascii="Arial" w:cs="Arial" w:eastAsia="宋体" w:hAnsi="Arial"/>
                <w:sz w:val="20"/>
                <w:szCs w:val="20"/>
              </w:rPr>
              <w:t>(黔民宗发〔2018〕57号)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color w:val="000000"/>
                <w:sz w:val="20"/>
                <w:szCs w:val="20"/>
              </w:rPr>
              <w:t>《中华人民共和国妇女权益保障法》（2018.10.26修订版）</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《广西壮族自治区实施&lt;中华人民共和国妇女权益保障法&gt;办法（修订草案）》（2014.08）</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《中共中央、国务院关于打赢脱贫攻坚战三年行动的指导意见》</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自治区民政厅关于印发《广西儿童福利事业发展“十四五”规划》的通知（桂民发〔2021〕43号）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《广西壮族自治区民政厅 广西壮族自治区公安厅等9 部门关于加强农村留守老年人关爱服务工作的实施意见》（桂民规〔2018〕4 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《关于进一步加强农村留守老人关爱服务工作的实施意见》（黔府办函[2015]218号）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《省人民政府办公厅关于进一步做好农村留守妇女关爱服务工作的实施意见》（黔府办函〔2015〕217号）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《中共贵州省委办公厅贵州省人民政府办公厅印发&lt;关于进一步加强留守儿童困境儿童关爱救助保护工作的实施意见&gt;的通知》（黔党办发〔2015〕32号）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广西关于实现巩固拓展脱贫攻坚成果同乡村振兴有效衔接的实施意见（2021.4.23）</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《广西壮族自治区人民政府办公厅关于印发广西乡村振兴产业发展基础设施公共服务能力提升三年攻坚行动方案（2021—2023年）的通知》（桂政办发〔2021〕19号）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《中共贵州省委 贵州省人民政府关于乡村振兴战略的实施意见》（黔党发〔2018〕1号）</w:t>
            </w:r>
          </w:p>
        </w:tc>
        <w:tc>
          <w:tcPr>
            <w:tcW w:w="1172" w:type="pct"/>
            <w:vMerge w:val="continue"/>
            <w:tcBorders/>
          </w:tcPr>
          <w:p>
            <w:pPr>
              <w:pStyle w:val="style0"/>
              <w:jc w:val="left"/>
              <w:rPr>
                <w:rFonts w:ascii="Arial" w:cs="Arial" w:eastAsia="宋体" w:hAnsi="Arial"/>
                <w:color w:val="000000"/>
                <w:sz w:val="20"/>
                <w:szCs w:val="20"/>
              </w:rPr>
            </w:pPr>
          </w:p>
        </w:tc>
      </w:tr>
      <w:bookmarkStart w:id="471" w:name="_Toc79402236"/>
      <w:bookmarkStart w:id="472" w:name="_Toc86683186"/>
      <w:bookmarkStart w:id="473" w:name="_Toc90729521"/>
      <w:bookmarkStart w:id="474" w:name="_Toc93944815"/>
      <w:bookmarkEnd w:id="468"/>
    </w:tbl>
    <w:p>
      <w:pPr>
        <w:pStyle w:val="style2"/>
        <w:ind w:left="426" w:hanging="426"/>
        <w:rPr>
          <w:color w:val="1f4e79"/>
          <w:sz w:val="24"/>
          <w:szCs w:val="24"/>
        </w:rPr>
      </w:pPr>
      <w:r>
        <w:rPr>
          <w:color w:val="1f4e79"/>
          <w:sz w:val="24"/>
          <w:szCs w:val="24"/>
        </w:rPr>
        <w:t>4.2</w:t>
      </w:r>
      <w:r>
        <w:rPr>
          <w:color w:val="1f4e79"/>
          <w:sz w:val="24"/>
          <w:szCs w:val="24"/>
        </w:rPr>
        <w:tab/>
      </w:r>
      <w:r>
        <w:rPr>
          <w:color w:val="1f4e79"/>
          <w:sz w:val="24"/>
          <w:szCs w:val="24"/>
        </w:rPr>
        <w:tab/>
      </w:r>
      <w:r>
        <w:rPr>
          <w:color w:val="1f4e79"/>
          <w:sz w:val="24"/>
          <w:szCs w:val="24"/>
        </w:rPr>
        <w:t>社会法规政策评估</w:t>
      </w:r>
      <w:bookmarkEnd w:id="471"/>
      <w:bookmarkEnd w:id="472"/>
      <w:bookmarkEnd w:id="473"/>
      <w:bookmarkEnd w:id="474"/>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中国法律框架包括三个方面：1）全国人大和国务院颁布的法律法规；2）部委颁布的规章、标准和技术规范；3）地方人民代表大会和地方政府颁布的法律、法规。总体而言，国家层面、</w:t>
      </w:r>
      <w:r>
        <w:rPr>
          <w:rFonts w:ascii="Arial" w:cs="Arial" w:eastAsia="宋体" w:hAnsi="Arial"/>
          <w:sz w:val="22"/>
          <w:szCs w:val="24"/>
        </w:rPr>
        <w:t>广西和贵州两省及市县政府在征地和移民</w:t>
      </w:r>
      <w:r>
        <w:rPr>
          <w:rFonts w:ascii="Arial" w:cs="Arial" w:eastAsia="宋体" w:hAnsi="Arial"/>
          <w:sz w:val="22"/>
        </w:rPr>
        <w:t>、少数民族发展、劳动权益、公众参与及咨询和申诉抱怨等方面已建立以并实施相关的法规、标准和政策，系统管理项目周期内潜在的社会影响和风险。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fldChar w:fldCharType="begin"/>
      </w:r>
      <w:r>
        <w:rPr>
          <w:rFonts w:ascii="Arial" w:cs="Arial" w:eastAsia="宋体" w:hAnsi="Arial"/>
          <w:sz w:val="22"/>
          <w:szCs w:val="24"/>
        </w:rPr>
        <w:instrText xml:space="preserve"> REF _Ref91099889 \r \h  \* MERGEFORMAT </w:instrText>
      </w:r>
      <w:r>
        <w:rPr>
          <w:rFonts w:ascii="Arial" w:cs="Arial" w:eastAsia="宋体" w:hAnsi="Arial"/>
          <w:sz w:val="22"/>
          <w:szCs w:val="24"/>
        </w:rPr>
        <w:fldChar w:fldCharType="separate"/>
      </w:r>
      <w:r>
        <w:rPr>
          <w:rFonts w:ascii="Arial" w:cs="Arial" w:eastAsia="宋体" w:hAnsi="Arial"/>
          <w:sz w:val="22"/>
          <w:szCs w:val="24"/>
        </w:rPr>
        <w:t>附件3</w:t>
      </w:r>
      <w:r>
        <w:rPr>
          <w:rFonts w:ascii="Arial" w:cs="Arial" w:eastAsia="宋体" w:hAnsi="Arial"/>
          <w:sz w:val="22"/>
          <w:szCs w:val="24"/>
        </w:rPr>
        <w:fldChar w:fldCharType="end"/>
      </w:r>
      <w:r>
        <w:rPr>
          <w:rFonts w:ascii="Arial" w:cs="Arial" w:eastAsia="宋体" w:hAnsi="Arial"/>
          <w:sz w:val="22"/>
        </w:rPr>
        <w:t>详细对比了世行政策和项目适用的社会管理法规。本节对照各项核心原则与要素，</w:t>
      </w:r>
      <w:r>
        <w:rPr>
          <w:rFonts w:ascii="Arial" w:cs="Arial" w:eastAsia="宋体" w:hAnsi="Arial"/>
          <w:sz w:val="22"/>
          <w:szCs w:val="24"/>
        </w:rPr>
        <w:t>逐一总结对比分析了相关社会管理法规与世行政策的符合性</w:t>
      </w:r>
      <w:r>
        <w:rPr>
          <w:rFonts w:ascii="Arial" w:cs="Arial" w:eastAsia="宋体" w:hAnsi="Arial"/>
          <w:sz w:val="22"/>
        </w:rPr>
        <w:t>，进而识别出现有社会法规政策方面存在的差距，并提出改进的行动计划和建议。</w:t>
      </w:r>
    </w:p>
    <w:bookmarkStart w:id="475" w:name="_Toc93944816"/>
    <w:bookmarkStart w:id="476" w:name="_Toc90729522"/>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rPr>
      </w:pPr>
      <w:r>
        <w:rPr>
          <w:rFonts w:ascii="Arial" w:cs="Arial" w:eastAsia="宋体" w:hAnsi="Arial"/>
          <w:sz w:val="22"/>
          <w:szCs w:val="22"/>
        </w:rPr>
        <w:t>核心原则1 可持续的社会风险管理体系</w:t>
      </w:r>
      <w:r>
        <w:rPr>
          <w:rFonts w:ascii="Arial" w:cs="Arial" w:eastAsia="宋体" w:hAnsi="Arial"/>
          <w:sz w:val="20"/>
          <w:szCs w:val="20"/>
          <w:vertAlign w:val="superscript"/>
        </w:rPr>
        <w:footnoteReference w:id="14"/>
      </w:r>
      <w:bookmarkEnd w:id="475"/>
      <w:bookmarkEnd w:id="47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核心原则1</w:t>
      </w:r>
      <w:r>
        <w:rPr>
          <w:rFonts w:ascii="Arial" w:cs="Arial" w:eastAsia="宋体" w:hAnsi="Arial"/>
          <w:sz w:val="22"/>
          <w:szCs w:val="24"/>
        </w:rPr>
        <w:t>包括两个要素</w:t>
      </w:r>
      <w:r>
        <w:rPr>
          <w:rFonts w:ascii="Arial" w:cs="Arial" w:eastAsia="宋体" w:hAnsi="Arial"/>
          <w:sz w:val="22"/>
        </w:rPr>
        <w:t>，均与社会法规政策相关，以下总结社会政策与其一致性。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w:t>
      </w:r>
      <w:r>
        <w:rPr>
          <w:rFonts w:ascii="Arial" w:cs="Arial" w:eastAsia="宋体" w:hAnsi="Arial"/>
          <w:lang w:eastAsia="zh-CN"/>
        </w:rPr>
        <w:t>在项目层面，法律框架和管理机构能够充分地指导社会评估。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社会稳定风险评估（SSRA）：</w:t>
      </w:r>
      <w:r>
        <w:rPr>
          <w:rFonts w:ascii="Arial" w:cs="Arial" w:eastAsia="宋体" w:hAnsi="Arial"/>
          <w:sz w:val="22"/>
          <w:szCs w:val="24"/>
        </w:rPr>
        <w:t>中国政府以社会稳定风险评估为工具对重大项目</w:t>
      </w:r>
      <w:r>
        <w:rPr>
          <w:rFonts w:ascii="Arial" w:cs="Arial" w:eastAsia="宋体" w:hAnsi="Arial"/>
          <w:sz w:val="22"/>
        </w:rPr>
        <w:t>、重大政策、重大政策以及重大改革等可能涉及的关键的(substantial)社会影响和风险进行综合性管理。通过建立和实施一整套社会稳定风险评估体系，主动对社会影响进行化解和管理，从而推动科学决策和项目与社会可持续发展。</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国家发展改革委于2012年出台了重大固定资产投资项目社会稳定风险评估暂行办法。该办法要求，项目单位在组织开展重大项目前期工作时，应当对社会稳定风险进行调查分析，征询相关群众意见，查找并列出风险点、风险发生的可能性及影响程度，提出防范和化解风险的方案措施，提出采取相关措施后的社会稳定风险等级建议。</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国务院办公厅2012年颁布了《关于建立健全重大决策事项社会稳定风险评估机制的指导意见（试行）》，要求对重大决策事项，重大工程项目建设、重大政策制定等也应进行社会稳定风险评估。</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广西和贵州省分别出台了《关于印发广西壮族自治区发展和改革委员会固定资产投资项目社会稳定风险评估暂行办法的通知》（桂发改投资〔2013〕833号）和《中共贵州省委办公厅贵州省人民政府办公厅关于印发〈贵州省重大决策社会稳定风险评估实施办法(试行)〉的通知》(黔委厅字〔2012〕49号)，明确了实施社会稳定风险评估的要求。</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《土地管理法》（2020年1月1日起实施）要求项目土地征收和拆迁开展前也应开展社会稳定风险评估。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社会稳定风险评估是项目申请和可行性研究过程中的重要程序要求。中国及广西和贵州已制定和实施相关政策、机制、标准以及管理程序用以规范社会稳定风险评估。通过调查和评估了解到，相关市县部门重视社会稳定风险评估的实施，政府决策时也会参考风险评估的结论和风险分级。但是，</w:t>
      </w:r>
      <w:bookmarkStart w:id="477" w:name="_Hlk90671158"/>
      <w:r>
        <w:rPr>
          <w:rFonts w:ascii="Arial" w:cs="Arial" w:eastAsia="宋体" w:hAnsi="Arial"/>
          <w:sz w:val="22"/>
        </w:rPr>
        <w:t>目前还缺乏有效的监测机制对风险化解措施的实施情况和效果进行跟踪和实施支持。</w:t>
      </w:r>
    </w:p>
    <w:bookmarkStart w:id="478" w:name="_Hlk77948160"/>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建议：</w:t>
      </w:r>
      <w:r>
        <w:rPr>
          <w:rFonts w:ascii="Arial" w:cs="Arial" w:eastAsia="宋体" w:hAnsi="Arial"/>
          <w:sz w:val="22"/>
          <w:szCs w:val="24"/>
        </w:rPr>
        <w:t>借款方应建议和实施社会监测和报告机制</w:t>
      </w:r>
      <w:r>
        <w:rPr>
          <w:rFonts w:ascii="Arial" w:cs="Arial" w:eastAsia="宋体" w:hAnsi="Arial"/>
          <w:sz w:val="22"/>
        </w:rPr>
        <w:t>，对项目的社会影响与风险、风险措施实施情况及社会绩效进行定期监测和评估</w:t>
      </w:r>
      <w:bookmarkEnd w:id="478"/>
      <w:r>
        <w:rPr>
          <w:rFonts w:ascii="Arial" w:cs="Arial" w:eastAsia="宋体" w:hAnsi="Arial"/>
          <w:sz w:val="22"/>
        </w:rPr>
        <w:t>。</w:t>
      </w:r>
    </w:p>
    <w:bookmarkEnd w:id="477"/>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要素2：</w:t>
      </w:r>
      <w:r>
        <w:rPr>
          <w:rFonts w:ascii="Arial" w:cs="Arial" w:eastAsia="宋体" w:hAnsi="Arial"/>
          <w:lang w:eastAsia="zh-CN"/>
        </w:rPr>
        <w:t>社会评估和管理过程中采用良好实践，包括6项元素(aspects)。</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根据社会风险筛查结果（</w:t>
      </w:r>
      <w:r>
        <w:rPr>
          <w:rFonts w:ascii="Arial" w:cs="Arial" w:eastAsia="宋体" w:hAnsi="Arial"/>
          <w:sz w:val="22"/>
        </w:rPr>
        <w:fldChar w:fldCharType="begin"/>
      </w:r>
      <w:r>
        <w:rPr>
          <w:rFonts w:ascii="Arial" w:cs="Arial" w:eastAsia="宋体" w:hAnsi="Arial"/>
          <w:sz w:val="22"/>
        </w:rPr>
        <w:instrText xml:space="preserve"> REF _Ref91099872 \r \h  \* MERGEFORMAT </w:instrText>
      </w:r>
      <w:r>
        <w:rPr>
          <w:rFonts w:ascii="Arial" w:cs="Arial" w:eastAsia="宋体" w:hAnsi="Arial"/>
          <w:sz w:val="22"/>
        </w:rPr>
        <w:fldChar w:fldCharType="separate"/>
      </w:r>
      <w:r>
        <w:rPr>
          <w:rFonts w:ascii="Arial" w:cs="Arial" w:eastAsia="宋体" w:hAnsi="Arial"/>
          <w:sz w:val="22"/>
        </w:rPr>
        <w:t>附件2</w:t>
      </w:r>
      <w:r>
        <w:rPr>
          <w:rFonts w:ascii="Arial" w:cs="Arial" w:eastAsia="宋体" w:hAnsi="Arial"/>
          <w:sz w:val="22"/>
        </w:rPr>
        <w:fldChar w:fldCharType="end"/>
      </w:r>
      <w:r>
        <w:rPr>
          <w:rFonts w:ascii="Arial" w:cs="Arial" w:eastAsia="宋体" w:hAnsi="Arial"/>
          <w:sz w:val="22"/>
        </w:rPr>
        <w:t>），广西和贵州相关活动不涉及诱发、累积和跨境社会影响，</w:t>
      </w:r>
      <w:r>
        <w:rPr>
          <w:rFonts w:ascii="Arial" w:cs="Arial" w:eastAsia="宋体" w:hAnsi="Arial"/>
          <w:sz w:val="22"/>
          <w:szCs w:val="24"/>
        </w:rPr>
        <w:t>社会影响评价的一致性分析见以上要素</w:t>
      </w:r>
      <w:r>
        <w:rPr>
          <w:rFonts w:ascii="Arial" w:cs="Arial" w:eastAsia="宋体" w:hAnsi="Arial"/>
          <w:sz w:val="22"/>
        </w:rPr>
        <w:t>1。以下分别分析与要素2中5项元素的一致性。</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 早期影响筛查：</w:t>
      </w:r>
      <w:r>
        <w:rPr>
          <w:rFonts w:ascii="Arial" w:cs="Arial" w:eastAsia="宋体" w:hAnsi="Arial"/>
          <w:sz w:val="22"/>
        </w:rPr>
        <w:t>项目选址和可研过程中应协调各相关部门（如自然资源局、文物局等）进行联合踏勘，</w:t>
      </w:r>
      <w:r>
        <w:rPr>
          <w:rFonts w:ascii="Arial" w:cs="Arial" w:eastAsia="宋体" w:hAnsi="Arial"/>
          <w:sz w:val="22"/>
          <w:szCs w:val="24"/>
        </w:rPr>
        <w:t>对影响和风险进行筛查</w:t>
      </w:r>
      <w:r>
        <w:rPr>
          <w:rFonts w:ascii="Arial" w:cs="Arial" w:eastAsia="宋体" w:hAnsi="Arial"/>
          <w:sz w:val="22"/>
        </w:rPr>
        <w:t>。例如，《建设项目用地预审管理办法》(2017)和《土地管理法》（2020年1月1日起实施）要求从建设项目符合土地利用规划和避免征用基本农田的角度进行筛选。《文物保护法》（2014年修订）要求项目选址前应开展文物调查尽量避免影响文物。《地质灾害防治条例》（2004）要求项目选址尽量避开灾害区域，通过开展地质灾害评估明确灾害防治要求，从而减轻公众安全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 方案比选：</w:t>
      </w:r>
      <w:r>
        <w:rPr>
          <w:rFonts w:ascii="Arial" w:cs="Arial" w:eastAsia="宋体" w:hAnsi="Arial"/>
          <w:sz w:val="22"/>
        </w:rPr>
        <w:t>项目选址和和可行性研究过程中要求对方案进行比选分析。《中华人民共和国行政许可法》和《</w:t>
      </w:r>
      <w:r>
        <w:rPr>
          <w:rFonts w:ascii="Arial" w:cs="Arial" w:eastAsia="宋体" w:hAnsi="Arial"/>
          <w:sz w:val="22"/>
          <w:szCs w:val="24"/>
        </w:rPr>
        <w:t>国务院对确需保留的行政审批项目设定行政许可的决定</w:t>
      </w:r>
      <w:r>
        <w:rPr>
          <w:rFonts w:ascii="Arial" w:cs="Arial" w:eastAsia="宋体" w:hAnsi="Arial"/>
          <w:sz w:val="22"/>
        </w:rPr>
        <w:t>》要求，项目可行性研究应比较不同方案的环境与社会影响程度，避免或尽量减少项目实施对当地环境和社会的负面影响。《重大固定资产投资项目社会稳定风险分析篇章和评估报告编制大纲（试行）的通知》（2013）中还明确，在规划选址、土地房屋征收补偿、移民安置、环境保护等方面，项目实施单位及其评估机构要征求项目所在地政府、有关部门及基层组织、社会团体等对拟建项目的支持态度，从而选取社会稳定风险可接受的方案。</w:t>
      </w:r>
    </w:p>
    <w:bookmarkStart w:id="479" w:name="_Hlk65231048"/>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(iii) 制定措施避免、减少和减缓社会影响：</w:t>
      </w:r>
      <w:r>
        <w:rPr>
          <w:rFonts w:ascii="Arial" w:cs="Arial" w:eastAsia="宋体" w:hAnsi="Arial"/>
          <w:sz w:val="22"/>
        </w:rPr>
        <w:t>《重大固定资产投资项目社会稳定风险分析篇章和评估报告编制大纲（试行）的通知（2013》要求提出防范和化解风险的方案措施。《</w:t>
      </w:r>
      <w:r>
        <w:rPr>
          <w:rFonts w:ascii="Arial" w:cs="Arial" w:eastAsia="宋体" w:hAnsi="Arial"/>
          <w:sz w:val="22"/>
          <w:szCs w:val="24"/>
        </w:rPr>
        <w:t>关于建立重大决策事项社会稳定风险评估机制指导意见</w:t>
      </w:r>
      <w:r>
        <w:rPr>
          <w:rFonts w:ascii="Arial" w:cs="Arial" w:eastAsia="宋体" w:hAnsi="Arial"/>
          <w:sz w:val="22"/>
        </w:rPr>
        <w:t>（试行）》中规定，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社会稳定风险评估还应评估决策事项的合法性、合理性、可行性和可控性，并要求制定相应的应急处置预案。</w:t>
      </w:r>
    </w:p>
    <w:bookmarkEnd w:id="479"/>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(iv) 明确实施减缓措施的机构职责和预算来源：</w:t>
      </w:r>
      <w:r>
        <w:rPr>
          <w:rFonts w:ascii="Arial" w:cs="Arial" w:eastAsia="宋体" w:hAnsi="Arial"/>
          <w:sz w:val="22"/>
        </w:rPr>
        <w:t>《关于建立重大决策事项社会稳定风险评估机制指导意见（试行）》在关于制定影响和风险管理措施部分，要求拟给予的补偿、安置或者救助是否合理公平及时，</w:t>
      </w:r>
      <w:r>
        <w:rPr>
          <w:rFonts w:ascii="Arial" w:cs="Arial" w:eastAsia="宋体" w:hAnsi="Arial"/>
          <w:sz w:val="22"/>
          <w:szCs w:val="24"/>
        </w:rPr>
        <w:t>实施是否具备相应的人力物力财力进行评估</w:t>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 公众参与、信息公开和申诉机制（GRM）：</w:t>
      </w:r>
      <w:r>
        <w:rPr>
          <w:rFonts w:ascii="Arial" w:cs="Arial" w:eastAsia="宋体" w:hAnsi="Arial"/>
          <w:sz w:val="22"/>
        </w:rPr>
        <w:t>广西和贵州省社会稳定风险评估政策均要求对各方案涉及的利益相关方进行公众咨询，听取各方面的意见和建议，包括</w:t>
      </w:r>
      <w:r>
        <w:rPr>
          <w:rFonts w:ascii="Arial" w:cs="Arial" w:eastAsia="宋体" w:hAnsi="Arial"/>
          <w:color w:val="000000"/>
          <w:kern w:val="0"/>
          <w:sz w:val="22"/>
          <w:shd w:val="clear" w:color="auto" w:fill="ffffff"/>
        </w:rPr>
        <w:t>调查大众媒体包括网络媒体及移动媒体等新兴媒体对拟建项目的意见、诉求和舆论导向等</w:t>
      </w:r>
      <w:r>
        <w:rPr>
          <w:rFonts w:ascii="Arial" w:cs="Arial" w:eastAsia="宋体" w:hAnsi="Arial"/>
          <w:sz w:val="22"/>
        </w:rPr>
        <w:t>。《重大固定资产投资项目社会稳定风险分析篇章和评估报告编制大纲（试行）的通知》（2013）中明确，项目实施单位及其评估机构要征求项目所在地政府、有关部门及基层组织、社会团体等对拟建项目的支持态度。另外，该文件还要求对项目的公众参与完备性进行评估，包括拟建项目是否按照有关规定履行了公众参与、专家咨询、信息公开等程序性的要求。涉及征地和拆迁的项目，《土地管理法》（2020年1月1日起实施）要求，依照法定程序批准后，由县级以上地方人民政府予以公告并组织实施，并将征收范围、土地现状、征收目的、补偿标准、安置方式和社会保障等在拟征收土地所在的乡（镇）和村、村民小组范围内公告至少三十日，听取被征地的农村集体经济组织及其成员、村民委员会和其他利害关系人的意见。申诉方面，土地法要求，土地所有权和使用权争议，由当事人协商解决;协商不成的，由人民政府处理。当事人对有关人民政府的处理决定不服的，可以自接到处理决定通知之日起三十日内，向人民法院起诉。在土地所有权和使用权争议解决前，任何一方不得改变土地利用现状。建设单位或者个人对责令限期拆除的行政处罚决定不服的，可以在接到责令限期拆除决定之日起十五日内，向人民法院起诉。自然资源部2019年6月27日印发了《农村集体土地征收基层政务公开标准指引》，对项目征地政策、前期准备、报批、组织实施整个过程中公开的内容、时限、渠道和方式进行了详细规定。</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国家及广西、</w:t>
      </w:r>
      <w:r>
        <w:rPr>
          <w:rFonts w:ascii="Arial" w:cs="Arial" w:eastAsia="宋体" w:hAnsi="Arial"/>
          <w:sz w:val="22"/>
          <w:szCs w:val="24"/>
        </w:rPr>
        <w:t>贵州相应的社会方面法规主要以社会稳定风险评价和征地拆迁实施方面对主要的社会影响进行评估和管理</w:t>
      </w:r>
      <w:r>
        <w:rPr>
          <w:rFonts w:ascii="Arial" w:cs="Arial" w:eastAsia="宋体" w:hAnsi="Arial"/>
          <w:sz w:val="22"/>
        </w:rPr>
        <w:t>。社会评估和管理过程中有明确的机制安排进行早期影响筛查、方案比选、并明确主要社会风险（如征地和移民、社会稳定风险等）的管理措施。法规系统明确了相应机构针对特定的影响进行管理。社会稳定风险管理及征地和拆迁相关法规建立了详细的体系要求进行信息公示、公众参与和申诉处理。因此，社会法规政策总体上与要素2一致。</w:t>
      </w:r>
      <w:bookmarkStart w:id="480" w:name="_Hlk90671174"/>
      <w:r>
        <w:rPr>
          <w:rFonts w:ascii="Arial" w:cs="Arial" w:eastAsia="宋体" w:hAnsi="Arial"/>
          <w:sz w:val="22"/>
        </w:rPr>
        <w:t>但是，社会法律法规中对公众参与、信息发布、投诉机制运行情况等进行记录的规定不够具体。</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color w:val="000000"/>
          <w:sz w:val="22"/>
        </w:rPr>
        <w:t>建议：1）</w:t>
      </w:r>
      <w:r>
        <w:rPr>
          <w:rFonts w:ascii="Arial" w:cs="Arial" w:eastAsia="宋体" w:hAnsi="Arial"/>
          <w:color w:val="000000"/>
          <w:sz w:val="22"/>
        </w:rPr>
        <w:t>在项目管理文件（如合同、协议等）中明确文档管理的要求，包括（但不限于）</w:t>
      </w:r>
      <w:r>
        <w:rPr>
          <w:rFonts w:ascii="Arial" w:cs="Arial" w:eastAsia="宋体" w:hAnsi="Arial"/>
          <w:sz w:val="22"/>
        </w:rPr>
        <w:t>做好对公众参与、</w:t>
      </w:r>
      <w:r>
        <w:rPr>
          <w:rFonts w:ascii="Arial" w:cs="Arial" w:eastAsia="宋体" w:hAnsi="Arial"/>
          <w:sz w:val="22"/>
          <w:szCs w:val="24"/>
        </w:rPr>
        <w:t>信息发布过程和结果记录</w:t>
      </w:r>
      <w:r>
        <w:rPr>
          <w:rFonts w:ascii="Arial" w:cs="Arial" w:eastAsia="宋体" w:hAnsi="Arial"/>
          <w:sz w:val="22"/>
        </w:rPr>
        <w:t>，对申诉机制的运行情况进行记录等。</w:t>
      </w:r>
    </w:p>
    <w:bookmarkStart w:id="481" w:name="_Toc93944817"/>
    <w:bookmarkStart w:id="482" w:name="_Toc90729523"/>
    <w:bookmarkEnd w:id="480"/>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核心原则2 文物资源管理体系</w:t>
      </w:r>
      <w:bookmarkEnd w:id="481"/>
      <w:bookmarkEnd w:id="482"/>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核心原则2下的要素3</w:t>
      </w:r>
      <w:r>
        <w:rPr>
          <w:rFonts w:ascii="Arial" w:cs="Arial" w:eastAsia="宋体" w:hAnsi="Arial"/>
          <w:sz w:val="22"/>
          <w:szCs w:val="24"/>
        </w:rPr>
        <w:t>和要素</w:t>
      </w:r>
      <w:r>
        <w:rPr>
          <w:rFonts w:ascii="Arial" w:cs="Arial" w:eastAsia="宋体" w:hAnsi="Arial"/>
          <w:sz w:val="22"/>
        </w:rPr>
        <w:t>4明确了自然栖息地管理要求，是环境管理系统的内容。社会法规评估仅评估与要素5的一致性。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要素5：</w:t>
      </w:r>
      <w:r>
        <w:rPr>
          <w:rFonts w:ascii="Arial" w:cs="Arial" w:eastAsia="宋体" w:hAnsi="Arial"/>
          <w:lang w:eastAsia="zh-CN"/>
        </w:rPr>
        <w:t>充分考虑对物质文化遗产的潜在负面影响，实施适当措施避开、减少或减缓影响。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文物保护：</w:t>
      </w:r>
      <w:r>
        <w:rPr>
          <w:rFonts w:ascii="Arial" w:cs="Arial" w:eastAsia="宋体" w:hAnsi="Arial"/>
          <w:sz w:val="22"/>
        </w:rPr>
        <w:t>广西和贵州活动会涉及小型土建活动，如建设农村污水收集处理系统、农村生活垃圾收集处理系统和新建/畜禽粪资源化利用设施等。根据社会影响筛查</w:t>
      </w:r>
      <w:r>
        <w:rPr>
          <w:rFonts w:ascii="Arial" w:cs="Arial" w:eastAsia="宋体" w:hAnsi="Arial"/>
          <w:sz w:val="22"/>
          <w:szCs w:val="24"/>
        </w:rPr>
        <w:t>（</w:t>
      </w:r>
      <w:r>
        <w:rPr>
          <w:rFonts w:ascii="Arial" w:cs="Arial" w:eastAsia="宋体" w:hAnsi="Arial"/>
          <w:sz w:val="22"/>
          <w:szCs w:val="24"/>
        </w:rPr>
        <w:fldChar w:fldCharType="begin"/>
      </w:r>
      <w:r>
        <w:rPr>
          <w:rFonts w:ascii="Arial" w:cs="Arial" w:eastAsia="宋体" w:hAnsi="Arial"/>
          <w:sz w:val="22"/>
          <w:szCs w:val="24"/>
        </w:rPr>
        <w:instrText xml:space="preserve"> REF _Ref91099913 \r \h  \* MERGEFORMAT </w:instrText>
      </w:r>
      <w:r>
        <w:rPr>
          <w:rFonts w:ascii="Arial" w:cs="Arial" w:eastAsia="宋体" w:hAnsi="Arial"/>
          <w:sz w:val="22"/>
          <w:szCs w:val="24"/>
        </w:rPr>
        <w:fldChar w:fldCharType="separate"/>
      </w:r>
      <w:r>
        <w:rPr>
          <w:rFonts w:ascii="Arial" w:cs="Arial" w:eastAsia="宋体" w:hAnsi="Arial"/>
          <w:sz w:val="22"/>
          <w:szCs w:val="24"/>
        </w:rPr>
        <w:t>附件2</w:t>
      </w:r>
      <w:r>
        <w:rPr>
          <w:rFonts w:ascii="Arial" w:cs="Arial" w:eastAsia="宋体" w:hAnsi="Arial"/>
          <w:sz w:val="22"/>
          <w:szCs w:val="24"/>
        </w:rPr>
        <w:fldChar w:fldCharType="end"/>
      </w:r>
      <w:r>
        <w:rPr>
          <w:rFonts w:ascii="Arial" w:cs="Arial" w:eastAsia="宋体" w:hAnsi="Arial"/>
          <w:sz w:val="22"/>
        </w:rPr>
        <w:t>），本项目涉及物质文化遗产的可行性很低。中国已经建立并实施了完善的文物保护法对建设活动可能涉及的文物影响进行评估和管理。《文物保护法》</w:t>
      </w:r>
      <w:r>
        <w:rPr>
          <w:rFonts w:ascii="Arial" w:cs="Arial" w:eastAsia="宋体" w:hAnsi="Arial"/>
          <w:sz w:val="22"/>
          <w:szCs w:val="24"/>
        </w:rPr>
        <w:t>要求文物保护单位的保护范围内不得进行其他建设工程或者爆破</w:t>
      </w:r>
      <w:r>
        <w:rPr>
          <w:rFonts w:ascii="Arial" w:cs="Arial" w:eastAsia="宋体" w:hAnsi="Arial"/>
          <w:sz w:val="22"/>
        </w:rPr>
        <w:t>、钻探、挖掘等作业，且在建设工程选址时，应尽可能避开不可移动文物。</w:t>
      </w:r>
      <w:bookmarkStart w:id="483" w:name="_Hlk78985267"/>
      <w:r>
        <w:rPr>
          <w:rFonts w:ascii="Arial" w:cs="Arial" w:eastAsia="宋体" w:hAnsi="Arial"/>
          <w:sz w:val="22"/>
        </w:rPr>
        <w:t>如确需开展建设项目，经相应的文物行政部门同意后，报城乡建设规划部门批准。在文物保护单位的保护范围和建设控制地带内，不得建设污染文物保护单位及其环境的设施，不得进行可能影响文物保护单位安全及其环境的活动。对已有的污染文物保护单位及其环境的设施，应当限期治理。</w:t>
      </w:r>
      <w:bookmarkEnd w:id="483"/>
      <w:r>
        <w:rPr>
          <w:rFonts w:ascii="Arial" w:cs="Arial" w:eastAsia="宋体" w:hAnsi="Arial"/>
          <w:sz w:val="22"/>
        </w:rPr>
        <w:t>在进行大型基本建设工程，建设单位应当事先报请省人民政府文物行政部门，组织从事考古发掘的单位在工程范围内有可能埋藏文物的地方进行考古调查、勘探。</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《文物保护法》及《</w:t>
      </w:r>
      <w:r>
        <w:rPr>
          <w:rFonts w:ascii="Arial" w:cs="Arial" w:eastAsia="宋体" w:hAnsi="Arial"/>
          <w:sz w:val="22"/>
          <w:szCs w:val="24"/>
        </w:rPr>
        <w:t>文物保护法实施条例</w:t>
      </w:r>
      <w:r>
        <w:rPr>
          <w:rFonts w:ascii="Arial" w:cs="Arial" w:eastAsia="宋体" w:hAnsi="Arial"/>
          <w:sz w:val="22"/>
        </w:rPr>
        <w:t>》已充分考虑了对文物资源的潜在影响，确保文物避免因项目建设而受到影响的风险。中国与广西和贵州有关物质文化遗产保护的法规与要素5一致。</w:t>
      </w:r>
    </w:p>
    <w:bookmarkStart w:id="484" w:name="_Toc90729524"/>
    <w:bookmarkStart w:id="485" w:name="_Toc93944818"/>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核心原则3 公众和劳动者安全</w:t>
      </w:r>
      <w:bookmarkEnd w:id="484"/>
      <w:r>
        <w:rPr>
          <w:rFonts w:ascii="Arial" w:cs="Arial" w:eastAsia="宋体" w:hAnsi="Arial"/>
          <w:sz w:val="22"/>
          <w:szCs w:val="22"/>
        </w:rPr>
        <w:t>管理体系</w:t>
      </w:r>
      <w:bookmarkEnd w:id="485"/>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核心原则3下的要素7明确了有毒有害物质和病虫害管理要求，为环境系统分析的内容。社会法规分析及评估与要素6和要素8中有关公众安全和劳工安全要求的一致性。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要素6：</w:t>
      </w:r>
      <w:r>
        <w:rPr>
          <w:rFonts w:ascii="Arial" w:cs="Arial" w:eastAsia="宋体" w:hAnsi="Arial"/>
          <w:lang w:eastAsia="zh-CN"/>
        </w:rPr>
        <w:t>通过项目设施安全设计、施工和运营，或在开展项目活动中采取安全措施、安全检查和必要的补救措施保证社区、个人和工人的安全。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劳动者安全管理</w:t>
      </w:r>
      <w:r>
        <w:rPr>
          <w:rFonts w:ascii="Arial" w:cs="Arial" w:eastAsia="宋体" w:hAnsi="Arial"/>
          <w:sz w:val="22"/>
        </w:rPr>
        <w:t>：</w:t>
      </w:r>
      <w:r>
        <w:rPr>
          <w:rFonts w:ascii="Arial" w:cs="Arial" w:eastAsia="宋体" w:hAnsi="Arial"/>
          <w:sz w:val="22"/>
          <w:szCs w:val="24"/>
        </w:rPr>
        <w:t>项目活动不可避免地涉及劳动者健康和安全风险</w:t>
      </w:r>
      <w:r>
        <w:rPr>
          <w:rFonts w:ascii="Arial" w:cs="Arial" w:eastAsia="宋体" w:hAnsi="Arial"/>
          <w:sz w:val="22"/>
        </w:rPr>
        <w:t>，包括污水处理</w:t>
      </w:r>
      <w:r>
        <w:rPr>
          <w:rFonts w:ascii="Arial" w:cs="Arial" w:eastAsia="宋体" w:hAnsi="Arial" w:hint="eastAsia"/>
          <w:sz w:val="22"/>
        </w:rPr>
        <w:t>设施运营单位</w:t>
      </w:r>
      <w:r>
        <w:rPr>
          <w:rFonts w:ascii="Arial" w:cs="Arial" w:eastAsia="宋体" w:hAnsi="Arial"/>
          <w:sz w:val="22"/>
        </w:rPr>
        <w:t>及其员工职业健康管理，产业基地配套设施建设和农村垃圾收集处理过程中的承包商工人健康和安全管理等。中国建立并实施一整套制度管理劳动者安全：</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中国《劳动法》（2018年修订）、《民法典》等针对童工、歧视、强迫劳动、。比如，禁止用人单位招用未满16周岁的未成年人；对女职工和未成年工（16-18岁）实行特殊保护；劳动者就业不因民族、种族、性别、宗教信仰不同而受歧视；妇女享有与男子平等的就业权利；禁止强迫劳动。</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安全生产法》要求，生产经营单位必须建立、健全安全生产责任制和安全生产规章制度，改善安全生产条件，确保安全生产。该法还要求向公众公开举报电话、邮箱，欢迎居民、居委会/村委会监督生产经营企业的安全生产违法行为。</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《民法典》要求新建、改建、扩建工程的劳动安全卫生设施必须与主体工程同时设计、同时施工、同时投入生产和使用。</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2020年出台的《职业健康安全管理体系要求及使用指南》要求企业致力于全面系统地识别、控制组织潜在的职业健康安全危险源，尽量使组织活动过程中可能产生的安全事故能消灭在萌芽状态，达到保护职工健康安全的目的。有关企业可以申请进行“职业健康与安全管理体系”认证，通过建立系统化、规范化的管理体系，对危险源进行源头识别和全过程控制，做到持续改进，持续守法。但是，“职业健康与安全管理体系”并非强制性的要求</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中国及广西和贵州两省已建立并实施一整套有关劳动者健康和安全的法规，以充分保障劳动者权益。法规也要求项目在设计、施工和运营期间应该采取恰当的安全措施、检查和补救措施来保障社区、个人和工人的安全。相关公众安全和劳动者安全的法规与要素6基本一致。</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要素8：</w:t>
      </w:r>
      <w:r>
        <w:rPr>
          <w:rFonts w:ascii="Arial" w:cs="Arial" w:eastAsia="宋体" w:hAnsi="Arial"/>
          <w:lang w:eastAsia="zh-CN"/>
        </w:rPr>
        <w:t>在自然灾害易发区（如洪水、飓风、地震或其他气候事件）的项目活动，应采取措施避免、减少或减缓社区、个人和工人的风险。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灾害安全管理机制：</w:t>
      </w:r>
      <w:r>
        <w:rPr>
          <w:rFonts w:ascii="Arial" w:cs="Arial" w:eastAsia="宋体" w:hAnsi="Arial"/>
          <w:sz w:val="22"/>
        </w:rPr>
        <w:t>项目位于</w:t>
      </w:r>
      <w:r>
        <w:rPr>
          <w:rFonts w:ascii="Arial" w:cs="Arial" w:eastAsia="宋体" w:hAnsi="Arial" w:hint="eastAsia"/>
          <w:sz w:val="22"/>
          <w:lang w:eastAsia="zh-CN"/>
        </w:rPr>
        <w:t>广西壮族自治区</w:t>
      </w:r>
      <w:r>
        <w:rPr>
          <w:rFonts w:ascii="Arial" w:cs="Arial" w:eastAsia="宋体" w:hAnsi="Arial"/>
          <w:sz w:val="22"/>
        </w:rPr>
        <w:t>和贵州省，活动可能会涉及自然灾害易发区，可能的自然灾害有洪水、雷电、山体滑坡等。项目实施过程中，外来务工人员流动可能导致疾病传播（如COVID-19）。</w:t>
      </w:r>
      <w:r>
        <w:rPr>
          <w:rFonts w:ascii="Arial" w:cs="Arial" w:eastAsia="宋体" w:hAnsi="Arial"/>
          <w:sz w:val="22"/>
          <w:szCs w:val="24"/>
        </w:rPr>
        <w:t>在进行城乡规划和重大建设工程过程中</w:t>
      </w:r>
      <w:r>
        <w:rPr>
          <w:rFonts w:ascii="Arial" w:cs="Arial" w:eastAsia="宋体" w:hAnsi="Arial"/>
          <w:sz w:val="22"/>
        </w:rPr>
        <w:t>，《气象灾害预防条例》要求县级以上政府人民政府要充分考虑气象因素和自然灾害的风险，并提出避免、减轻灾害的影响。另外，《气象灾害预防条例》规定新建、改建、扩建建（构）筑物、场所和设施的雷电防护装置应当与主体工程同时设计、同时施工、同时投入使用。《中华人民共和国防汛条例》针对洪涝灾害，从组织机构、防汛准备、实施与抢险、善后工作、经费、奖惩等对抗洪防汛进行了系统安排。《地质灾害防治条例》对地质灾害的调查、预防管理进行了系统化安排，如地址灾害预防、地质灾害应急、地质灾害治理、法律责任。《防震减灾法》要求新建、扩建、改建建设工程，应当达到抗震设防要求，并对有关建设项目的地震安全评价，防震、抗震要求提出具体规定。《传染病防治法》（2020年4月）规定，县级以上人民政府制定传染病防治规划并组织实施，建立健全传染病防治的疾病预防控制、医疗救治和监督管理体系。新闻媒体应无偿开展传染病防治和公共卫生教育的公益宣传。根据国家卫生健康委员会发布的《关于做好精准健康管理推进人员有序流动的通知》（联防联控机制综发﹝2020﹞203），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szCs w:val="24"/>
        </w:rPr>
        <w:t>有关项目活动的自然灾害防控措施的法规与要素</w:t>
      </w:r>
      <w:r>
        <w:rPr>
          <w:rFonts w:ascii="Arial" w:cs="Arial" w:eastAsia="宋体" w:hAnsi="Arial"/>
          <w:sz w:val="22"/>
        </w:rPr>
        <w:t>8的要求一致。</w:t>
      </w:r>
    </w:p>
    <w:bookmarkStart w:id="486" w:name="_Toc90729525"/>
    <w:bookmarkStart w:id="487" w:name="_Toc93944819"/>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 xml:space="preserve">核心原则4 </w:t>
      </w:r>
      <w:bookmarkEnd w:id="486"/>
      <w:r>
        <w:rPr>
          <w:rFonts w:ascii="Arial" w:cs="Arial" w:eastAsia="宋体" w:hAnsi="Arial"/>
          <w:sz w:val="22"/>
          <w:szCs w:val="22"/>
        </w:rPr>
        <w:t>非自愿移民管理体系</w:t>
      </w:r>
      <w:bookmarkEnd w:id="487"/>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核心原则4下要素9从6方面对结果导向项目的征地和移民进行管理，这6个元素（aspects）均与本项目社会法规政策相关，</w:t>
      </w:r>
      <w:r>
        <w:rPr>
          <w:rFonts w:ascii="Arial" w:cs="Arial" w:eastAsia="宋体" w:hAnsi="Arial"/>
          <w:sz w:val="22"/>
          <w:szCs w:val="24"/>
        </w:rPr>
        <w:t>以下分别分析一致性</w:t>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 避免和减少征地相关负面影响</w:t>
      </w:r>
      <w:r>
        <w:rPr>
          <w:rFonts w:ascii="Arial" w:cs="Arial" w:eastAsia="宋体" w:hAnsi="Arial"/>
          <w:sz w:val="22"/>
        </w:rPr>
        <w:t>：如以上要素2下关于“早期影响筛查”的分析，《建设项目用地预审管理办法》（2017）、《土地管理法》（2020年1月1日起实施）以及社会稳定风险评估的相关法规均要求项目和企业要求提高节约集约用地，尽可能利用存量建设土地，尽量避免占用农用地（特别是永久基本农田），通过优化方案减少征地和移民搬迁影响，从而可以降低项目实施社会稳定风险。</w:t>
      </w:r>
      <w:r>
        <w:rPr>
          <w:rFonts w:ascii="Arial" w:cs="Arial" w:eastAsia="宋体" w:hAnsi="Arial"/>
          <w:sz w:val="22"/>
          <w:szCs w:val="24"/>
        </w:rPr>
        <w:t>项目前期自然资源部门也会参与踏勘确认项目用地情况</w:t>
      </w:r>
      <w:r>
        <w:rPr>
          <w:rFonts w:ascii="Arial" w:cs="Arial" w:eastAsia="宋体" w:hAnsi="Arial"/>
          <w:sz w:val="22"/>
        </w:rPr>
        <w:t>，可行性研究报告对不同方案征地和移民影响进行比选。政府部门在审查项目用地和可行性研究过程中，也会审查项目用地方案是否合理。针对设施农业用地，在《关于设施农业用地管理有关问题的通知》（自然资规【2019】4号）</w:t>
      </w:r>
      <w:r>
        <w:rPr>
          <w:rFonts w:ascii="Arial" w:cs="Arial" w:eastAsia="宋体" w:hAnsi="Arial" w:hint="eastAsia"/>
          <w:sz w:val="22"/>
        </w:rPr>
        <w:t>和《自然资源部农业农村部国家林业和草原局关于严格耕地用途管制有关问题的通知》（自然资发【2021】16号）</w:t>
      </w:r>
      <w:r>
        <w:rPr>
          <w:rFonts w:ascii="Arial" w:cs="Arial" w:eastAsia="宋体" w:hAnsi="Arial"/>
          <w:sz w:val="22"/>
        </w:rPr>
        <w:t>的基础上，广西和贵州结合当地市级情况出台了相应的管理办法，例如2020年广西出台了《广西壮族自治区自然资源厅 广西壮族自治区农业农村厅关于进一步加强和规范我区设施农业用地管理的通知》（桂自然资规【2020】3号），要求合理确定设施农业用地选址和规模，尽量利用荒山荒坡、滩涂、坑塘水面以及闲置建设用地，避免使用耕地，特别是优质耕地和永久基本农田；以及贵州省出台了《贵州省自然资源厅 贵州省农业农村厅关于设施农业用地管理有关问题的通知》（黔自然资规〔2020〕1号），提出县级人民政府应做好辖区内设施农业用地选址的统筹协调，设施建设应尽量利用荒山荒坡等未利用地和农村集体建设用地，尽量避免占用坝区耕地。涉及土地经营权流转的，《农村土地经营权流转管理办法》（农业农村部2021年1号令）要求受让主体提出申请，县级以上地方人民政府或者乡（镇）人民政府应当依法组织相关职能部门、农村集体经济组织代表、农民代表、专家等就土地用途、受让主体农业经营能力，以及经营项目是否符合粮食生产等产业规划等进行审查审核，未按规定提交审查审核申请或者审查审核未通过的，不得开展土地经营权流转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 识别并解决因征地或丧失自然资源而造成的经济和社会影响。</w:t>
      </w:r>
      <w:r>
        <w:rPr>
          <w:rFonts w:ascii="Arial" w:cs="Arial" w:eastAsia="宋体" w:hAnsi="Arial"/>
          <w:sz w:val="22"/>
        </w:rPr>
        <w:t>《土地管理法》（2020年1月1日起实施）要求“拟征收土地的所有权人、使用权人应当在公告规定期限内，持不动产权属证明材料办理补偿登记。县级以上地方人民政府应当组织有关部门测算并落实有关费用，保证足额到位”。广西和贵州相关的征地补偿办法按照《土地管理法》的要求，对征地补偿安置的实施流程进行了系统安排，其中对于缺乏充分法律权利的人也进行了规定。征地过程中，受影响人应对实物量调查指标进行确认，</w:t>
      </w:r>
      <w:r>
        <w:rPr>
          <w:rFonts w:ascii="Arial" w:cs="Arial" w:eastAsia="宋体" w:hAnsi="Arial"/>
          <w:sz w:val="22"/>
          <w:szCs w:val="24"/>
        </w:rPr>
        <w:t>项目报批前土地征收单位应对</w:t>
      </w:r>
      <w:r>
        <w:rPr>
          <w:rFonts w:ascii="Arial" w:cs="Arial" w:eastAsia="宋体" w:hAnsi="Arial"/>
          <w:sz w:val="22"/>
        </w:rPr>
        <w:t>“与拟征收土地的所有权人、使用权人就补偿、安置等签订协议”。针对设施农用地，广西和贵州均要求签订用地协议，并报乡镇人民政府备案。涉及土地经营权流转的，《农村土地经营权流转管理办法》（农业农村部2021年1号令）要求，土地经营权流转应当遵循依法、自愿、有偿原则，并签订土地经营权流转合同；土地经营权流转收益归承包方所有。此外，从基层的农村或社区，到乡镇、到县级以上政府，已建立起一整套有关征地补偿的申诉处理机制。如果受影响人对其权益影响的识别、补偿和安置处理不满意，村民可向社长或村委会申诉，并请求处理，也可以向镇政府和县市政府申请处理。根据《信访条例》（2005），县级以上政府部门要履行受理、交办、承办、协调、处理、督办等职责。如申诉者对申诉结果不满意，也可以通过法律诉讼解决纠纷，维护其合法权益。</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(iii) 项目用地前按照重置价足额支付补偿款和过渡费。《</w:t>
      </w:r>
      <w:r>
        <w:rPr>
          <w:rFonts w:ascii="Arial" w:cs="Arial" w:eastAsia="宋体" w:hAnsi="Arial"/>
          <w:sz w:val="22"/>
        </w:rPr>
        <w:t>土地管理法》（2020年1月1日起实施）从政策层面明确了不同类型用地形式的补偿政策、标准、原则、流程、时间等。第47条要求，征收土地应当给予公平、合理的补偿，保障被征地农民原有生活水平不降低、长远生计有保障；征收土地应当依法及时足额支付土地补偿费、安置补助费以及农村村民住宅、其他地上附着物和青苗等的补偿费用，</w:t>
      </w:r>
      <w:r>
        <w:rPr>
          <w:rFonts w:ascii="Arial" w:cs="Arial" w:eastAsia="宋体" w:hAnsi="Arial"/>
          <w:sz w:val="22"/>
          <w:szCs w:val="24"/>
        </w:rPr>
        <w:t>并安排被征地农民的社会保障费用</w:t>
      </w:r>
      <w:r>
        <w:rPr>
          <w:rFonts w:ascii="Arial" w:cs="Arial" w:eastAsia="宋体" w:hAnsi="Arial"/>
          <w:sz w:val="22"/>
        </w:rPr>
        <w:t>。征收农用地的土地补偿费、安置补助费标准由省、自治区、直辖市通过制定公布区片综合地价确定，并至少每三年调整或者重新公布一次。征收农用地以外的其他土地、地上附着物和青苗等的补偿标准，由省、自治区、直辖市制定。</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各省、县/市根据经济发展水平和市场行情，通常每两到三年对各地征地补偿标准进行一次调整，如</w:t>
      </w:r>
      <w:r>
        <w:rPr>
          <w:rFonts w:ascii="Arial" w:cs="Arial" w:eastAsia="宋体" w:hAnsi="Arial" w:hint="eastAsia"/>
          <w:sz w:val="22"/>
          <w:lang w:eastAsia="zh-CN"/>
        </w:rPr>
        <w:t>广西壮族自治区</w:t>
      </w:r>
      <w:r>
        <w:rPr>
          <w:rFonts w:ascii="Arial" w:cs="Arial" w:eastAsia="宋体" w:hAnsi="Arial"/>
          <w:sz w:val="22"/>
        </w:rPr>
        <w:t>2020年3</w:t>
      </w:r>
      <w:r>
        <w:rPr>
          <w:rFonts w:ascii="Arial" w:cs="Arial" w:eastAsia="宋体" w:hAnsi="Arial"/>
          <w:sz w:val="22"/>
          <w:szCs w:val="24"/>
        </w:rPr>
        <w:t>月出台了</w:t>
      </w:r>
      <w:r>
        <w:rPr>
          <w:rFonts w:ascii="Arial" w:cs="Arial" w:eastAsia="宋体" w:hAnsi="Arial"/>
          <w:sz w:val="22"/>
        </w:rPr>
        <w:t>《</w:t>
      </w:r>
      <w:r>
        <w:rPr>
          <w:rFonts w:ascii="Arial" w:cs="Arial" w:eastAsia="宋体" w:hAnsi="Arial"/>
          <w:sz w:val="22"/>
          <w:szCs w:val="24"/>
        </w:rPr>
        <w:t>广西壮族自治区人民政府办公厅关于实施征地区片综合地价的通知</w:t>
      </w:r>
      <w:r>
        <w:rPr>
          <w:rFonts w:ascii="Arial" w:cs="Arial" w:eastAsia="宋体" w:hAnsi="Arial"/>
          <w:sz w:val="22"/>
        </w:rPr>
        <w:t>》（桂政办函〔2020〕5号），要求将根据经济社会发展情况，至少每3年调整或者重新公布一次征地区片综合地价标准，并明确了确认征地补偿标准和适用范围；贵州省于2020年11月对本省征地补偿标准也进行了更新，出台了《省人民政府办公厅关于实施征地区片综合地价的通知》（黔府办函〔2020〕68号），明确征地区片综合地价60%为安置补助费、40%为土地补偿费；征收未利用地的，全部为土地补偿费；被征收土地上有青苗的，由县级人民政府按照当季该作物的实际产值补偿。被征收土地上的附着物，按照当地有关规定或者双方约定的标准给予补偿；没有规定、约定或者约定不成的，由县级人民政府根据实际损失价值确定。同时，新的《土地管理法》明确要求项目征地和移民应先补偿后占地或用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对于土地经营权流转，由流转双方平等协商确定。涉及整村（组）土地经营权流转面积较大、涉及农户较多、</w:t>
      </w:r>
      <w:r>
        <w:rPr>
          <w:rFonts w:ascii="Arial" w:cs="Arial" w:eastAsia="宋体" w:hAnsi="Arial"/>
          <w:sz w:val="22"/>
          <w:szCs w:val="24"/>
        </w:rPr>
        <w:t>经营风险较高的项目可以设立风险保障金</w:t>
      </w:r>
      <w:r>
        <w:rPr>
          <w:rFonts w:ascii="Arial" w:cs="Arial" w:eastAsia="宋体" w:hAnsi="Arial"/>
          <w:sz w:val="22"/>
        </w:rPr>
        <w:t>，具体额度由流转双方协商。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(iv) 生计恢复的政策安排：</w:t>
      </w:r>
      <w:r>
        <w:rPr>
          <w:rFonts w:ascii="Arial" w:cs="Arial" w:eastAsia="宋体" w:hAnsi="Arial"/>
          <w:sz w:val="22"/>
        </w:rPr>
        <w:t>《土地管理法》（2020）明确要求应保障被征地农民原有生活水平不降低、长远生计有保障。总体而言，征地农民安置方式主要包括5种：农业生产安置、重新择业安置、入股分红安置、</w:t>
      </w:r>
      <w:r>
        <w:rPr>
          <w:rFonts w:ascii="Arial" w:cs="Arial" w:eastAsia="宋体" w:hAnsi="Arial"/>
          <w:sz w:val="22"/>
          <w:szCs w:val="24"/>
        </w:rPr>
        <w:t>异地移民安置</w:t>
      </w:r>
      <w:r>
        <w:rPr>
          <w:rFonts w:ascii="Arial" w:cs="Arial" w:eastAsia="宋体" w:hAnsi="Arial"/>
          <w:sz w:val="22"/>
        </w:rPr>
        <w:t>（《关于完善征地补偿安置制度的指导意见》（国土资发【2004】238 号）、养老保险安置（《土地管理法》（2020）第48条，等）。在提供以上5中安置方式的同时，国家政策，如《关于做好被征地农民就业培训和社会保障工作的指导意见（国发【2006】29 号）》，还要求各地建立适合被征地农民特点与需求的社会保障制度，采取有效措施落实就业培训和社会保障资金，促进被征地农民实现就业和融入城镇社会，确保被征地农民生活水平不因征地而降低，长远生计有保障，对符合条件的被征地农民按规定落实各项就业创业扶持政策，进一步加大职业培训力度，优化公共就业服务，努力帮扶被征地农民就业创业。</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 公共设施恢复的政策安排：</w:t>
      </w:r>
      <w:r>
        <w:rPr>
          <w:rFonts w:ascii="Arial" w:cs="Arial" w:eastAsia="宋体" w:hAnsi="Arial"/>
          <w:sz w:val="22"/>
        </w:rPr>
        <w:t>对于征地拆迁可能造成的公共设施影响，《土地管理法》和《土地管理法实施条例》中均规定，在征地方案批准和公告后，有县级人民政府组织征地范围内的土地调查，并将结果向公众公示至少30天。新的《土地管理法》（2020）第47条要求，“对其中的农村村民住宅，应当按照先补偿后搬迁、居住条件有改善的原则，……，予以补偿”。</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(vi) 信息公示、公众参与和知情决策。</w:t>
      </w:r>
      <w:r>
        <w:rPr>
          <w:rFonts w:ascii="Arial" w:cs="Arial" w:eastAsia="宋体" w:hAnsi="Arial"/>
          <w:sz w:val="22"/>
        </w:rPr>
        <w:t>公众参与贯穿项目全过程，是征地移民安置活动取得成功的重要保障。自然资源部2019年6月出台了《农村集体土地征收基层政务公开标准指引》，全面梳理公开事项、明确公开内容、规范公开流程、完善公开方式，切实维护人民群众的知情权、参与权、表达权和监督权。征地移民过程公众参与不同环节的主要目的如下：</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项目前期及方案论证和比选过程中，项目单位和设计单位应对移民和其他利益相关方进行有意义磋商，根据反馈的诉求和意见完善工程措施和确定项目用地范围，避让重要的、敏感的影响对象，尽可能降低征地和移民影响。</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实物量调查阶段的参与包括征地公告、实物指标调查宣传、调查过程参与、调查成果签字确认以及调查成果公示和复核。</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社会稳定风险评估阶段，通过与利益相关方进行有意义的磋商，评估项目征地拆迁可能产生的重大社会风险，包括其他与项目无直接关系但也可能对项目产生重大影响的风险。</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补偿方案的拟定过程中，需要对方案进行公示、听取和征求受影响人意见，必要时召开听证会。</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实施过程中的公众参与主要包括生产安置、生活安置、补偿资金的分配和使用等环节的信息公开透明，并听取和征求移民的意见、谈判并达成协议。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涉及设施农业用地的，</w:t>
      </w:r>
      <w:r>
        <w:rPr>
          <w:rFonts w:ascii="Arial" w:cs="Arial" w:eastAsia="宋体" w:hAnsi="Arial"/>
          <w:sz w:val="22"/>
          <w:szCs w:val="24"/>
        </w:rPr>
        <w:t>在签订用地协议前</w:t>
      </w:r>
      <w:r>
        <w:rPr>
          <w:rFonts w:ascii="Arial" w:cs="Arial" w:eastAsia="宋体" w:hAnsi="Arial"/>
          <w:sz w:val="22"/>
        </w:rPr>
        <w:t>，应由乡镇人民政府和农村集体经济组织通过公开形式将议定事项向社会予以公告不少于10天，公告期结束无异议的方可签订正式协议。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中国制定并形成了完整的土地征用、设施农业用地、土地流转、房屋拆迁、移民安置和补偿的法律框架和政策体系。涉及农村征地和拆迁主要依据《中华人民共和国土地管理法》（2020年）、广西和贵州省出台的土地管理法实施办法和相关补偿安置标准。新的《土地管理法》明确了征地的范围，加强了土地征用的前期风险管理，强化了征地和拆迁过程中的信息公示和公众参与（含听证会），并要求在土地报批前与土地所有权人和使用权人签订协议，并提前安排征地补偿安置资金。新法要求按照“区片综合地价”（Block Comprehensive Land Price）确定征地补偿标准，并至少每三年调整或重新公布一次。明确征收土地应给予受影响人公平、合理的补偿，“保障被征地农民原有生活水平不降低”。因此，新的土地管理法将更有利于全面保障受影响人的权益、生计可持续和居住条件的改善。总体上，有关征地和移民的法规与核心原则4和要素9的要求相一致。</w:t>
      </w:r>
    </w:p>
    <w:bookmarkStart w:id="488" w:name="_Toc90729526"/>
    <w:bookmarkStart w:id="489" w:name="_Toc93944820"/>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核心原则5 少数民族和弱势群体的管理体系</w:t>
      </w:r>
      <w:bookmarkEnd w:id="488"/>
      <w:bookmarkEnd w:id="489"/>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核心原则5</w:t>
      </w:r>
      <w:r>
        <w:rPr>
          <w:rFonts w:ascii="Arial" w:cs="Arial" w:eastAsia="宋体" w:hAnsi="Arial"/>
          <w:sz w:val="22"/>
          <w:szCs w:val="24"/>
        </w:rPr>
        <w:t>下三个要素分别与本项目社会法规系统相关</w:t>
      </w:r>
      <w:r>
        <w:rPr>
          <w:rFonts w:ascii="Arial" w:cs="Arial" w:eastAsia="宋体" w:hAnsi="Arial"/>
          <w:sz w:val="22"/>
        </w:rPr>
        <w:t>，以下分别分析一致性。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要素10：</w:t>
      </w:r>
      <w:r>
        <w:rPr>
          <w:rFonts w:ascii="Arial" w:cs="Arial" w:eastAsia="宋体" w:hAnsi="Arial"/>
          <w:lang w:eastAsia="zh-CN"/>
        </w:rPr>
        <w:t>如果少数民族可能受到（正面或负面）影响，则进行有意义的磋商，以获得广泛的社区支持该计划的活动。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少数民族咨询的政策要求：</w:t>
      </w:r>
      <w:r>
        <w:rPr>
          <w:rFonts w:ascii="Arial" w:cs="Arial" w:eastAsia="宋体" w:hAnsi="Arial" w:hint="eastAsia"/>
          <w:sz w:val="22"/>
          <w:lang w:eastAsia="zh-CN"/>
        </w:rPr>
        <w:t>广西壮族自治区</w:t>
      </w:r>
      <w:r>
        <w:rPr>
          <w:rFonts w:ascii="Arial" w:cs="Arial" w:eastAsia="宋体" w:hAnsi="Arial"/>
          <w:sz w:val="22"/>
        </w:rPr>
        <w:t>和贵州省均为多民族共居省份，少数民族成分较多。</w:t>
      </w:r>
      <w:r>
        <w:rPr>
          <w:rFonts w:ascii="Arial" w:cs="Arial" w:eastAsia="宋体" w:hAnsi="Arial" w:hint="eastAsia"/>
          <w:sz w:val="22"/>
          <w:lang w:eastAsia="zh-CN"/>
        </w:rPr>
        <w:t>广西壮族自治区</w:t>
      </w:r>
      <w:r>
        <w:rPr>
          <w:rFonts w:ascii="Arial" w:cs="Arial" w:eastAsia="宋体" w:hAnsi="Arial"/>
          <w:sz w:val="22"/>
        </w:rPr>
        <w:t>2020年全省常住人口中，各少数民族人口为1880.80万人，占37.52%；共有12个民族自治县、59个民族乡，世居民族有壮、汉、瑶、苗、侗、仫佬、毛南、回、京、彝、水、仡佬等12个，另有满、蒙古、朝鲜、白、藏、黎、土家等44个其他民族成分。贵州省2020年全省常住人口中，各少数民族人口为1405</w:t>
      </w:r>
      <w:r>
        <w:rPr>
          <w:rFonts w:ascii="Arial" w:cs="Arial" w:eastAsia="宋体" w:hAnsi="Arial" w:hint="eastAsia"/>
          <w:sz w:val="22"/>
        </w:rPr>
        <w:t>.</w:t>
      </w:r>
      <w:r>
        <w:rPr>
          <w:rFonts w:ascii="Arial" w:cs="Arial" w:eastAsia="宋体" w:hAnsi="Arial"/>
          <w:sz w:val="22"/>
        </w:rPr>
        <w:t>03人，占36.44%。共有3个自治州、11自治县、193民族乡。全省共有56个民族，其中世居民族有汉族、苗族、布依族、侗族、土家族、彝族、仡佬族、水族、回族、白族、瑶族、壮族、畲族、毛南族、满族、蒙古族、仫佬族、羌族等18个民族。我国《宪法》明确，中华人民共和国各民族一律平等。《中华人民共和国民族区域自治法》规定，民族自治地方的自治机关在处理涉及本地方各民族的特殊问题的时候，必须与他们的代表充分协商，尊重他们的意见；民族自治地方的自治机关保障本地方内各民族公民都享有宪法规定的公民权利。基于这些法律基础，如果少数民族受到类似征地拆迁影响时，不仅能与普通公民一样享受同等权益，而且在必要时各地方政府还将按照符合少数民族文化的方式开展免费、事先和知情的协商。另一方面，根据《社会稳定性风险评估》规定，项目可行性研究阶段，实施单位（委托专业机构）开展社会风险评价，进行影响识别、公众咨询、提出减缓措施并编制《项目社会稳定性风险评价》；对于县级以上地方人民政府拟申请征收土地的，应当开展拟征收土地现状调查和社会稳定风险评估。在省级层面，各市/县根据相关法规制定了本地区的政策制度，例如广西壮族自治区2013年出台了《关于印发广西壮族自治区发展和改革委员会固定资产投资项目社会稳定风险评估暂行办法的通知》（桂发改投资〔2013〕833号），以及贵州省2012年出台了《中共贵州省委办公厅贵州省人民政府办公厅关于印发〈贵州省重大决策社会稳定风险评估实施办法(试行)〉的通知》(黔委厅字〔2012〕49号)。</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国家和广西壮族自治区、贵州省制定了尊重少数民族意见、维护民族平等、</w:t>
      </w:r>
      <w:r>
        <w:rPr>
          <w:rFonts w:ascii="Arial" w:cs="Arial" w:eastAsia="宋体" w:hAnsi="Arial"/>
          <w:sz w:val="22"/>
          <w:szCs w:val="24"/>
        </w:rPr>
        <w:t>尊重风俗习惯的一系列综合性的少数民族发展政策</w:t>
      </w:r>
      <w:r>
        <w:rPr>
          <w:rFonts w:ascii="Arial" w:cs="Arial" w:eastAsia="宋体" w:hAnsi="Arial"/>
          <w:sz w:val="22"/>
        </w:rPr>
        <w:t>。与核心原则5和要素10的要求一致。</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要素11：</w:t>
      </w:r>
      <w:r>
        <w:rPr>
          <w:rFonts w:ascii="Arial" w:cs="Arial" w:eastAsia="宋体" w:hAnsi="Arial"/>
          <w:lang w:eastAsia="zh-CN"/>
        </w:rPr>
        <w:t>确保少数民族可以利用传统资源或文化，通过项目创造工作机会，其中，使用少数民族地区文化资源的，应征得相关少数民族的同意。</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保障少数民族发展权益的政策依据：</w:t>
      </w:r>
      <w:r>
        <w:rPr>
          <w:rFonts w:ascii="Arial" w:cs="Arial" w:eastAsia="宋体" w:hAnsi="Arial"/>
          <w:sz w:val="22"/>
        </w:rPr>
        <w:t>《中华人民共和国民族区域自治法》明确，国家在民族自治地方开发资源、进行建设的时候，应当照顾民族自治地方的利益，作出有利于民族自治地方经济建设的安排，</w:t>
      </w:r>
      <w:r>
        <w:rPr>
          <w:rFonts w:ascii="Arial" w:cs="Arial" w:eastAsia="宋体" w:hAnsi="Arial"/>
          <w:sz w:val="22"/>
          <w:szCs w:val="24"/>
        </w:rPr>
        <w:t>照顾当地少数民族的生产和生活</w:t>
      </w:r>
      <w:r>
        <w:rPr>
          <w:rFonts w:ascii="Arial" w:cs="Arial" w:eastAsia="宋体" w:hAnsi="Arial"/>
          <w:sz w:val="22"/>
        </w:rPr>
        <w:t>，且上级国家机关应当把民族自治地方的重大生态平衡、环境保护的综合治理工程项目纳入国民经济和社会发展计划。从公众咨询的角度看，《重大行政决策程序暂行条例》规定，制定经济和社会发展等方面的重要规划和决定在本行政区域实施的重大公共建设项目时，要开展事先公众参与，并对公众参与的时间、形式、流程、记录等进行了系统规定。根据以上两步法规，广西贵州两省均编制少数民族事业发展五年规划，例如《广西壮族自治区人民政府关于贯彻落实国家“十三五”促进民族地区和人口较少民族发展规划的实施意见》（桂政发〔2017〕58号）， 提出了十三五期间少数民族工作的重点任务，包括全力打赢脱贫攻坚战、促进经济跨越发展、优先保障和改善民生、推进生态文明建设、推进全方位开放合作、促进人口较少民族加快发展、加快少数民族特色村镇保护发展、深入开展民族团结进步创建活动、创新民族事务治理体系，推动少数民族经济、教育、科技、文化、卫生、政治等事业快速发展。此外，广西少数民族事业发展“十四五”规划正在编制中。贵州省于2021年11月出台了《贵州省“十四五”民族团结进步事业规划》（黔民宗发〔2021〕14号），提出了促进民族</w:t>
      </w:r>
      <w:r>
        <w:rPr>
          <w:rFonts w:ascii="Arial" w:cs="Arial" w:eastAsia="宋体" w:hAnsi="Arial" w:hint="eastAsia"/>
          <w:sz w:val="22"/>
        </w:rPr>
        <w:t>地区</w:t>
      </w:r>
      <w:r>
        <w:rPr>
          <w:rFonts w:ascii="Arial" w:cs="Arial" w:eastAsia="宋体" w:hAnsi="Arial"/>
          <w:sz w:val="22"/>
        </w:rPr>
        <w:t>经济增长、共创共享美好生活、铸牢中华民族共同体意识、民族团结进步创建、民族优秀文化保护传承与创新交融、推进各民族交往交流交融和民族事务治理效能等各项发展指标。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国家、广西和贵州省对少数民族发展，为少数民族居民创造就业机会、提升生活水平上，</w:t>
      </w:r>
      <w:r>
        <w:rPr>
          <w:rFonts w:ascii="Arial" w:cs="Arial" w:eastAsia="宋体" w:hAnsi="Arial"/>
          <w:sz w:val="22"/>
          <w:szCs w:val="24"/>
        </w:rPr>
        <w:t>进行了自上而下系统的规划和安排</w:t>
      </w:r>
      <w:r>
        <w:rPr>
          <w:rFonts w:ascii="Arial" w:cs="Arial" w:eastAsia="宋体" w:hAnsi="Arial"/>
          <w:sz w:val="22"/>
        </w:rPr>
        <w:t>，且依据《重大行政决策程序暂行条例》的要求，相关规划和项目均须开展事先公众咨询。因与核心原则5和要素11的要求一致。</w:t>
      </w:r>
    </w:p>
    <w:p>
      <w:pPr>
        <w:pStyle w:val="style0"/>
        <w:adjustRightInd w:val="false"/>
        <w:snapToGrid w:val="false"/>
        <w:spacing w:before="120" w:after="120"/>
        <w:rPr>
          <w:rFonts w:ascii="Arial" w:cs="Arial" w:eastAsia="宋体" w:hAnsi="Arial"/>
          <w:sz w:val="22"/>
        </w:rPr>
      </w:pPr>
      <w:r>
        <w:rPr>
          <w:rFonts w:ascii="Arial" w:cs="Arial" w:eastAsia="宋体" w:hAnsi="Arial"/>
          <w:b/>
          <w:bCs/>
          <w:sz w:val="22"/>
        </w:rPr>
        <w:t>要素12：</w:t>
      </w:r>
      <w:r>
        <w:rPr>
          <w:rFonts w:ascii="Arial" w:cs="Arial" w:eastAsia="宋体" w:hAnsi="Arial"/>
          <w:sz w:val="22"/>
        </w:rPr>
        <w:t>关注困难群体或受到歧视的群体，包括穷人，残疾人，妇女和儿童，老年人或被边缘化的族群；并在必要时采取特殊措施，以促进公平地获得项目收益</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贫困及扶贫制度：</w:t>
      </w:r>
      <w:r>
        <w:rPr>
          <w:rFonts w:ascii="Arial" w:cs="Arial" w:eastAsia="宋体" w:hAnsi="Arial"/>
          <w:sz w:val="22"/>
        </w:rPr>
        <w:t>贫困的原因较为复杂，如因病、因残、因学等。</w:t>
      </w:r>
      <w:bookmarkStart w:id="490" w:name="_Hlk78987059"/>
      <w:r>
        <w:rPr>
          <w:rFonts w:ascii="Arial" w:cs="Arial" w:eastAsia="宋体" w:hAnsi="Arial"/>
          <w:sz w:val="22"/>
        </w:rPr>
        <w:t>目前国内贫困主要指已脱贫，那些生活未达到最低生活保障线的贫困家庭，分为三类：a）城乡居民最低生活保障对象，指以户为单位家庭人均月收入低于当地最低生活保障标准的群体。各省每年都要公布低保标准和政策，广西壮族自治区城乡低保标准由当地县级以上人民政府统一制定，各地低保标准不一样。2020年全区城市低保平均标准是月人均761元，全区农村低保平均标准是年人均5400元，贵州省城市和农村低保均分为三个档次，其中城市低保标准分别为人均695元/月， 675元/月和625元/月，农村低保标准分别人均为4380元/年，4332元/年和4308元/年。b）特困人员，无劳动能力、无生活来源、无法定义务赡养或抚养人，或法定义务赡养或抚养人无履行义务能力的老年人和残疾人和未满1</w:t>
      </w:r>
      <w:r>
        <w:rPr>
          <w:rFonts w:ascii="Arial" w:cs="Arial" w:eastAsia="宋体" w:hAnsi="Arial" w:hint="eastAsia"/>
          <w:sz w:val="22"/>
        </w:rPr>
        <w:t>8</w:t>
      </w:r>
      <w:r>
        <w:rPr>
          <w:rFonts w:ascii="Arial" w:cs="Arial" w:eastAsia="宋体" w:hAnsi="Arial"/>
          <w:sz w:val="22"/>
        </w:rPr>
        <w:t>周岁的未成年人。对这部分人，国家全额保障，做到“一超、两不愁、三保障”，其中“一超”指对象户的收入水平超过当地最低人均收入，“两不愁”指不愁吃、不愁穿，“三保障”指保障其医疗服务、住房和子女教育。</w:t>
      </w:r>
      <w:bookmarkEnd w:id="490"/>
      <w:r>
        <w:rPr>
          <w:rFonts w:ascii="Arial" w:cs="Arial" w:eastAsia="宋体" w:hAnsi="Arial"/>
          <w:sz w:val="22"/>
        </w:rPr>
        <w:t>根据贫困情况，各地对贫困户进行建档立卡，并提供如生活补贴、建房补贴、儿童免费教育、免息贷款、职业</w:t>
      </w:r>
      <w:r>
        <w:rPr>
          <w:rFonts w:ascii="Arial" w:cs="Arial" w:eastAsia="宋体" w:hAnsi="Arial" w:hint="eastAsia"/>
          <w:sz w:val="22"/>
        </w:rPr>
        <w:t>技能</w:t>
      </w:r>
      <w:r>
        <w:rPr>
          <w:rFonts w:ascii="Arial" w:cs="Arial" w:eastAsia="宋体" w:hAnsi="Arial"/>
          <w:sz w:val="22"/>
        </w:rPr>
        <w:t>培训和优先安排就业等。c）脱贫人口和防止返贫监测对象。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妇女权益保障：</w:t>
      </w:r>
      <w:r>
        <w:rPr>
          <w:rFonts w:ascii="Arial" w:cs="Arial" w:eastAsia="宋体" w:hAnsi="Arial"/>
          <w:sz w:val="22"/>
        </w:rPr>
        <w:t>关于性别平等与妇女发展，《中华人民共和国妇女权益保障法》(2018修正)要求，要保障妇女的合法权益，促进男女平等，并在明确国家保障妇女享有与男子平等的劳动权利和社会保障权利。</w:t>
      </w:r>
      <w:bookmarkStart w:id="491" w:name="_Hlk78986245"/>
      <w:r>
        <w:rPr>
          <w:rFonts w:ascii="Arial" w:cs="Arial" w:eastAsia="宋体" w:hAnsi="Arial"/>
          <w:sz w:val="22"/>
        </w:rPr>
        <w:t>例如，该法规定妇女在农村土地承包经营、集体经济组织收益分配、土地征收或者征用补偿费使用以及宅基地使用等方面，享有与男性平等的权利。任何组织和个人不得以妇女未婚、结婚、离婚、丧偶等为由，</w:t>
      </w:r>
      <w:r>
        <w:rPr>
          <w:rFonts w:ascii="Arial" w:cs="Arial" w:eastAsia="宋体" w:hAnsi="Arial"/>
          <w:sz w:val="22"/>
          <w:szCs w:val="24"/>
        </w:rPr>
        <w:t>侵害妇女在农村经济组织中的各项权益</w:t>
      </w:r>
      <w:r>
        <w:rPr>
          <w:rFonts w:ascii="Arial" w:cs="Arial" w:eastAsia="宋体" w:hAnsi="Arial"/>
          <w:sz w:val="22"/>
        </w:rPr>
        <w:t>。</w:t>
      </w:r>
      <w:bookmarkEnd w:id="491"/>
      <w:r>
        <w:rPr>
          <w:rFonts w:ascii="Arial" w:cs="Arial" w:eastAsia="宋体" w:hAnsi="Arial"/>
          <w:sz w:val="22"/>
        </w:rPr>
        <w:t>2021年国务院颁布了《中国妇女发展纲要(2021-2030年)》,促进妇女全面发展目标任务纳入国家和地方经济社会发展总体规划，纳入专项规划，纳入民生实事项目，同部署、同落实。促进男女平等和妇女全面发展的制度机制创新完善。妇女平等享有全方位全生命周期健康服务，健康水平持续提升。妇女平等享有受教育权利,素质能力持续提高。妇女平等享有经济权益，经济地位稳步提升。妇女平等享有政治权利,参与国家和经济文化社会事务管理的水平逐步提高。妇女平等享有多层次可持续的社会保障，待遇水平稳步提高。支持家庭发展的法规政策体系更加完善，社会主义家庭文眀新风尚广泛弘扬。男女平等理念更加深入人心，妇女发展环境更为优化。法治体系更加健全，妇女合法权益得到切实保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基于以上分析，在关注少数民族、贫困和妇女等弱势群体权益和发展方面，国家、广西壮族自治区、</w:t>
      </w:r>
      <w:r>
        <w:rPr>
          <w:rFonts w:ascii="Arial" w:cs="Arial" w:eastAsia="宋体" w:hAnsi="Arial"/>
          <w:sz w:val="22"/>
          <w:szCs w:val="24"/>
        </w:rPr>
        <w:t>贵州省有系统的管理规划</w:t>
      </w:r>
      <w:r>
        <w:rPr>
          <w:rFonts w:ascii="Arial" w:cs="Arial" w:eastAsia="宋体" w:hAnsi="Arial"/>
          <w:sz w:val="22"/>
        </w:rPr>
        <w:t>、措施和相应的机构安排，能确保有关群体平等的参与，并公平的从项目发展中受益。因此，有关弱势群体和妇女发展的政策与核心原则5和要素12的要求一致。</w:t>
      </w:r>
    </w:p>
    <w:bookmarkStart w:id="492" w:name="_Toc90729527"/>
    <w:bookmarkStart w:id="493" w:name="_Toc93944821"/>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核心原则6社会冲突</w:t>
      </w:r>
      <w:bookmarkEnd w:id="492"/>
      <w:r>
        <w:rPr>
          <w:rFonts w:ascii="Arial" w:cs="Arial" w:eastAsia="宋体" w:hAnsi="Arial"/>
          <w:sz w:val="22"/>
          <w:szCs w:val="22"/>
        </w:rPr>
        <w:t>管理体系</w:t>
      </w:r>
      <w:bookmarkEnd w:id="49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要素13</w:t>
      </w:r>
      <w:r>
        <w:rPr>
          <w:rFonts w:ascii="Arial" w:cs="Arial" w:eastAsia="宋体" w:hAnsi="Arial"/>
          <w:sz w:val="22"/>
        </w:rPr>
        <w:t>要求项目要考虑冲突的风险，包括分配不均和文化敏感性。总体上，要素13与本项目不相关。此外，如核心原则1和要素1分析结果，中国以社会稳定风险分析为工具，对各种社会影响和风险进行综合性管理，因此本项目不会加剧当地社会冲突。</w:t>
      </w:r>
    </w:p>
    <w:bookmarkStart w:id="494" w:name="_Toc79402237"/>
    <w:bookmarkStart w:id="495" w:name="_Toc93944822"/>
    <w:bookmarkStart w:id="496" w:name="_Toc90729528"/>
    <w:bookmarkStart w:id="497" w:name="_Toc86683187"/>
    <w:p>
      <w:pPr>
        <w:pStyle w:val="style2"/>
        <w:tabs>
          <w:tab w:val="left" w:leader="none" w:pos="360"/>
        </w:tabs>
        <w:ind w:left="426" w:hanging="426"/>
        <w:rPr>
          <w:color w:val="1f4e79"/>
          <w:sz w:val="24"/>
          <w:szCs w:val="24"/>
        </w:rPr>
      </w:pPr>
      <w:r>
        <w:rPr>
          <w:color w:val="1f4e79"/>
          <w:sz w:val="24"/>
          <w:szCs w:val="24"/>
        </w:rPr>
        <w:t>4.3</w:t>
      </w:r>
      <w:r>
        <w:rPr>
          <w:color w:val="1f4e79"/>
          <w:sz w:val="24"/>
          <w:szCs w:val="24"/>
        </w:rPr>
        <w:tab/>
      </w:r>
      <w:r>
        <w:rPr>
          <w:color w:val="1f4e79"/>
          <w:sz w:val="24"/>
          <w:szCs w:val="24"/>
        </w:rPr>
        <w:tab/>
      </w:r>
      <w:r>
        <w:rPr>
          <w:color w:val="1f4e79"/>
          <w:sz w:val="24"/>
          <w:szCs w:val="24"/>
        </w:rPr>
        <w:tab/>
      </w:r>
      <w:r>
        <w:rPr>
          <w:color w:val="1f4e79"/>
          <w:sz w:val="24"/>
          <w:szCs w:val="24"/>
        </w:rPr>
        <w:t>社会管理机制与能力评估</w:t>
      </w:r>
      <w:bookmarkEnd w:id="494"/>
      <w:bookmarkEnd w:id="495"/>
      <w:bookmarkEnd w:id="496"/>
      <w:bookmarkEnd w:id="497"/>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世行结果导向型贷款环境和社会管理系统评估指南》（PforR ESSA Guidance）核心原则1下要素1和要素2</w:t>
      </w:r>
      <w:r>
        <w:rPr>
          <w:rFonts w:ascii="Arial" w:cs="Arial" w:eastAsia="宋体" w:hAnsi="Arial"/>
          <w:sz w:val="22"/>
          <w:szCs w:val="24"/>
        </w:rPr>
        <w:t>对实施单位的相关社会机构的职责和能力提出了原则性的要求</w:t>
      </w:r>
      <w:r>
        <w:rPr>
          <w:rFonts w:ascii="Arial" w:cs="Arial" w:eastAsia="宋体" w:hAnsi="Arial"/>
          <w:sz w:val="22"/>
        </w:rPr>
        <w:t>。此外，各风险对应的核心原则也是对应机构能力的依据。一方面，是确保相关机构有法规和行政职权可以承诺资源投入及实施相应措施管理社会风险（</w:t>
      </w:r>
      <w:r>
        <w:rPr>
          <w:rFonts w:ascii="Arial" w:cs="Arial" w:eastAsia="宋体" w:hAnsi="Arial"/>
          <w:b/>
          <w:bCs/>
          <w:sz w:val="22"/>
        </w:rPr>
        <w:t>要素1</w:t>
      </w:r>
      <w:r>
        <w:rPr>
          <w:rFonts w:ascii="Arial" w:cs="Arial" w:eastAsia="宋体" w:hAnsi="Arial"/>
          <w:sz w:val="22"/>
        </w:rPr>
        <w:t>）。另一方面，影响评估和管理要求有明晰的机构职责和资源，从而可以支持相关方案实施（</w:t>
      </w:r>
      <w:r>
        <w:rPr>
          <w:rFonts w:ascii="Arial" w:cs="Arial" w:eastAsia="宋体" w:hAnsi="Arial"/>
          <w:b/>
          <w:bCs/>
          <w:sz w:val="22"/>
        </w:rPr>
        <w:t>要素2下V</w:t>
      </w:r>
      <w:r>
        <w:rPr>
          <w:rFonts w:ascii="Arial" w:cs="Arial" w:eastAsia="宋体" w:hAnsi="Arial"/>
          <w:sz w:val="22"/>
        </w:rPr>
        <w:t xml:space="preserve">）。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如</w:t>
      </w:r>
      <w:r>
        <w:rPr>
          <w:rFonts w:ascii="Arial" w:cs="Arial" w:eastAsia="宋体" w:hAnsi="Arial"/>
          <w:b/>
          <w:bCs/>
          <w:sz w:val="22"/>
        </w:rPr>
        <w:fldChar w:fldCharType="begin"/>
      </w:r>
      <w:r>
        <w:rPr>
          <w:rFonts w:ascii="Arial" w:cs="Arial" w:eastAsia="宋体" w:hAnsi="Arial"/>
          <w:sz w:val="22"/>
        </w:rPr>
        <w:instrText xml:space="preserve"> REF _Ref85468384 \h </w:instrText>
      </w:r>
      <w:r>
        <w:rPr>
          <w:rFonts w:ascii="Arial" w:cs="Arial" w:eastAsia="宋体" w:hAnsi="Arial"/>
          <w:b/>
          <w:bCs/>
          <w:sz w:val="22"/>
        </w:rPr>
        <w:instrText xml:space="preserve"> \* MERGEFORMAT </w:instrText>
      </w:r>
      <w:r>
        <w:rPr>
          <w:rFonts w:ascii="Arial" w:cs="Arial" w:eastAsia="宋体" w:hAnsi="Arial"/>
          <w:b/>
          <w:bCs/>
          <w:sz w:val="22"/>
        </w:rPr>
        <w:fldChar w:fldCharType="separate"/>
      </w:r>
      <w:r>
        <w:rPr>
          <w:rFonts w:ascii="Arial" w:cs="Arial" w:eastAsia="宋体" w:hAnsi="Arial"/>
          <w:b/>
          <w:bCs/>
          <w:sz w:val="22"/>
        </w:rPr>
        <w:t>表 4</w:t>
      </w:r>
      <w:r>
        <w:rPr>
          <w:rFonts w:ascii="Arial" w:cs="Arial" w:eastAsia="宋体" w:hAnsi="Arial"/>
          <w:b/>
          <w:bCs/>
          <w:sz w:val="22"/>
        </w:rPr>
        <w:noBreakHyphen/>
      </w:r>
      <w:r>
        <w:rPr>
          <w:rFonts w:ascii="Arial" w:cs="Arial" w:eastAsia="宋体" w:hAnsi="Arial"/>
          <w:b/>
          <w:bCs/>
          <w:sz w:val="22"/>
        </w:rPr>
        <w:t>1</w:t>
      </w:r>
      <w:r>
        <w:rPr>
          <w:rFonts w:ascii="Arial" w:cs="Arial" w:eastAsia="宋体" w:hAnsi="Arial"/>
          <w:b/>
          <w:bCs/>
          <w:sz w:val="22"/>
        </w:rPr>
        <w:fldChar w:fldCharType="end"/>
      </w:r>
      <w:r>
        <w:rPr>
          <w:rFonts w:ascii="Arial" w:cs="Arial" w:eastAsia="宋体" w:hAnsi="Arial"/>
          <w:sz w:val="22"/>
        </w:rPr>
        <w:t>所示，广西和贵州省市县相关政府部门针对不同社会风险已经设置了明晰的管理机构，配备了有资质的人员。</w:t>
      </w:r>
      <w:r>
        <w:rPr>
          <w:rFonts w:ascii="Arial" w:cs="Arial" w:eastAsia="宋体" w:hAnsi="Arial"/>
          <w:sz w:val="22"/>
          <w:szCs w:val="24"/>
        </w:rPr>
        <w:t>本节分析各社会管理体系对应的机构设置情况</w:t>
      </w:r>
      <w:r>
        <w:rPr>
          <w:rFonts w:ascii="Arial" w:cs="Arial" w:eastAsia="宋体" w:hAnsi="Arial"/>
          <w:sz w:val="22"/>
        </w:rPr>
        <w:t>，并评估目前的机构设置是否合理，是否存在需要加强的地方。主要分两个层面分析：首先，通过调查和咨询了解各社会管理系统的机构设置；其次，针对每一个社会管理系统评估当前机构安排的合理性和能力，分析与核心原则1下的要素1和要素2的一致性，对于存在不足的地方，提出行动要求和建议。社会评估团队，在评估的过程通过充分的咨询（见利益相关方参与部分），重点分析各机构的行政职责、工作规程/程序、人员安排及能力、跨部门协调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针对不同的社会风险，本部分对相应机构或机构功能团进行分析和评估。</w:t>
      </w:r>
      <w:r>
        <w:rPr>
          <w:rFonts w:ascii="Arial" w:cs="Arial" w:eastAsia="宋体" w:hAnsi="Arial"/>
          <w:sz w:val="22"/>
        </w:rPr>
        <w:fldChar w:fldCharType="begin"/>
      </w:r>
      <w:r>
        <w:rPr>
          <w:rFonts w:ascii="Arial" w:cs="Arial" w:eastAsia="宋体" w:hAnsi="Arial"/>
          <w:sz w:val="22"/>
        </w:rPr>
        <w:instrText xml:space="preserve"> REF _Ref91099944 \r \h  \* MERGEFORMAT </w:instrText>
      </w:r>
      <w:r>
        <w:rPr>
          <w:rFonts w:ascii="Arial" w:cs="Arial" w:eastAsia="宋体" w:hAnsi="Arial"/>
          <w:sz w:val="22"/>
        </w:rPr>
        <w:fldChar w:fldCharType="separate"/>
      </w:r>
      <w:r>
        <w:rPr>
          <w:rFonts w:ascii="Arial" w:cs="Arial" w:eastAsia="宋体" w:hAnsi="Arial"/>
          <w:sz w:val="22"/>
        </w:rPr>
        <w:t>附件4</w:t>
      </w:r>
      <w:r>
        <w:rPr>
          <w:rFonts w:ascii="Arial" w:cs="Arial" w:eastAsia="宋体" w:hAnsi="Arial"/>
          <w:sz w:val="22"/>
        </w:rPr>
        <w:fldChar w:fldCharType="end"/>
      </w:r>
      <w:r>
        <w:rPr>
          <w:rFonts w:ascii="Arial" w:cs="Arial" w:eastAsia="宋体" w:hAnsi="Arial"/>
          <w:sz w:val="22"/>
        </w:rPr>
        <w:t>汇总了详细的利益相关方分析结论，归纳和分析各类活动涉</w:t>
      </w:r>
      <w:r>
        <w:rPr>
          <w:rFonts w:ascii="Arial" w:cs="Arial" w:eastAsia="宋体" w:hAnsi="Arial"/>
          <w:sz w:val="22"/>
          <w:szCs w:val="24"/>
        </w:rPr>
        <w:t>及的政府管理部门的职责</w:t>
      </w:r>
      <w:r>
        <w:rPr>
          <w:rFonts w:ascii="Arial" w:cs="Arial" w:eastAsia="宋体" w:hAnsi="Arial"/>
          <w:sz w:val="22"/>
        </w:rPr>
        <w:t>，并例举了社会系统下管理部门访谈的结果。</w:t>
      </w:r>
    </w:p>
    <w:bookmarkStart w:id="498" w:name="_Toc93944823"/>
    <w:bookmarkStart w:id="499" w:name="_Toc86683188"/>
    <w:bookmarkStart w:id="500" w:name="_Toc90729529"/>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社会风险评估管理机构</w:t>
      </w:r>
      <w:r>
        <w:rPr>
          <w:rFonts w:ascii="Arial" w:cs="Arial" w:eastAsia="宋体" w:hAnsi="Arial"/>
          <w:sz w:val="22"/>
          <w:szCs w:val="22"/>
          <w:vertAlign w:val="superscript"/>
        </w:rPr>
        <w:footnoteReference w:id="15"/>
      </w:r>
      <w:bookmarkEnd w:id="498"/>
      <w:bookmarkEnd w:id="499"/>
      <w:bookmarkEnd w:id="500"/>
    </w:p>
    <w:p>
      <w:pPr>
        <w:pStyle w:val="style4124"/>
        <w:numPr>
          <w:ilvl w:val="0"/>
          <w:numId w:val="18"/>
        </w:numPr>
        <w:tabs>
          <w:tab w:val="left" w:leader="none" w:pos="859"/>
        </w:tabs>
        <w:adjustRightInd w:val="false"/>
        <w:snapToGrid w:val="false"/>
        <w:spacing w:before="120" w:after="120"/>
        <w:ind w:right="326"/>
        <w:rPr>
          <w:rFonts w:ascii="Arial" w:cs="Arial" w:eastAsia="宋体" w:hAnsi="Arial"/>
          <w:kern w:val="0"/>
          <w:sz w:val="22"/>
          <w:shd w:val="clear" w:color="auto" w:fill="ffffff"/>
        </w:rPr>
      </w:pPr>
      <w:r>
        <w:rPr>
          <w:rFonts w:ascii="Arial" w:cs="Arial" w:eastAsia="宋体" w:hAnsi="Arial"/>
          <w:b/>
          <w:bCs/>
          <w:sz w:val="22"/>
          <w:shd w:val="clear" w:color="auto" w:fill="ffffff"/>
        </w:rPr>
        <w:t>省发改委：</w:t>
      </w:r>
      <w:r>
        <w:rPr>
          <w:rFonts w:ascii="Arial" w:cs="Arial" w:eastAsia="宋体" w:hAnsi="Arial"/>
          <w:sz w:val="22"/>
          <w:shd w:val="clear" w:color="auto" w:fill="ffffff"/>
        </w:rPr>
        <w:t>负责根据</w:t>
      </w:r>
      <w:r>
        <w:rPr>
          <w:rFonts w:ascii="Arial" w:cs="Arial" w:eastAsia="宋体" w:hAnsi="Arial"/>
          <w:sz w:val="22"/>
        </w:rPr>
        <w:t>项目</w:t>
      </w:r>
      <w:r>
        <w:rPr>
          <w:rFonts w:ascii="Arial" w:cs="Arial" w:eastAsia="宋体" w:hAnsi="Arial"/>
          <w:sz w:val="22"/>
          <w:shd w:val="clear" w:color="auto" w:fill="ffffff"/>
        </w:rPr>
        <w:t>社会稳定风险情况审批、核准重大固定资产投资项目；项目核准申请报告时，应当附该项目社会稳定风险评估报告。</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省政法委：</w:t>
      </w:r>
      <w:r>
        <w:rPr>
          <w:rFonts w:ascii="Arial" w:cs="Arial" w:eastAsia="宋体" w:hAnsi="Arial"/>
          <w:sz w:val="22"/>
        </w:rPr>
        <w:t>牵头做好稳评工作的综合协调和督促指导。对存在跨地区跨部门的项目，召集各地区政法委和相关部门共同讨论，提出社会稳定风险评估的要求，必要时强调典型风险点，指导相关部门的稳评流程。</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市县人民政府：</w:t>
      </w:r>
      <w:r>
        <w:rPr>
          <w:rFonts w:ascii="Arial" w:cs="Arial" w:eastAsia="宋体" w:hAnsi="Arial"/>
          <w:sz w:val="22"/>
          <w:shd w:val="clear" w:color="auto" w:fill="ffffff"/>
        </w:rPr>
        <w:t>对全县有关项目的社会稳定风险进行评估、决策、落实和督导。其中稳评报告由市县党委办公会讨论决策通过。</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市县政法委：</w:t>
      </w:r>
      <w:r>
        <w:rPr>
          <w:rFonts w:ascii="Arial" w:cs="Arial" w:eastAsia="宋体" w:hAnsi="Arial"/>
          <w:sz w:val="22"/>
          <w:shd w:val="clear" w:color="auto" w:fill="ffffff"/>
        </w:rPr>
        <w:t>稳评备案，并督导评估主体、实施部门开展工作。</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评估主体</w:t>
      </w:r>
      <w:r>
        <w:rPr>
          <w:rFonts w:ascii="Arial" w:cs="Arial" w:eastAsia="宋体" w:hAnsi="Arial"/>
          <w:sz w:val="22"/>
          <w:shd w:val="clear" w:color="auto" w:fill="ffffff"/>
        </w:rPr>
        <w:t>-组织社会稳定风险评估，或委托第三方评估机构开展稳评，组织各项稳评措施的落实。</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第三方评估机构</w:t>
      </w:r>
      <w:r>
        <w:rPr>
          <w:rFonts w:ascii="Arial" w:cs="Arial" w:eastAsia="宋体" w:hAnsi="Arial"/>
          <w:sz w:val="22"/>
          <w:shd w:val="clear" w:color="auto" w:fill="ffffff"/>
        </w:rPr>
        <w:t>：各地要求有所不同，总体而言，需参与和通过国家发改委组织的社会稳定风险评估培训及考核，并提前在省级政法部门备案。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b/>
          <w:bCs/>
          <w:sz w:val="22"/>
        </w:rPr>
      </w:pPr>
      <w:r>
        <w:rPr>
          <w:rFonts w:ascii="Arial" w:cs="Arial" w:eastAsia="宋体" w:hAnsi="Arial"/>
          <w:b/>
          <w:bCs/>
          <w:sz w:val="22"/>
        </w:rPr>
        <w:t>以贵州省三都县为例，</w:t>
      </w:r>
      <w:r>
        <w:rPr>
          <w:rFonts w:ascii="Arial" w:cs="Arial" w:eastAsia="宋体" w:hAnsi="Arial"/>
          <w:sz w:val="22"/>
        </w:rPr>
        <w:t>三都水族自治县政法委设立了社会稳定性风险评估中心，4名工作人员，</w:t>
      </w:r>
      <w:r>
        <w:rPr>
          <w:rFonts w:ascii="Arial" w:cs="Arial" w:eastAsia="宋体" w:hAnsi="Arial"/>
          <w:sz w:val="22"/>
          <w:szCs w:val="24"/>
        </w:rPr>
        <w:t>负责指导督促各项目业主单位对重大决策和工程建设项目开展社会稳定性风险评估</w:t>
      </w:r>
      <w:r>
        <w:rPr>
          <w:rFonts w:ascii="Arial" w:cs="Arial" w:eastAsia="宋体" w:hAnsi="Arial"/>
          <w:sz w:val="22"/>
        </w:rPr>
        <w:t>，提供相应政策咨询与指导，并监督项目业主单位是否按照社会稳定风险评估报告中的要求落实各项风险防范化解措施。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szCs w:val="24"/>
        </w:rPr>
        <w:t>国家和地方的法规赋予了相关机构明确的职责</w:t>
      </w:r>
      <w:r>
        <w:rPr>
          <w:rFonts w:ascii="Arial" w:cs="Arial" w:eastAsia="宋体" w:hAnsi="Arial"/>
          <w:sz w:val="22"/>
        </w:rPr>
        <w:t>，并两省的主管部门（省政法委）要求从业人员参与相关培训，另外，在社会稳定评估时要求确保有充足预算确保相关措施得以落实。因此，广西和贵州两省的社会稳定风险评估和管理的机制有效，符合世行政策原则的要求。另一方面，在项目风险管控措施的落实上，虽然由评估主体负责组织和实施，市县相关主管部门负责监督，但不同社会风险的监管单位不同,例如自然资源部门仅监督征地拆迁补偿安置有关事项，而同一项目的其它社会风险，例如对公众参与（如征求受影响人对项目选址的意见建议等）落实情况则由其它单位负责，例如信访局等。因此，</w:t>
      </w:r>
      <w:bookmarkStart w:id="501" w:name="_Hlk90671320"/>
      <w:r>
        <w:rPr>
          <w:rFonts w:ascii="Arial" w:cs="Arial" w:eastAsia="宋体" w:hAnsi="Arial"/>
          <w:sz w:val="22"/>
        </w:rPr>
        <w:t>项目实施单位还未建立针对项目建设运营阶段社会风险的监测机制。</w:t>
      </w:r>
    </w:p>
    <w:bookmarkStart w:id="502" w:name="_Hlk77948229"/>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建议：</w:t>
      </w:r>
      <w:r>
        <w:rPr>
          <w:rFonts w:ascii="Arial" w:cs="Arial" w:eastAsia="宋体" w:hAnsi="Arial"/>
          <w:sz w:val="22"/>
        </w:rPr>
        <w:t>建立社会监测和评估安排，定期对社会风险（含征地移民）进行监测。</w:t>
      </w:r>
    </w:p>
    <w:bookmarkStart w:id="503" w:name="_Toc86683189"/>
    <w:bookmarkStart w:id="504" w:name="_Toc90729530"/>
    <w:bookmarkStart w:id="505" w:name="_Toc93944824"/>
    <w:bookmarkEnd w:id="501"/>
    <w:bookmarkEnd w:id="502"/>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文物保护机构</w:t>
      </w:r>
      <w:bookmarkEnd w:id="503"/>
      <w:bookmarkEnd w:id="504"/>
      <w:bookmarkEnd w:id="505"/>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3d3d3d"/>
          <w:kern w:val="0"/>
          <w:sz w:val="22"/>
        </w:rPr>
        <w:t>省文化与旅游厅</w:t>
      </w:r>
      <w:r>
        <w:rPr>
          <w:rFonts w:ascii="Arial" w:cs="Arial" w:eastAsia="宋体" w:hAnsi="Arial"/>
          <w:color w:val="3d3d3d"/>
          <w:kern w:val="0"/>
          <w:sz w:val="22"/>
        </w:rPr>
        <w:t>内设文物保护处负责协调、指导文物保护和利用、考古、重大项目的实施工作，组织开展文物资源调查相关工作</w:t>
      </w:r>
      <w:r>
        <w:rPr>
          <w:rFonts w:ascii="Arial" w:cs="Arial" w:eastAsia="宋体" w:hAnsi="Arial"/>
          <w:color w:val="464445"/>
          <w:sz w:val="22"/>
          <w:shd w:val="clear" w:color="auto" w:fill="ffffff"/>
        </w:rPr>
        <w:t>。</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各市、县（区）人民政府</w:t>
      </w:r>
      <w:r>
        <w:rPr>
          <w:rFonts w:ascii="Arial" w:cs="Arial" w:eastAsia="宋体" w:hAnsi="Arial"/>
          <w:color w:val="464445"/>
          <w:sz w:val="22"/>
          <w:shd w:val="clear" w:color="auto" w:fill="ffffff"/>
        </w:rPr>
        <w:t>是文物安全属地管理的责任主体。</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各市县文物主管部门：</w:t>
      </w:r>
      <w:r>
        <w:rPr>
          <w:rFonts w:ascii="Arial" w:cs="Arial" w:eastAsia="宋体" w:hAnsi="Arial"/>
          <w:color w:val="464445"/>
          <w:sz w:val="22"/>
          <w:shd w:val="clear" w:color="auto" w:fill="ffffff"/>
        </w:rPr>
        <w:t>通常包括文管所1个和文化综合执法队1个，其中文管所2-3名职员，负责协调和指导文物保护工作，履行文物行政执法督察职责，配合有关部门做好基本建设涉及文物保护的工程项目的审核工作，配合上级文物考古部门实施工程范围的文物调查、勘探及考古发掘等工作；执法大队6-10人，负责文物违法和安全检查管理。对于项目建设选址无法避开地下文物埋藏区的，由省文物局组织考古发掘单位进行考古调查、勘探，所需经费由项目方承担。</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各市县发改委：</w:t>
      </w:r>
      <w:r>
        <w:rPr>
          <w:rFonts w:ascii="Arial" w:cs="Arial" w:eastAsia="宋体" w:hAnsi="Arial"/>
          <w:color w:val="464445"/>
          <w:sz w:val="22"/>
          <w:shd w:val="clear" w:color="auto" w:fill="ffffff"/>
        </w:rPr>
        <w:t>组织建设项目可行性研究评审，在涉及文物主管部门参与，确保建设项目设计不影响文物。</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自然资源部门规划处：</w:t>
      </w:r>
      <w:r>
        <w:rPr>
          <w:rFonts w:ascii="Arial" w:cs="Arial" w:eastAsia="宋体" w:hAnsi="Arial"/>
          <w:color w:val="464445"/>
          <w:sz w:val="22"/>
          <w:shd w:val="clear" w:color="auto" w:fill="ffffff"/>
        </w:rPr>
        <w:t xml:space="preserve">在制定地方规划和建设项目选址阶段，依法依规征求文物部门的意见，配合文物行政部门划定文物保护单位的保护范围和建设控制地带。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color w:val="3d3d3d"/>
          <w:kern w:val="0"/>
          <w:sz w:val="22"/>
        </w:rPr>
      </w:pPr>
      <w:r>
        <w:rPr>
          <w:rFonts w:ascii="Arial" w:cs="Arial" w:eastAsia="宋体" w:hAnsi="Arial"/>
          <w:b/>
          <w:bCs/>
          <w:color w:val="444444"/>
          <w:kern w:val="0"/>
          <w:sz w:val="22"/>
        </w:rPr>
        <w:t>评估：</w:t>
      </w:r>
      <w:r>
        <w:rPr>
          <w:rFonts w:ascii="Arial" w:cs="Arial" w:eastAsia="宋体" w:hAnsi="Arial"/>
          <w:color w:val="444444"/>
          <w:kern w:val="0"/>
          <w:sz w:val="22"/>
        </w:rPr>
        <w:t>对</w:t>
      </w:r>
      <w:r>
        <w:rPr>
          <w:rFonts w:ascii="Arial" w:cs="Arial" w:eastAsia="宋体" w:hAnsi="Arial"/>
          <w:color w:val="464445"/>
          <w:sz w:val="22"/>
          <w:shd w:val="clear" w:color="auto" w:fill="ffffff"/>
        </w:rPr>
        <w:t>物质文化财产的潜在不利影响，国家和地方法规有相关规定来避免、减少或减轻这种影响</w:t>
      </w:r>
      <w:r>
        <w:rPr>
          <w:rFonts w:ascii="Arial" w:cs="Arial" w:eastAsia="宋体" w:hAnsi="Arial"/>
          <w:color w:val="444444"/>
          <w:kern w:val="0"/>
          <w:sz w:val="22"/>
        </w:rPr>
        <w:t>。</w:t>
      </w:r>
      <w:r>
        <w:rPr>
          <w:rFonts w:ascii="Arial" w:cs="Arial" w:eastAsia="宋体" w:hAnsi="Arial"/>
          <w:sz w:val="22"/>
          <w:szCs w:val="24"/>
        </w:rPr>
        <w:t>国家和地方现有的机构能够对项目涉及的文物风险进行有效管理</w:t>
      </w:r>
      <w:r>
        <w:rPr>
          <w:rFonts w:ascii="Arial" w:cs="Arial" w:eastAsia="宋体" w:hAnsi="Arial"/>
          <w:color w:val="444444"/>
          <w:kern w:val="0"/>
          <w:sz w:val="22"/>
        </w:rPr>
        <w:t>，</w:t>
      </w:r>
      <w:r>
        <w:rPr>
          <w:rFonts w:ascii="Arial" w:cs="Arial" w:eastAsia="宋体" w:hAnsi="Arial"/>
          <w:sz w:val="22"/>
        </w:rPr>
        <w:t>与世行政策原则2一致。</w:t>
      </w:r>
    </w:p>
    <w:bookmarkStart w:id="506" w:name="_Toc86683190"/>
    <w:bookmarkStart w:id="507" w:name="_Toc90729531"/>
    <w:bookmarkStart w:id="508" w:name="_Toc93944825"/>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征地拆迁机构</w:t>
      </w:r>
      <w:bookmarkEnd w:id="506"/>
      <w:bookmarkEnd w:id="507"/>
      <w:bookmarkEnd w:id="508"/>
    </w:p>
    <w:p>
      <w:pPr>
        <w:pStyle w:val="style179"/>
        <w:numPr>
          <w:ilvl w:val="1"/>
          <w:numId w:val="19"/>
        </w:numPr>
        <w:adjustRightInd w:val="false"/>
        <w:snapToGrid w:val="false"/>
        <w:spacing w:before="120" w:after="120"/>
        <w:ind w:firstLineChars="0"/>
        <w:rPr>
          <w:rFonts w:ascii="Arial" w:cs="Arial" w:eastAsia="宋体" w:hAnsi="Arial"/>
          <w:sz w:val="22"/>
        </w:rPr>
      </w:pPr>
      <w:r>
        <w:rPr>
          <w:rFonts w:ascii="Arial" w:cs="Arial" w:eastAsia="宋体" w:hAnsi="Arial"/>
          <w:sz w:val="22"/>
        </w:rPr>
        <w:t>用地审批机构：</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自然资源部：</w:t>
      </w:r>
      <w:r>
        <w:rPr>
          <w:rFonts w:ascii="Arial" w:cs="Arial" w:eastAsia="宋体" w:hAnsi="Arial"/>
          <w:sz w:val="22"/>
        </w:rPr>
        <w:t>负责审</w:t>
      </w:r>
      <w:r>
        <w:rPr>
          <w:rFonts w:ascii="Arial" w:cs="Arial" w:eastAsia="宋体" w:hAnsi="Arial" w:hint="eastAsia"/>
          <w:sz w:val="22"/>
        </w:rPr>
        <w:t>查</w:t>
      </w:r>
      <w:r>
        <w:rPr>
          <w:rFonts w:ascii="Arial" w:cs="Arial" w:eastAsia="宋体" w:hAnsi="Arial"/>
          <w:sz w:val="22"/>
        </w:rPr>
        <w:t>具体项目的基本农田与生态保护红线的征用；</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省级自然资源厅：</w:t>
      </w:r>
      <w:r>
        <w:rPr>
          <w:rFonts w:ascii="Arial" w:cs="Arial" w:eastAsia="宋体" w:hAnsi="Arial"/>
          <w:sz w:val="22"/>
        </w:rPr>
        <w:t>负责审</w:t>
      </w:r>
      <w:r>
        <w:rPr>
          <w:rFonts w:ascii="Arial" w:cs="Arial" w:eastAsia="宋体" w:hAnsi="Arial" w:hint="eastAsia"/>
          <w:sz w:val="22"/>
        </w:rPr>
        <w:t>查</w:t>
      </w:r>
      <w:r>
        <w:rPr>
          <w:rFonts w:ascii="Arial" w:cs="Arial" w:eastAsia="宋体" w:hAnsi="Arial"/>
          <w:sz w:val="22"/>
        </w:rPr>
        <w:t>具体项目的永久征收集体土地（基本农田和生态保护红线除外）；</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市（州）自然资源局</w:t>
      </w:r>
      <w:r>
        <w:rPr>
          <w:rFonts w:ascii="Arial" w:cs="Arial" w:eastAsia="宋体" w:hAnsi="Arial"/>
          <w:b/>
          <w:bCs/>
          <w:sz w:val="22"/>
        </w:rPr>
        <w:t>：</w:t>
      </w:r>
      <w:r>
        <w:rPr>
          <w:rFonts w:ascii="Arial" w:cs="Arial" w:eastAsia="宋体" w:hAnsi="Arial"/>
          <w:sz w:val="22"/>
        </w:rPr>
        <w:t>承担需报批永久性土地用途转用的审核、报批工作；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县级自然资源局：</w:t>
      </w:r>
      <w:r>
        <w:rPr>
          <w:rFonts w:ascii="Arial" w:cs="Arial" w:eastAsia="宋体" w:hAnsi="Arial"/>
          <w:sz w:val="22"/>
        </w:rPr>
        <w:t>受理建设项目用地申请，指导项目单位准备必要的用地审批文件，并向有审批权限的人民政府提交用地审批材料。</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县级以上各级人民政府：</w:t>
      </w:r>
      <w:r>
        <w:rPr>
          <w:rFonts w:ascii="Arial" w:cs="Arial" w:eastAsia="宋体" w:hAnsi="Arial" w:hint="eastAsia"/>
          <w:sz w:val="22"/>
        </w:rPr>
        <w:t>负责相应权限用地审批。</w:t>
      </w:r>
    </w:p>
    <w:p>
      <w:pPr>
        <w:pStyle w:val="style179"/>
        <w:numPr>
          <w:ilvl w:val="1"/>
          <w:numId w:val="19"/>
        </w:numPr>
        <w:adjustRightInd w:val="false"/>
        <w:snapToGrid w:val="false"/>
        <w:spacing w:before="120" w:after="120"/>
        <w:ind w:firstLineChars="0"/>
        <w:rPr>
          <w:rFonts w:ascii="Arial" w:cs="Arial" w:eastAsia="宋体" w:hAnsi="Arial"/>
          <w:sz w:val="22"/>
        </w:rPr>
      </w:pPr>
      <w:r>
        <w:rPr>
          <w:rFonts w:ascii="Arial" w:cs="Arial" w:eastAsia="宋体" w:hAnsi="Arial"/>
          <w:b/>
          <w:bCs/>
          <w:sz w:val="22"/>
        </w:rPr>
        <w:t>土地征收</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县级以上人民政府自然资源主管部门或土地与房屋征收部门：</w:t>
      </w:r>
      <w:r>
        <w:rPr>
          <w:rFonts w:ascii="Arial" w:cs="Arial" w:eastAsia="宋体" w:hAnsi="Arial"/>
          <w:sz w:val="22"/>
        </w:rPr>
        <w:t>贯彻和执行有关法律法规，拟定本区域内土地利用规划，指导用地单位提交用地申请材料，并进行审查和向上级主管部门申报；成立有关项目土地和房屋征收补偿安置领导小组；委托土地与房屋征收部门牵头，地方乡镇人民政府、社区配合第三方作业开展社会稳定风险评估与勘测定界，特别是土地现状调查、入户走访、政策宣讲、安置措施讨论、申诉处理等，同时发布土地征收预公告；组织编制征地补偿安置方案；组织土地和房屋征收听证；与受影响人或单位签订征地补偿安置协议；经依法批准后发布征收土地公告，实施征收土地并进行补偿安置。</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征地所在乡镇、村社</w:t>
      </w:r>
      <w:r>
        <w:rPr>
          <w:rFonts w:ascii="Arial" w:cs="Arial" w:eastAsia="宋体" w:hAnsi="Arial"/>
          <w:sz w:val="22"/>
        </w:rPr>
        <w:t xml:space="preserve">参与并协助实施征地拆迁，特别是实物量调查、入户走访、政策宣讲、安置措施讨论、申诉处理等。 </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lang w:bidi="en-US"/>
        </w:rPr>
        <w:t>县市或区人力资源</w:t>
      </w:r>
      <w:r>
        <w:rPr>
          <w:rFonts w:ascii="Arial" w:cs="Arial" w:eastAsia="宋体" w:hAnsi="Arial" w:hint="eastAsia"/>
          <w:b/>
          <w:bCs/>
          <w:sz w:val="22"/>
          <w:lang w:bidi="en-US"/>
        </w:rPr>
        <w:t>和</w:t>
      </w:r>
      <w:r>
        <w:rPr>
          <w:rFonts w:ascii="Arial" w:cs="Arial" w:eastAsia="宋体" w:hAnsi="Arial"/>
          <w:b/>
          <w:bCs/>
          <w:sz w:val="22"/>
          <w:lang w:bidi="en-US"/>
        </w:rPr>
        <w:t>社会保障局：</w:t>
      </w:r>
      <w:bookmarkStart w:id="509" w:name="_Hlk78992107"/>
      <w:r>
        <w:rPr>
          <w:rFonts w:ascii="Arial" w:cs="Arial" w:eastAsia="宋体" w:hAnsi="Arial"/>
          <w:sz w:val="22"/>
          <w:lang w:bidi="en-US"/>
        </w:rPr>
        <w:t>将征地后人均耕地面积不足规定数额的人口纳入社会保障范围。通常由被征地农民提出申请，由村集体经济组织讨论，乡镇政府或街道办事处核定并公示七天，经自然资源部门会同公安部门审核，当地政府部门批复，当地财政局组织、拨付被征地农民政府补贴资金，最后由</w:t>
      </w:r>
      <w:r>
        <w:rPr>
          <w:rFonts w:ascii="Arial" w:cs="Arial" w:eastAsia="宋体" w:hAnsi="Arial" w:hint="eastAsia"/>
          <w:sz w:val="22"/>
          <w:lang w:bidi="en-US"/>
        </w:rPr>
        <w:t>人力资源和社会保障</w:t>
      </w:r>
      <w:r>
        <w:rPr>
          <w:rFonts w:ascii="Arial" w:cs="Arial" w:eastAsia="宋体" w:hAnsi="Arial"/>
          <w:sz w:val="22"/>
          <w:lang w:bidi="en-US"/>
        </w:rPr>
        <w:t>局办理登记。参保人员自愿选择参加职工基本养老保险或城乡居民基本养老保险。</w:t>
      </w:r>
      <w:bookmarkEnd w:id="509"/>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lang w:bidi="en-US"/>
        </w:rPr>
        <w:t>第三方评估机构：</w:t>
      </w:r>
      <w:r>
        <w:rPr>
          <w:rFonts w:ascii="Arial" w:cs="Arial" w:eastAsia="宋体" w:hAnsi="Arial"/>
          <w:sz w:val="22"/>
          <w:lang w:bidi="en-US"/>
        </w:rPr>
        <w:t>在自然资源部门指导下，由受影响村或社区委托有资质的房地产评估公司，对房屋补偿标准进行评估。</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lang w:bidi="en-US"/>
        </w:rPr>
        <w:t>财政局：</w:t>
      </w:r>
      <w:r>
        <w:rPr>
          <w:rFonts w:ascii="Arial" w:cs="Arial" w:eastAsia="宋体" w:hAnsi="Arial"/>
          <w:sz w:val="22"/>
          <w:lang w:bidi="en-US"/>
        </w:rPr>
        <w:t>根据自然资源部门和用地单位提交的征地拆迁安置费用申请，准备和提供必要的预算资金。</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审计局：</w:t>
      </w:r>
      <w:r>
        <w:rPr>
          <w:rFonts w:ascii="Arial" w:cs="Arial" w:eastAsia="宋体" w:hAnsi="Arial"/>
          <w:sz w:val="22"/>
        </w:rPr>
        <w:t>依据法定规定和流程，定期开展征地查清安置费用的使用情况审查，并提出审计意见。</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以对贵州省息烽县自然资源局的调查为例</w:t>
      </w:r>
      <w:r>
        <w:rPr>
          <w:rFonts w:ascii="Arial" w:cs="Arial" w:eastAsia="宋体" w:hAnsi="Arial"/>
          <w:sz w:val="22"/>
        </w:rPr>
        <w:t>，该县然资源局“土地征收服务中心”负责集体土地征收工作。对具体项目的土地和附属设施的征收，“土地征收服务中心”与负责实施该项目的主管部门、所在乡镇政府和村委会共同组成项目征地管理小组，例如住建局负责某农村垃圾转运站项目时，住建局为主管部门，</w:t>
      </w:r>
      <w:r>
        <w:rPr>
          <w:rFonts w:ascii="Arial" w:cs="Arial" w:eastAsia="宋体" w:hAnsi="Arial"/>
          <w:sz w:val="22"/>
          <w:szCs w:val="24"/>
        </w:rPr>
        <w:t>垃圾转运站所在的具体乡镇政府和村委会安排人员参与</w:t>
      </w:r>
      <w:r>
        <w:rPr>
          <w:rFonts w:ascii="Arial" w:cs="Arial" w:eastAsia="宋体" w:hAnsi="Arial"/>
          <w:sz w:val="22"/>
        </w:rPr>
        <w:t>。工作小组的人数根据项目征地和拆迁的规模各不相同，通常在5-10人，大项目参与的人员更多。涉及房屋拆迁的，由工作小组根据法定流程聘请第三方评估公司，开展房屋评估，出具评估报告，其中包括房屋资产在评估时的市场价格。总体流程是先有项目实施单位向自然资源局委托土地征收服务，由自然资源部门进行土地征收公告，然后启动土地实物调查登记和评估，同时启动社会稳定风险评估，随后对实物调查结果进行公示和依申诉复核，再进行最终公示，另外此时还要对土地补偿安置方案进行公告，然后则可以启动预征地协议的谈判和签署，完成后将资料报送省级自然资源部门审批，批复后，由实施机构依据补偿协议将资金支付给县财政局（土地补偿部分）和</w:t>
      </w:r>
      <w:r>
        <w:rPr>
          <w:rFonts w:ascii="Arial" w:cs="Arial" w:eastAsia="宋体" w:hAnsi="Arial"/>
          <w:sz w:val="22"/>
          <w:lang w:bidi="en-US"/>
        </w:rPr>
        <w:t>人力资源与社会保障局（养老保险部分），</w:t>
      </w:r>
      <w:r>
        <w:rPr>
          <w:rFonts w:ascii="Arial" w:cs="Arial" w:eastAsia="宋体" w:hAnsi="Arial"/>
          <w:sz w:val="22"/>
        </w:rPr>
        <w:t>由财政支付给农户，且社保局负责按政策和与农户达成的协议办理养老保险。</w:t>
      </w:r>
    </w:p>
    <w:p>
      <w:pPr>
        <w:pStyle w:val="style179"/>
        <w:numPr>
          <w:ilvl w:val="1"/>
          <w:numId w:val="19"/>
        </w:numPr>
        <w:adjustRightInd w:val="false"/>
        <w:snapToGrid w:val="false"/>
        <w:spacing w:before="120" w:after="120"/>
        <w:ind w:firstLineChars="0"/>
        <w:rPr>
          <w:rFonts w:ascii="Arial" w:cs="Arial" w:eastAsia="宋体" w:hAnsi="Arial"/>
          <w:b/>
          <w:bCs/>
          <w:sz w:val="22"/>
        </w:rPr>
      </w:pPr>
      <w:r>
        <w:rPr>
          <w:rFonts w:ascii="Arial" w:cs="Arial" w:eastAsia="宋体" w:hAnsi="Arial"/>
          <w:b/>
          <w:bCs/>
          <w:sz w:val="22"/>
        </w:rPr>
        <w:t>设施农用地</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国家、省级自然资源主管部门和农业农村主管部门：</w:t>
      </w:r>
      <w:r>
        <w:rPr>
          <w:rFonts w:ascii="Arial" w:cs="Arial" w:eastAsia="宋体" w:hAnsi="Arial"/>
          <w:sz w:val="22"/>
          <w:lang w:bidi="en-US"/>
        </w:rPr>
        <w:t>负责通过各种技术手段进行设施农业用地监管；</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市级自然资源主管部门和农业农村主管部门：</w:t>
      </w:r>
      <w:r>
        <w:rPr>
          <w:rFonts w:ascii="Arial" w:cs="Arial" w:eastAsia="宋体" w:hAnsi="Arial"/>
          <w:sz w:val="22"/>
          <w:lang w:bidi="en-US"/>
        </w:rPr>
        <w:t xml:space="preserve">承担设施农用地管理的监督指导责任，建立健全巡查制度，全面落实设施农用地监管，按年度向省级主管部门上报设施农用地备案信息。 </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b/>
          <w:bCs/>
          <w:sz w:val="22"/>
          <w:lang w:bidi="en-US"/>
        </w:rPr>
      </w:pPr>
      <w:r>
        <w:rPr>
          <w:rFonts w:ascii="Arial" w:cs="Arial" w:eastAsia="宋体" w:hAnsi="Arial"/>
          <w:b/>
          <w:bCs/>
          <w:sz w:val="22"/>
          <w:lang w:bidi="en-US"/>
        </w:rPr>
        <w:t>县级自然资源主管部门和农业农村主管部门：</w:t>
      </w:r>
      <w:r>
        <w:rPr>
          <w:rFonts w:ascii="Arial" w:cs="Arial" w:eastAsia="宋体" w:hAnsi="Arial"/>
          <w:sz w:val="22"/>
          <w:lang w:bidi="en-US"/>
        </w:rPr>
        <w:t>负责设施农用地日常监管，按照节约集约利用土地要求科学引导设施建设选址，对是否破坏耕作层进行认定，对土地复垦进行验收，按季度将备案信息上报州（市）主管部门。其中自然资源主管部门收到乡镇提供的设施农用地批复文件及相关备案信息后，及时审核并在设施农用地监管平台开展上图入库。按规定做好设施农用地土地年度变更调查；县级农业农村主管部门要加强设施农用地标准的指导。</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b/>
          <w:bCs/>
          <w:sz w:val="22"/>
          <w:lang w:bidi="en-US"/>
        </w:rPr>
      </w:pPr>
      <w:r>
        <w:rPr>
          <w:rFonts w:ascii="Arial" w:cs="Arial" w:eastAsia="宋体" w:hAnsi="Arial"/>
          <w:b/>
          <w:bCs/>
          <w:sz w:val="22"/>
          <w:lang w:bidi="en-US"/>
        </w:rPr>
        <w:t>乡镇人民政府：</w:t>
      </w:r>
      <w:r>
        <w:rPr>
          <w:rFonts w:ascii="Arial" w:cs="Arial" w:eastAsia="宋体" w:hAnsi="Arial"/>
          <w:sz w:val="22"/>
          <w:lang w:bidi="en-US"/>
        </w:rPr>
        <w:t>组织对村集体经济组织和经营者，在县级自然资源主管部门和农业农村主管部门的指导下，依据国土空间规划或土地利用总体规划、农业发展规划、村庄规划，在保护耕地和合理利用土地的前提下，用好自然资源、农业、林业等各类政策，按照设施建设方案，综合施策，合理确定设施建设用地位置、范围。组织农村集体经济组织和经营者做好设施农用地选址并指导完成土地承包经营权流转、用地协议签订，对设施农用地建设过程进行全程跟踪，监督实施土地复垦和交还工作，公开设施农业用地信息。按月将备案信息汇交县级自然资源主管部门和农业农村主管部门。</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b/>
          <w:bCs/>
          <w:sz w:val="22"/>
          <w:lang w:bidi="en-US"/>
        </w:rPr>
      </w:pPr>
      <w:r>
        <w:rPr>
          <w:rFonts w:ascii="Arial" w:cs="Arial" w:eastAsia="宋体" w:hAnsi="Arial" w:hint="eastAsia"/>
          <w:b/>
          <w:bCs/>
          <w:sz w:val="22"/>
          <w:lang w:bidi="en-US"/>
        </w:rPr>
        <w:t>农村集体经济组织：</w:t>
      </w:r>
      <w:r>
        <w:rPr>
          <w:rFonts w:ascii="Arial" w:cs="Arial" w:eastAsia="宋体" w:hAnsi="Arial"/>
          <w:sz w:val="22"/>
          <w:lang w:bidi="en-US"/>
        </w:rPr>
        <w:t>对经营者是否按照协议约定设施农用地建设和落实土地复垦责任进行具体监督，在村级政务公开栏公开设施农用地信息。</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以贵州省施秉县为例</w:t>
      </w:r>
      <w:r>
        <w:rPr>
          <w:rFonts w:ascii="Arial" w:cs="Arial" w:eastAsia="宋体" w:hAnsi="Arial"/>
          <w:sz w:val="22"/>
        </w:rPr>
        <w:t>，设施农业用地由该县自然资源局自然资源保护与国土空间生态修复股（3名工作人员）负责日常管理工作。用地申请人向所在的</w:t>
      </w:r>
      <w:bookmarkStart w:id="510" w:name="_GoBack"/>
      <w:bookmarkEnd w:id="510"/>
      <w:r>
        <w:rPr>
          <w:rFonts w:ascii="Arial" w:cs="Arial" w:eastAsia="宋体" w:hAnsi="Arial"/>
          <w:sz w:val="22"/>
        </w:rPr>
        <w:t>农村集体经济组织（居委会、村委会）提出设施农业用地申请，农村集体经济组织接到用地申请后签订用地协议前，将议定事项在村务公开栏公告不少于10天；用地协议签订后10个工作日内，由经营者或农村集体经济组织将用地协议与设施建设方案向乡镇政府备案；乡镇人民政府收到备案材料后，及时组织水务、环保、交通、林业、世遗、自然资源、农业农村等部门实地踏勘，对项目选址进行合规行性审查并提出选址意见；审核通过后，督促申请人聘请有资质的第三方测绘公司进行土地勘测定界测绘，并完善相关备案材料；乡镇人民政府收到完善资料后下达予以备案的批复，并提供相关备案材料到县自然资源局、农业农村局备案；县自然资源主管部门按相关文件要求将乡镇提供的设施农用地备案资料通过“设施农业用地监管系统”上图入库及备案；县级农业农村部门将相关材料备案。同时，县自然资源局执法大队（7名工作人员）、农业农村主管部门等有关部门对设施农业用地实施动态监管。</w:t>
      </w:r>
    </w:p>
    <w:p>
      <w:pPr>
        <w:pStyle w:val="style179"/>
        <w:numPr>
          <w:ilvl w:val="1"/>
          <w:numId w:val="19"/>
        </w:numPr>
        <w:adjustRightInd w:val="false"/>
        <w:snapToGrid w:val="false"/>
        <w:spacing w:before="120" w:after="120"/>
        <w:ind w:firstLineChars="0"/>
        <w:rPr>
          <w:rFonts w:ascii="Arial" w:cs="Arial" w:eastAsia="宋体" w:hAnsi="Arial"/>
          <w:b/>
          <w:bCs/>
          <w:sz w:val="22"/>
        </w:rPr>
      </w:pPr>
      <w:r>
        <w:rPr>
          <w:rFonts w:ascii="Arial" w:cs="Arial" w:eastAsia="宋体" w:hAnsi="Arial"/>
          <w:b/>
          <w:bCs/>
          <w:sz w:val="22"/>
        </w:rPr>
        <w:t>土地经营权流转</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农业农村部：</w:t>
      </w:r>
      <w:r>
        <w:rPr>
          <w:rFonts w:ascii="Arial" w:cs="Arial" w:eastAsia="宋体" w:hAnsi="Arial"/>
          <w:sz w:val="22"/>
          <w:lang w:bidi="en-US"/>
        </w:rPr>
        <w:t>负责全国土地经营权流转及流转合同管理的指导。</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县级以上地方人民政府农业农村主管（农村经营管理）部门：</w:t>
      </w:r>
      <w:r>
        <w:rPr>
          <w:rFonts w:ascii="Arial" w:cs="Arial" w:eastAsia="宋体" w:hAnsi="Arial"/>
          <w:sz w:val="22"/>
          <w:lang w:bidi="en-US"/>
        </w:rPr>
        <w:t>建立健全运行规则，规范开展土地经营权流转政策咨询、信息发布、合同签订、交易鉴证、权益评估、融资担保、档案管理等服务；按照统一标准和技术规范建立国家、省、市、县等互联互通的农村土地承包信息应用平台，健全土地经营权流转合同网签制度，提升土地经营权流转规范化、信息化管理水平；对乡（镇）人民政府农村土地承包管理部门工作的指导；鼓励受让方发展粮食生产；鼓励和引导工商企业等社会资本发展适合企业化经营的现代种养业；根据自然经济条件、农村劳动力转移情况、农业机械化水平等因素，引导受让方发展适度规模经营，防止垒大户；对工商企业等社会资本流转土地经营权，依法建立分级资格审查和项目审核制度；建立工商企业等社会资本通过流转取得土地经营权的风险防范制度，加强事中事后监管，及时查处纠正违法违规行为；</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乡（镇）人民政府：</w:t>
      </w:r>
      <w:r>
        <w:rPr>
          <w:rFonts w:ascii="Arial" w:cs="Arial" w:eastAsia="宋体" w:hAnsi="Arial"/>
          <w:sz w:val="22"/>
          <w:lang w:bidi="en-US"/>
        </w:rPr>
        <w:t>负责本行政区域内土地经营权流转及流转合同管理。包括向达成流转意向的双方提供统一文本格式的流转合同，并指导签订；流转合同中有违反法律法规的，应当及时予以纠正；建立土地经营权流转台账，及时准确记载流转情况；对土地经营权流转有关文件、资料及流转合同等进行归档并妥善保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以广西资源县为例</w:t>
      </w:r>
      <w:r>
        <w:rPr>
          <w:rFonts w:ascii="Arial" w:cs="Arial" w:eastAsia="宋体" w:hAnsi="Arial"/>
          <w:sz w:val="22"/>
        </w:rPr>
        <w:t>，在乡镇层面，乡镇人民政府负责对农户土地流转申请、土地权属证明等材料进行核验，排除项目风险，</w:t>
      </w:r>
      <w:r>
        <w:rPr>
          <w:rFonts w:ascii="Arial" w:cs="Arial" w:eastAsia="宋体" w:hAnsi="Arial"/>
          <w:sz w:val="22"/>
          <w:szCs w:val="24"/>
        </w:rPr>
        <w:t>提供交易指导并将转出申请上报数据登记上报资源县农村产权流转交易中心</w:t>
      </w:r>
      <w:r>
        <w:rPr>
          <w:rFonts w:ascii="Arial" w:cs="Arial" w:eastAsia="宋体" w:hAnsi="Arial"/>
          <w:sz w:val="22"/>
        </w:rPr>
        <w:t>。县农村产权流转交易中心根据收到的信息发布土地流转信息，同时接收受让申请，审查受让方资格，并在收取交易保证金后组织供需双方进行交易；交易项目成交后，交易中心组织交易双方签订规范合同，进行价款结算，向出让方和受让方出具交易鉴证书，并将成交情况在交易中心公告。在市级、自治区级层面，负责数据汇集级监测，并提供培训等。同时，各级金融办、纪委、农业相关主管部门负责对土地经营权流转进行监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：国内已建立起一套成熟的土地征收、设施农业用地、土地经营权流转管理机构，各管理措施均有对应的机构安排，由县自然资源局领导，各乡镇和村社共同参与管理，责任明确，且《土地管理法》</w:t>
      </w:r>
      <w:r>
        <w:rPr>
          <w:rFonts w:ascii="Arial" w:cs="Arial" w:eastAsia="宋体" w:hAnsi="Arial"/>
          <w:sz w:val="22"/>
          <w:szCs w:val="24"/>
        </w:rPr>
        <w:t>要求项目征地和移民应先补偿后用地</w:t>
      </w:r>
      <w:r>
        <w:rPr>
          <w:rFonts w:ascii="Arial" w:cs="Arial" w:eastAsia="宋体" w:hAnsi="Arial"/>
          <w:sz w:val="22"/>
        </w:rPr>
        <w:t>，并由财政和审计确保相关预算并进行定期审核。此外，在调查过程中，相关部门每年都要实施或参与实施不同类型项目的征地或占地、设施农业用地、土地经营权流转、补偿与安置工作，相关经验丰富，能够有效实施和管理土地征收补偿工作，与世行政策原则4的要求一致。</w:t>
      </w:r>
    </w:p>
    <w:p>
      <w:pPr>
        <w:pStyle w:val="style179"/>
        <w:numPr>
          <w:ilvl w:val="1"/>
          <w:numId w:val="19"/>
        </w:numPr>
        <w:adjustRightInd w:val="false"/>
        <w:snapToGrid w:val="false"/>
        <w:spacing w:before="120" w:after="120"/>
        <w:ind w:firstLineChars="0"/>
        <w:rPr>
          <w:rFonts w:ascii="Arial" w:cs="Arial" w:eastAsia="宋体" w:hAnsi="Arial"/>
          <w:bCs/>
          <w:sz w:val="22"/>
        </w:rPr>
      </w:pPr>
      <w:r>
        <w:rPr>
          <w:rFonts w:ascii="Arial" w:cs="Arial" w:eastAsia="宋体" w:hAnsi="Arial"/>
          <w:b/>
          <w:bCs/>
          <w:sz w:val="22"/>
        </w:rPr>
        <w:t>生计恢复</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sz w:val="22"/>
        </w:rPr>
        <w:t>生计恢复措施实施的机构较灵活，包括农业安置、重新择业安置、入股分红安置、异地安置、社会保障安置等安置方式，各种方式对应的组织管理机构不尽相同。其中，</w:t>
      </w:r>
      <w:r>
        <w:rPr>
          <w:rFonts w:ascii="Arial" w:cs="Arial" w:eastAsia="宋体" w:hAnsi="Arial"/>
          <w:b/>
          <w:bCs/>
          <w:sz w:val="22"/>
        </w:rPr>
        <w:t>农业生产安置：</w:t>
      </w:r>
      <w:r>
        <w:rPr>
          <w:rFonts w:ascii="Arial" w:cs="Arial" w:eastAsia="宋体" w:hAnsi="Arial"/>
          <w:sz w:val="22"/>
        </w:rPr>
        <w:t>通常由本集体经济组织，根据本组织的土地情况和村民集体意愿来确定，如本集体有未分配的土地，集体经济组织可自行决定是否可以分配给被征地影响农户，如本集体没有未分配土地，可以通过村民大会讨论决定，是否要进行土地调整。</w:t>
      </w:r>
      <w:r>
        <w:rPr>
          <w:rFonts w:ascii="Arial" w:cs="Arial" w:eastAsia="宋体" w:hAnsi="Arial"/>
          <w:b/>
          <w:bCs/>
          <w:sz w:val="22"/>
        </w:rPr>
        <w:t>重新择业安置：</w:t>
      </w:r>
      <w:r>
        <w:rPr>
          <w:rFonts w:ascii="Arial" w:cs="Arial" w:eastAsia="宋体" w:hAnsi="Arial"/>
          <w:sz w:val="22"/>
        </w:rPr>
        <w:t>由受影响农户根据自己的需求决定，由县级劳动就业部门提供各种免费培训，并提供就业招聘支持。</w:t>
      </w:r>
      <w:r>
        <w:rPr>
          <w:rFonts w:ascii="Arial" w:cs="Arial" w:eastAsia="宋体" w:hAnsi="Arial"/>
          <w:b/>
          <w:bCs/>
          <w:sz w:val="22"/>
        </w:rPr>
        <w:t>入股分红安置：</w:t>
      </w:r>
      <w:r>
        <w:rPr>
          <w:rFonts w:ascii="Arial" w:cs="Arial" w:eastAsia="宋体" w:hAnsi="Arial"/>
          <w:sz w:val="22"/>
        </w:rPr>
        <w:t>由项目单位判断是否可行，并与受征地影响农户协商确定。</w:t>
      </w:r>
      <w:r>
        <w:rPr>
          <w:rFonts w:ascii="Arial" w:cs="Arial" w:eastAsia="宋体" w:hAnsi="Arial"/>
          <w:b/>
          <w:bCs/>
          <w:sz w:val="22"/>
        </w:rPr>
        <w:t>异地安置：</w:t>
      </w:r>
      <w:r>
        <w:rPr>
          <w:rFonts w:ascii="Arial" w:cs="Arial" w:eastAsia="宋体" w:hAnsi="Arial"/>
          <w:sz w:val="22"/>
        </w:rPr>
        <w:t>由农户提出要求，地方政府判断是否可行，并与受征地影响农户及接收该农户的集体经济组织协商后实施。</w:t>
      </w:r>
      <w:r>
        <w:rPr>
          <w:rFonts w:ascii="Arial" w:cs="Arial" w:eastAsia="宋体" w:hAnsi="Arial" w:hint="eastAsia"/>
          <w:b/>
          <w:bCs/>
          <w:sz w:val="22"/>
        </w:rPr>
        <w:t>被征地</w:t>
      </w:r>
      <w:r>
        <w:rPr>
          <w:rFonts w:ascii="Arial" w:cs="Arial" w:eastAsia="宋体" w:hAnsi="Arial"/>
          <w:b/>
          <w:bCs/>
          <w:sz w:val="22"/>
        </w:rPr>
        <w:t>农民社会保障安置：</w:t>
      </w:r>
      <w:r>
        <w:rPr>
          <w:rFonts w:ascii="Arial" w:cs="Arial" w:eastAsia="宋体" w:hAnsi="Arial"/>
          <w:sz w:val="22"/>
        </w:rPr>
        <w:t>由县级</w:t>
      </w:r>
      <w:r>
        <w:rPr>
          <w:rFonts w:ascii="Arial" w:cs="Arial" w:eastAsia="宋体" w:hAnsi="Arial" w:hint="eastAsia"/>
          <w:sz w:val="22"/>
        </w:rPr>
        <w:t>人力资源和</w:t>
      </w:r>
      <w:r>
        <w:rPr>
          <w:rFonts w:ascii="Arial" w:cs="Arial" w:eastAsia="宋体" w:hAnsi="Arial"/>
          <w:sz w:val="22"/>
        </w:rPr>
        <w:t xml:space="preserve">社会保障部门组织实施，征地所在乡镇和村社配合。在第4.4.4节结合现场考察和咨询的结果，对生计恢复进行了详细的讨论，包括案例分享。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生计恢复是征地拆迁与安置工作的一部分。不同的生计恢复措施涉及的实施部门各不相同，如村集体、政府社保部门、就业部门、企业等，基本上各部门之间的职责分工明确。政府财政资金对生计恢复措施的落实提供保障，同时不同的生计恢复措施，资金来源存在差异，</w:t>
      </w:r>
      <w:r>
        <w:rPr>
          <w:rFonts w:ascii="Arial" w:cs="Arial" w:eastAsia="宋体" w:hAnsi="Arial"/>
          <w:sz w:val="22"/>
          <w:szCs w:val="24"/>
        </w:rPr>
        <w:t>例如入股分红由用地单位与村委会或农户达成协议</w:t>
      </w:r>
      <w:r>
        <w:rPr>
          <w:rFonts w:ascii="Arial" w:cs="Arial" w:eastAsia="宋体" w:hAnsi="Arial"/>
          <w:sz w:val="22"/>
        </w:rPr>
        <w:t>，按约定分红，但生计恢复的措施、部门安排和资金保障都在法规上有规定，并在实践中各部门具有丰富的实施经验，各地均能按地方特色落实生计恢复措施，与世行政策原则4中要素9的要求一致。</w:t>
      </w:r>
    </w:p>
    <w:bookmarkStart w:id="511" w:name="_Toc86683191"/>
    <w:bookmarkStart w:id="512" w:name="_Toc93944826"/>
    <w:bookmarkStart w:id="513" w:name="_Toc90729532"/>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公众安全、劳动者健康安全和应急管理机构</w:t>
      </w:r>
      <w:bookmarkEnd w:id="511"/>
      <w:bookmarkEnd w:id="512"/>
      <w:bookmarkEnd w:id="513"/>
    </w:p>
    <w:p>
      <w:pPr>
        <w:pStyle w:val="style179"/>
        <w:adjustRightInd w:val="false"/>
        <w:snapToGrid w:val="false"/>
        <w:spacing w:before="120" w:after="120"/>
        <w:ind w:left="504" w:firstLine="0" w:firstLineChars="0"/>
        <w:rPr>
          <w:rFonts w:ascii="Arial" w:cs="Arial" w:eastAsia="宋体" w:hAnsi="Arial"/>
          <w:sz w:val="22"/>
        </w:rPr>
      </w:pPr>
      <w:r>
        <w:rPr>
          <w:rFonts w:ascii="Arial" w:cs="Arial" w:eastAsia="宋体" w:hAnsi="Arial"/>
          <w:b/>
          <w:bCs/>
          <w:sz w:val="22"/>
        </w:rPr>
        <w:t>1）劳动者健康安全</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国家卫</w:t>
      </w:r>
      <w:r>
        <w:rPr>
          <w:rFonts w:ascii="Arial" w:cs="Arial" w:eastAsia="宋体" w:hAnsi="Arial" w:hint="eastAsia"/>
          <w:b/>
          <w:bCs/>
          <w:sz w:val="22"/>
        </w:rPr>
        <w:t>生</w:t>
      </w:r>
      <w:r>
        <w:rPr>
          <w:rFonts w:ascii="Arial" w:cs="Arial" w:eastAsia="宋体" w:hAnsi="Arial"/>
          <w:b/>
          <w:bCs/>
          <w:sz w:val="22"/>
        </w:rPr>
        <w:t>健</w:t>
      </w:r>
      <w:r>
        <w:rPr>
          <w:rFonts w:ascii="Arial" w:cs="Arial" w:eastAsia="宋体" w:hAnsi="Arial" w:hint="eastAsia"/>
          <w:b/>
          <w:bCs/>
          <w:sz w:val="22"/>
        </w:rPr>
        <w:t>康</w:t>
      </w:r>
      <w:r>
        <w:rPr>
          <w:rFonts w:ascii="Arial" w:cs="Arial" w:eastAsia="宋体" w:hAnsi="Arial"/>
          <w:b/>
          <w:bCs/>
          <w:sz w:val="22"/>
        </w:rPr>
        <w:t>委：</w:t>
      </w:r>
      <w:r>
        <w:rPr>
          <w:rFonts w:ascii="Arial" w:cs="Arial" w:eastAsia="宋体" w:hAnsi="Arial"/>
          <w:sz w:val="22"/>
        </w:rPr>
        <w:t>制定、调整并公布职业病的分类和目录，负责全国职业病防治的监督管理工作。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广西壮族自治区和贵州省卫</w:t>
      </w:r>
      <w:r>
        <w:rPr>
          <w:rFonts w:ascii="Arial" w:cs="Arial" w:eastAsia="宋体" w:hAnsi="Arial" w:hint="eastAsia"/>
          <w:b/>
          <w:bCs/>
          <w:sz w:val="22"/>
        </w:rPr>
        <w:t>生</w:t>
      </w:r>
      <w:r>
        <w:rPr>
          <w:rFonts w:ascii="Arial" w:cs="Arial" w:eastAsia="宋体" w:hAnsi="Arial"/>
          <w:b/>
          <w:bCs/>
          <w:sz w:val="22"/>
        </w:rPr>
        <w:t>健</w:t>
      </w:r>
      <w:r>
        <w:rPr>
          <w:rFonts w:ascii="Arial" w:cs="Arial" w:eastAsia="宋体" w:hAnsi="Arial" w:hint="eastAsia"/>
          <w:b/>
          <w:bCs/>
          <w:sz w:val="22"/>
        </w:rPr>
        <w:t>康</w:t>
      </w:r>
      <w:r>
        <w:rPr>
          <w:rFonts w:ascii="Arial" w:cs="Arial" w:eastAsia="宋体" w:hAnsi="Arial"/>
          <w:b/>
          <w:bCs/>
          <w:sz w:val="22"/>
        </w:rPr>
        <w:t>委</w:t>
      </w:r>
      <w:r>
        <w:rPr>
          <w:rFonts w:ascii="Arial" w:cs="Arial" w:eastAsia="宋体" w:hAnsi="Arial"/>
          <w:sz w:val="22"/>
        </w:rPr>
        <w:t>：</w:t>
      </w:r>
      <w:r>
        <w:rPr>
          <w:rFonts w:ascii="Arial" w:cs="Arial" w:eastAsia="宋体" w:hAnsi="Arial" w:hint="eastAsia"/>
          <w:sz w:val="22"/>
        </w:rPr>
        <w:t>按照《职业病防治法》规定的职责范围，</w:t>
      </w:r>
      <w:r>
        <w:rPr>
          <w:rFonts w:ascii="Arial" w:cs="Arial" w:eastAsia="宋体" w:hAnsi="Arial"/>
          <w:sz w:val="22"/>
        </w:rPr>
        <w:t>负责全省</w:t>
      </w:r>
      <w:r>
        <w:rPr>
          <w:rFonts w:ascii="Arial" w:cs="Arial" w:eastAsia="宋体" w:hAnsi="Arial" w:hint="eastAsia"/>
          <w:sz w:val="22"/>
        </w:rPr>
        <w:t>职业病防治的监督管理，包括制定、组织实施职业病相关的地方性规章制度；开展重点职业病监测和职业健康管理、风险评估工作；承担职业卫生和放射卫生技术服务、职业健康检查、职业病诊断技术支撑体系建设和监督管理工作；协调开展职业病防治工作</w:t>
      </w:r>
      <w:r>
        <w:rPr>
          <w:rFonts w:ascii="Arial" w:cs="Arial" w:eastAsia="宋体" w:hAnsi="Arial"/>
          <w:sz w:val="22"/>
        </w:rPr>
        <w:t>。</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市、县卫生健康主管部门：</w:t>
      </w:r>
      <w:r>
        <w:rPr>
          <w:rFonts w:ascii="Arial" w:cs="Arial" w:eastAsia="宋体" w:hAnsi="Arial" w:hint="eastAsia"/>
          <w:sz w:val="22"/>
        </w:rPr>
        <w:t>按照《职业病防治法》规定的职责范围，</w:t>
      </w:r>
      <w:r>
        <w:rPr>
          <w:rFonts w:ascii="Arial" w:cs="Arial" w:eastAsia="宋体" w:hAnsi="Arial"/>
          <w:sz w:val="22"/>
        </w:rPr>
        <w:t>负责本辖区职业健康</w:t>
      </w:r>
      <w:r>
        <w:rPr>
          <w:rFonts w:ascii="Arial" w:cs="Arial" w:eastAsia="宋体" w:hAnsi="Arial" w:hint="eastAsia"/>
          <w:sz w:val="22"/>
        </w:rPr>
        <w:t>防治工作</w:t>
      </w:r>
      <w:r>
        <w:rPr>
          <w:rFonts w:ascii="Arial" w:cs="Arial" w:eastAsia="宋体" w:hAnsi="Arial"/>
          <w:sz w:val="22"/>
        </w:rPr>
        <w:t>的监督管理，</w:t>
      </w:r>
      <w:r>
        <w:rPr>
          <w:rFonts w:ascii="Arial" w:cs="Arial" w:eastAsia="宋体" w:hAnsi="Arial" w:hint="eastAsia"/>
          <w:sz w:val="22"/>
        </w:rPr>
        <w:t>协调开展职业病防治工作。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卫生健康监督机构：</w:t>
      </w:r>
      <w:r>
        <w:rPr>
          <w:rFonts w:ascii="Arial" w:cs="Arial" w:eastAsia="宋体" w:hAnsi="Arial" w:hint="eastAsia"/>
          <w:sz w:val="22"/>
        </w:rPr>
        <w:t>受上级卫生健康行政部门委托，依据职业卫生相关法律、法规、规章及其确定的监管事项清单，对有关职业健康技术服务机构技术服务行为和用人单位职业卫生工作进行监督执法。</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人力资源和社会保障</w:t>
      </w:r>
      <w:r>
        <w:rPr>
          <w:rFonts w:ascii="Arial" w:cs="Arial" w:eastAsia="宋体" w:hAnsi="Arial"/>
          <w:b/>
          <w:bCs/>
          <w:sz w:val="22"/>
        </w:rPr>
        <w:t>部门:</w:t>
      </w:r>
      <w:r>
        <w:rPr>
          <w:rFonts w:ascii="Arial" w:cs="Arial" w:eastAsia="宋体" w:hAnsi="Arial"/>
          <w:sz w:val="22"/>
        </w:rPr>
        <w:t>负责工伤保险管理和理赔。</w:t>
      </w:r>
    </w:p>
    <w:p>
      <w:pPr>
        <w:pStyle w:val="style179"/>
        <w:numPr>
          <w:ilvl w:val="0"/>
          <w:numId w:val="18"/>
        </w:numPr>
        <w:adjustRightInd w:val="false"/>
        <w:snapToGrid w:val="false"/>
        <w:spacing w:before="120" w:after="120"/>
        <w:ind w:firstLineChars="0"/>
        <w:rPr>
          <w:rFonts w:ascii="Arial" w:cs="Arial" w:eastAsia="宋体" w:hAnsi="Arial"/>
          <w:sz w:val="22"/>
        </w:rPr>
      </w:pPr>
      <w:r>
        <w:rPr>
          <w:rFonts w:ascii="Arial" w:cs="Arial" w:eastAsia="宋体" w:hAnsi="Arial"/>
          <w:b/>
          <w:bCs/>
          <w:sz w:val="22"/>
        </w:rPr>
        <w:t>市县劳动行政部门</w:t>
      </w:r>
      <w:r>
        <w:rPr>
          <w:rFonts w:ascii="Arial" w:cs="Arial" w:eastAsia="宋体" w:hAnsi="Arial"/>
          <w:sz w:val="22"/>
        </w:rPr>
        <w:t>：与工会和企业方面代表协调劳动关系三方机制，共同研究解决有关劳动关系的重大问题。</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color w:val="333333"/>
          <w:kern w:val="0"/>
          <w:sz w:val="22"/>
          <w:shd w:val="clear" w:color="auto" w:fill="ffffff"/>
        </w:rPr>
        <w:t>职业健康检查机构：</w:t>
      </w:r>
      <w:r>
        <w:rPr>
          <w:rFonts w:ascii="Arial" w:cs="Arial" w:eastAsia="宋体" w:hAnsi="Arial"/>
          <w:sz w:val="22"/>
        </w:rPr>
        <w:t>开展职业健康检查的机构为</w:t>
      </w:r>
      <w:r>
        <w:rPr>
          <w:rFonts w:ascii="Arial" w:cs="Arial" w:eastAsia="宋体" w:hAnsi="Arial"/>
          <w:color w:val="333333"/>
          <w:kern w:val="0"/>
          <w:sz w:val="22"/>
          <w:shd w:val="clear" w:color="auto" w:fill="ffffff"/>
        </w:rPr>
        <w:t>取得《医疗机构执业许可证》并在省级卫健委备案的医疗卫生机构，应具有与备案开展的职业健康检查类别和项目相适应的执业医师、护士等医疗卫生技术人员；至少具有1名取得职业病诊断资格的执业医师等条件</w:t>
      </w:r>
      <w:r>
        <w:rPr>
          <w:rFonts w:ascii="Arial" w:cs="Arial" w:eastAsia="宋体" w:hAnsi="Arial"/>
          <w:color w:val="333333"/>
          <w:sz w:val="22"/>
        </w:rPr>
        <w:t>。</w:t>
      </w:r>
    </w:p>
    <w:p>
      <w:pPr>
        <w:pStyle w:val="style179"/>
        <w:numPr>
          <w:ilvl w:val="0"/>
          <w:numId w:val="18"/>
        </w:numPr>
        <w:adjustRightInd w:val="false"/>
        <w:snapToGrid w:val="false"/>
        <w:spacing w:before="120" w:after="120"/>
        <w:ind w:firstLineChars="0"/>
        <w:rPr>
          <w:rFonts w:ascii="Arial" w:cs="Arial" w:eastAsia="宋体" w:hAnsi="Arial"/>
          <w:sz w:val="22"/>
        </w:rPr>
      </w:pPr>
      <w:r>
        <w:rPr>
          <w:rStyle w:val="style87"/>
          <w:rFonts w:ascii="Arial" w:cs="Arial" w:eastAsia="宋体" w:hAnsi="Arial"/>
          <w:sz w:val="22"/>
        </w:rPr>
        <w:t>工会：</w:t>
      </w:r>
      <w:r>
        <w:rPr>
          <w:rFonts w:ascii="Arial" w:cs="Arial" w:eastAsia="宋体" w:hAnsi="Arial"/>
          <w:sz w:val="22"/>
        </w:rPr>
        <w:t>工会帮助、指导劳动者与用人单位依法订立和履行劳动合同，并与用人单位建立集体协商机制，维护劳动者的合法权益；</w:t>
      </w:r>
    </w:p>
    <w:p>
      <w:pPr>
        <w:pStyle w:val="style179"/>
        <w:numPr>
          <w:ilvl w:val="0"/>
          <w:numId w:val="18"/>
        </w:numPr>
        <w:adjustRightInd w:val="false"/>
        <w:snapToGrid w:val="false"/>
        <w:spacing w:before="120" w:after="120"/>
        <w:ind w:firstLineChars="0"/>
        <w:rPr>
          <w:rFonts w:ascii="Arial" w:cs="Arial" w:eastAsia="宋体" w:hAnsi="Arial"/>
          <w:sz w:val="22"/>
        </w:rPr>
      </w:pPr>
      <w:r>
        <w:rPr>
          <w:rFonts w:ascii="Arial" w:cs="Arial" w:eastAsia="宋体" w:hAnsi="Arial"/>
          <w:b/>
          <w:bCs/>
          <w:sz w:val="22"/>
        </w:rPr>
        <w:t>妇联：</w:t>
      </w:r>
      <w:r>
        <w:rPr>
          <w:rFonts w:ascii="Arial" w:cs="Arial" w:eastAsia="宋体" w:hAnsi="Arial"/>
          <w:sz w:val="22"/>
        </w:rPr>
        <w:t>县级以上妇联为负责妇女儿童工作的机构，负责协调有关部门做好妇女权益的保障工作。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各县市的卫健委的科室设置比较类似。以贵州省施秉县为例，该县卫生工作主要通过卫健委的三个机构来管理：1）</w:t>
      </w:r>
      <w:r>
        <w:rPr>
          <w:rFonts w:ascii="Arial" w:cs="Arial" w:eastAsia="宋体" w:hAnsi="Arial"/>
          <w:sz w:val="22"/>
          <w:szCs w:val="24"/>
        </w:rPr>
        <w:t>职业卫生监督执法大队</w:t>
      </w:r>
      <w:r>
        <w:rPr>
          <w:rFonts w:ascii="Arial" w:cs="Arial" w:eastAsia="宋体" w:hAnsi="Arial"/>
          <w:sz w:val="22"/>
        </w:rPr>
        <w:t>，2）疾病预防控制中心，3）县人民医院（职业健康体检）。</w:t>
      </w:r>
    </w:p>
    <w:p>
      <w:pPr>
        <w:pStyle w:val="style179"/>
        <w:numPr>
          <w:ilvl w:val="0"/>
          <w:numId w:val="20"/>
        </w:numPr>
        <w:adjustRightInd w:val="false"/>
        <w:snapToGrid w:val="false"/>
        <w:spacing w:before="120" w:after="120"/>
        <w:ind w:firstLineChars="0"/>
        <w:rPr>
          <w:rFonts w:ascii="Arial" w:cs="Arial" w:eastAsia="宋体" w:hAnsi="Arial"/>
          <w:sz w:val="22"/>
        </w:rPr>
      </w:pPr>
      <w:r>
        <w:rPr>
          <w:rFonts w:ascii="Arial" w:cs="Arial" w:eastAsia="宋体" w:hAnsi="Arial"/>
          <w:sz w:val="22"/>
        </w:rPr>
        <w:t>职业卫生监督执法大队2人，对辖区内企业进行随机抽查，通常是一年一次，监督企业是否根据规定在“全国有毒有害申报系统”进行主动申报。对未申报的，或者申报后存在得到，提出处罚和整改意见；</w:t>
      </w:r>
    </w:p>
    <w:p>
      <w:pPr>
        <w:pStyle w:val="style179"/>
        <w:numPr>
          <w:ilvl w:val="0"/>
          <w:numId w:val="20"/>
        </w:numPr>
        <w:adjustRightInd w:val="false"/>
        <w:snapToGrid w:val="false"/>
        <w:spacing w:before="120" w:after="120"/>
        <w:ind w:firstLineChars="0"/>
        <w:rPr>
          <w:rFonts w:ascii="Arial" w:cs="Arial" w:eastAsia="宋体" w:hAnsi="Arial"/>
          <w:sz w:val="22"/>
        </w:rPr>
      </w:pPr>
      <w:r>
        <w:rPr>
          <w:rFonts w:ascii="Arial" w:cs="Arial" w:eastAsia="宋体" w:hAnsi="Arial"/>
          <w:sz w:val="22"/>
        </w:rPr>
        <w:t xml:space="preserve">疾控中心2人，对企业的危害因素按照毒物种类分类（分五类，尘肺类、化学性、生物性、物理因素、放射性）。根据分类，每年对具有职业健康风险的企业进行检查。 </w:t>
      </w:r>
    </w:p>
    <w:p>
      <w:pPr>
        <w:pStyle w:val="style179"/>
        <w:numPr>
          <w:ilvl w:val="0"/>
          <w:numId w:val="20"/>
        </w:numPr>
        <w:adjustRightInd w:val="false"/>
        <w:snapToGrid w:val="false"/>
        <w:spacing w:before="120" w:after="120"/>
        <w:ind w:firstLineChars="0"/>
        <w:rPr>
          <w:rFonts w:ascii="Arial" w:cs="Arial" w:eastAsia="宋体" w:hAnsi="Arial"/>
          <w:sz w:val="22"/>
        </w:rPr>
      </w:pPr>
      <w:r>
        <w:rPr>
          <w:rFonts w:ascii="Arial" w:cs="Arial" w:eastAsia="宋体" w:hAnsi="Arial"/>
          <w:sz w:val="22"/>
        </w:rPr>
        <w:t>县人民医院，要求有毒有害因素企业和相关岗位的员工，在上岗前、在岗、离岗时均应开展职业健康体检。有问题的，书面告知企业和本人，企业不上岗，或者在岗患病的，企业要调岗，治疗。</w:t>
      </w:r>
    </w:p>
    <w:p>
      <w:pPr>
        <w:pStyle w:val="style0"/>
        <w:adjustRightInd w:val="false"/>
        <w:snapToGrid w:val="false"/>
        <w:spacing w:before="120" w:after="120"/>
        <w:ind w:left="499"/>
        <w:rPr>
          <w:rFonts w:ascii="Arial" w:cs="Arial" w:eastAsia="宋体" w:hAnsi="Arial"/>
          <w:b/>
          <w:bCs/>
          <w:sz w:val="22"/>
        </w:rPr>
      </w:pPr>
      <w:r>
        <w:rPr>
          <w:rFonts w:ascii="Arial" w:cs="Arial" w:eastAsia="宋体" w:hAnsi="Arial"/>
          <w:b/>
          <w:bCs/>
          <w:sz w:val="22"/>
        </w:rPr>
        <w:t>2）社区安全管理</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生产经营单位</w:t>
      </w:r>
      <w:r>
        <w:rPr>
          <w:rFonts w:ascii="Arial" w:cs="Arial" w:eastAsia="宋体" w:hAnsi="Arial"/>
          <w:sz w:val="22"/>
        </w:rPr>
        <w:t>：主要负责人对本单位的安全生产工作全面负责，工会依法对安全生产工作进行监督。</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危险物品的生产、经营、储存单位</w:t>
      </w:r>
      <w:r>
        <w:rPr>
          <w:rFonts w:ascii="Arial" w:cs="Arial" w:eastAsia="宋体" w:hAnsi="Arial"/>
          <w:sz w:val="22"/>
        </w:rPr>
        <w:t>：设置安全生产管理机构或者配备专职安全生产管理人员。</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安全监督部门：</w:t>
      </w:r>
      <w:r>
        <w:rPr>
          <w:rFonts w:ascii="Arial" w:cs="Arial" w:eastAsia="宋体" w:hAnsi="Arial"/>
          <w:sz w:val="22"/>
        </w:rPr>
        <w:t>安全监督等</w:t>
      </w:r>
      <w:r>
        <w:rPr>
          <w:rFonts w:ascii="Arial" w:cs="Arial" w:eastAsia="宋体" w:hAnsi="Arial"/>
          <w:color w:val="333333"/>
          <w:sz w:val="22"/>
          <w:shd w:val="clear" w:color="auto" w:fill="ffffff"/>
        </w:rPr>
        <w:t>具有公共事务管理职能的事业组织，受县级以上人民政府安全生产监督管理部门的委托，开展有关安全生产行政执法活动。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广西壮族自治区和贵州省安全生产都实行“生产经营单位负责、职工参与、政府监管、行业自律和社会监督”的机制，</w:t>
      </w:r>
      <w:r>
        <w:rPr>
          <w:rFonts w:ascii="Arial" w:cs="Arial" w:eastAsia="宋体" w:hAnsi="Arial"/>
          <w:sz w:val="22"/>
          <w:szCs w:val="24"/>
        </w:rPr>
        <w:t>将安全知识普及纳入国民教育</w:t>
      </w:r>
      <w:r>
        <w:rPr>
          <w:rFonts w:ascii="Arial" w:cs="Arial" w:eastAsia="宋体" w:hAnsi="Arial"/>
          <w:sz w:val="22"/>
        </w:rPr>
        <w:t>，并将安全生产监督管理纳入各级领导干部培训内容。</w:t>
      </w:r>
    </w:p>
    <w:p>
      <w:pPr>
        <w:pStyle w:val="style0"/>
        <w:adjustRightInd w:val="false"/>
        <w:snapToGrid w:val="false"/>
        <w:spacing w:before="120" w:after="120"/>
        <w:ind w:left="499"/>
        <w:rPr>
          <w:rFonts w:ascii="Arial" w:cs="Arial" w:eastAsia="宋体" w:hAnsi="Arial"/>
          <w:b/>
          <w:bCs/>
          <w:sz w:val="22"/>
        </w:rPr>
      </w:pPr>
      <w:r>
        <w:rPr>
          <w:rFonts w:ascii="Arial" w:cs="Arial" w:eastAsia="宋体" w:hAnsi="Arial"/>
          <w:b/>
          <w:bCs/>
          <w:sz w:val="22"/>
        </w:rPr>
        <w:t>3）自然灾害应急管理</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省减灾委员会：</w:t>
      </w:r>
      <w:r>
        <w:rPr>
          <w:rFonts w:ascii="Arial" w:cs="Arial" w:eastAsia="宋体" w:hAnsi="Arial"/>
          <w:sz w:val="22"/>
        </w:rPr>
        <w:t>为省人民政府的自然灾害救助应急综合协调机构，办公室设在省应急厅，成员单位包括</w:t>
      </w:r>
      <w:r>
        <w:rPr>
          <w:rFonts w:ascii="Arial" w:cs="Arial" w:eastAsia="宋体" w:hAnsi="Arial"/>
          <w:color w:val="333333"/>
          <w:sz w:val="22"/>
          <w:shd w:val="clear" w:color="auto" w:fill="ffffff"/>
        </w:rPr>
        <w:t>省应急厅、财政厅，以及相关职能部门，如农业农村厅、水利厅、自然资源厅、住房城乡建设厅、生态环境厅统计局、气象局、地震局、卫生健康委、广电局、红十字会通信管理局、消防救援总队</w:t>
      </w:r>
      <w:r>
        <w:rPr>
          <w:rFonts w:ascii="Arial" w:cs="Arial" w:eastAsia="宋体" w:hAnsi="Arial"/>
          <w:sz w:val="22"/>
        </w:rPr>
        <w:t>。根据评估情况决定启动省级救灾预警响应，启动后，省减灾办立即启动工作机制，组织协调预警响应工作，如灾后救助与恢复重建包括过渡期生活救助、冬春救助和倒损住房恢复重建等。</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color w:val="333333"/>
          <w:sz w:val="22"/>
          <w:shd w:val="clear" w:color="auto" w:fill="ffffff"/>
        </w:rPr>
        <w:t>市、县（区）人民政府：</w:t>
      </w:r>
      <w:r>
        <w:rPr>
          <w:rFonts w:ascii="Arial" w:cs="Arial" w:eastAsia="宋体" w:hAnsi="Arial"/>
          <w:color w:val="333333"/>
          <w:sz w:val="22"/>
          <w:shd w:val="clear" w:color="auto" w:fill="ffffff"/>
        </w:rPr>
        <w:t>在发生自然灾害后，视情启动本级自然灾害救助应急预案，</w:t>
      </w:r>
      <w:r>
        <w:rPr>
          <w:rFonts w:ascii="Arial" w:cs="Arial" w:eastAsia="宋体" w:hAnsi="Arial"/>
          <w:sz w:val="22"/>
        </w:rPr>
        <w:t>根据自然灾害预警预报启动本行政区域内的预警响应；对可能出现影响多地的自然灾害，省减灾办将根据相关部门提供的灾害监测预报信息，结合有关地区的自然条件、人口和社会经济情况，进行分析评估，决定启动省级救灾预警响应。</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w:t>
      </w:r>
      <w:r>
        <w:rPr>
          <w:rFonts w:ascii="Arial" w:cs="Arial" w:eastAsia="宋体" w:hAnsi="Arial"/>
          <w:sz w:val="22"/>
          <w:szCs w:val="24"/>
        </w:rPr>
        <w:t>对于自然灾害的管理</w:t>
      </w:r>
      <w:r>
        <w:rPr>
          <w:rFonts w:ascii="Arial" w:cs="Arial" w:eastAsia="宋体" w:hAnsi="Arial"/>
          <w:sz w:val="22"/>
        </w:rPr>
        <w:t>，广西和贵州两省均明确了的部门职责，能够对突发自然灾害实施有效管理，符合世行政策原则3中要素(8)的要求。</w:t>
      </w:r>
    </w:p>
    <w:bookmarkStart w:id="514" w:name="_Toc86683192"/>
    <w:bookmarkStart w:id="515" w:name="_Toc90729533"/>
    <w:bookmarkStart w:id="516" w:name="_Toc93944827"/>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少数民族</w:t>
      </w:r>
      <w:r>
        <w:rPr>
          <w:rFonts w:ascii="Arial" w:cs="Arial" w:eastAsia="宋体" w:hAnsi="Arial" w:hint="eastAsia"/>
          <w:sz w:val="22"/>
          <w:szCs w:val="22"/>
        </w:rPr>
        <w:t>事务</w:t>
      </w:r>
      <w:r>
        <w:rPr>
          <w:rFonts w:ascii="Arial" w:cs="Arial" w:eastAsia="宋体" w:hAnsi="Arial"/>
          <w:sz w:val="22"/>
          <w:szCs w:val="22"/>
        </w:rPr>
        <w:t>管理机构</w:t>
      </w:r>
      <w:bookmarkEnd w:id="514"/>
      <w:bookmarkEnd w:id="515"/>
      <w:bookmarkEnd w:id="516"/>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省民族</w:t>
      </w:r>
      <w:r>
        <w:rPr>
          <w:rFonts w:ascii="Arial" w:cs="Arial" w:eastAsia="宋体" w:hAnsi="Arial" w:hint="eastAsia"/>
          <w:b/>
          <w:bCs/>
          <w:sz w:val="22"/>
        </w:rPr>
        <w:t>工作部门</w:t>
      </w:r>
      <w:r>
        <w:rPr>
          <w:rFonts w:ascii="Arial" w:cs="Arial" w:eastAsia="宋体" w:hAnsi="Arial"/>
          <w:b/>
          <w:bCs/>
          <w:sz w:val="22"/>
        </w:rPr>
        <w:t>：</w:t>
      </w:r>
      <w:r>
        <w:rPr>
          <w:rFonts w:ascii="Arial" w:cs="Arial" w:eastAsia="宋体" w:hAnsi="Arial"/>
          <w:sz w:val="22"/>
        </w:rPr>
        <w:t>负责</w:t>
      </w:r>
      <w:r>
        <w:rPr>
          <w:rFonts w:ascii="Arial" w:cs="Arial" w:eastAsia="宋体" w:hAnsi="Arial" w:hint="eastAsia"/>
          <w:sz w:val="22"/>
        </w:rPr>
        <w:t>协调推动有关部门履行民族工作相关职责，促进民族政策在经济发展和社会事业相关领域的实施、衔接；拟定少数民族事业专项规划并监督检查实施，参与拟定少数民族和民族地区经济社会相关领域的发展规划，促进建立和完善少数民族事业发展综合评价监测体系，推进民族事务服务体系和民族事务管理信息化建设；研究少数民族和民族地区经济发展、社会事业方面的问题，并提出特殊政策建议；参与协调民族地区科技发展和经济技术合作等有关工作；参与拟定少数民族人才队伍建设规划，协助有关部门做好少数民族干部培养教育和使用工作</w:t>
      </w:r>
      <w:r>
        <w:rPr>
          <w:rFonts w:ascii="Arial" w:cs="Arial" w:eastAsia="宋体" w:hAnsi="Arial"/>
          <w:sz w:val="22"/>
        </w:rPr>
        <w:t>。</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市（</w:t>
      </w:r>
      <w:r>
        <w:rPr>
          <w:rFonts w:ascii="Arial" w:cs="Arial" w:eastAsia="宋体" w:hAnsi="Arial"/>
          <w:b/>
          <w:bCs/>
          <w:sz w:val="22"/>
        </w:rPr>
        <w:t>州</w:t>
      </w:r>
      <w:r>
        <w:rPr>
          <w:rFonts w:ascii="Arial" w:cs="Arial" w:eastAsia="宋体" w:hAnsi="Arial" w:hint="eastAsia"/>
          <w:b/>
          <w:bCs/>
          <w:sz w:val="22"/>
        </w:rPr>
        <w:t>）</w:t>
      </w:r>
      <w:r>
        <w:rPr>
          <w:rFonts w:ascii="Arial" w:cs="Arial" w:eastAsia="宋体" w:hAnsi="Arial"/>
          <w:b/>
          <w:bCs/>
          <w:sz w:val="22"/>
        </w:rPr>
        <w:t>民</w:t>
      </w:r>
      <w:r>
        <w:rPr>
          <w:rFonts w:ascii="Arial" w:cs="Arial" w:eastAsia="宋体" w:hAnsi="Arial" w:hint="eastAsia"/>
          <w:b/>
          <w:bCs/>
          <w:sz w:val="22"/>
        </w:rPr>
        <w:t>族工作部门</w:t>
      </w:r>
      <w:r>
        <w:rPr>
          <w:rFonts w:ascii="Arial" w:cs="Arial" w:eastAsia="宋体" w:hAnsi="Arial"/>
          <w:b/>
          <w:bCs/>
          <w:sz w:val="22"/>
        </w:rPr>
        <w:t>：</w:t>
      </w:r>
      <w:r>
        <w:rPr>
          <w:rFonts w:ascii="Arial" w:cs="Arial" w:eastAsia="宋体" w:hAnsi="Arial"/>
          <w:sz w:val="22"/>
        </w:rPr>
        <w:t>贯彻落实民族宗教工作的方针、政策、法律、法规以及省委、省政府和市州委和政府的决策部署；负责起草有关民族宗教事务的地方性法规、规章草案，组织拟订民族宗教相关工作政策、规划，并督促检查落实；指导实施和完善民族区域自治制度建设，保障少数民族的合法权益。参与拟订少数民族干部人才队伍、宗教工作队伍建设规划，研究、管理和指导少数民族干部队伍建设的政策建议。</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县</w:t>
      </w:r>
      <w:r>
        <w:rPr>
          <w:rFonts w:ascii="Arial" w:cs="Arial" w:eastAsia="宋体" w:hAnsi="Arial" w:hint="eastAsia"/>
          <w:b/>
          <w:bCs/>
          <w:sz w:val="22"/>
        </w:rPr>
        <w:t>民族工作部门</w:t>
      </w:r>
      <w:r>
        <w:rPr>
          <w:rFonts w:ascii="Arial" w:cs="Arial" w:eastAsia="宋体" w:hAnsi="Arial"/>
          <w:b/>
          <w:bCs/>
          <w:sz w:val="22"/>
        </w:rPr>
        <w:t>：</w:t>
      </w:r>
      <w:r>
        <w:rPr>
          <w:rFonts w:ascii="Arial" w:cs="Arial" w:eastAsia="宋体" w:hAnsi="Arial"/>
          <w:sz w:val="22"/>
        </w:rPr>
        <w:t>市县少数民族人口身份统计，落实少数民族发展项目申报。负责管理民族干部的培养，拟定每年全县少数民族干部发展指标。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从省、市州到县，对少数民族地区经济社会发展和民族干部培养均明确了部门职责，满足世行政策原则5</w:t>
      </w:r>
      <w:r>
        <w:rPr>
          <w:rFonts w:ascii="Arial" w:cs="Arial" w:eastAsia="宋体" w:hAnsi="Arial"/>
          <w:sz w:val="22"/>
          <w:szCs w:val="24"/>
        </w:rPr>
        <w:t>中的要求</w:t>
      </w:r>
      <w:r>
        <w:rPr>
          <w:rFonts w:ascii="Arial" w:cs="Arial" w:eastAsia="宋体" w:hAnsi="Arial"/>
          <w:sz w:val="22"/>
        </w:rPr>
        <w:t>。</w:t>
      </w:r>
    </w:p>
    <w:bookmarkStart w:id="517" w:name="_Toc86683193"/>
    <w:bookmarkStart w:id="518" w:name="_Toc93944828"/>
    <w:bookmarkStart w:id="519" w:name="_Toc90729534"/>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弱势群体权益保护机构</w:t>
      </w:r>
      <w:bookmarkEnd w:id="517"/>
      <w:bookmarkEnd w:id="518"/>
      <w:bookmarkEnd w:id="519"/>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国家、省、</w:t>
      </w:r>
      <w:r>
        <w:rPr>
          <w:rFonts w:ascii="Arial" w:cs="Arial" w:eastAsia="宋体" w:hAnsi="Arial"/>
          <w:sz w:val="22"/>
          <w:szCs w:val="24"/>
        </w:rPr>
        <w:t>县市均设置了扶贫办</w:t>
      </w:r>
      <w:r>
        <w:rPr>
          <w:rFonts w:ascii="Arial" w:cs="Arial" w:eastAsia="宋体" w:hAnsi="Arial"/>
          <w:sz w:val="22"/>
        </w:rPr>
        <w:t>（2021年后改称“乡村振兴局”）、妇联、民政局，负责制定扶贫政策和计划，统筹安排扶贫任务、妇女发展规划、残疾人、留守老人和未成年人管理等，各部门均进行了人员安排和预算，并对工作效果进行考核。</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民政局：</w:t>
      </w:r>
      <w:r>
        <w:rPr>
          <w:rFonts w:ascii="Arial" w:cs="Arial" w:eastAsia="宋体" w:hAnsi="Arial"/>
          <w:sz w:val="22"/>
        </w:rPr>
        <w:t>负责管理行政管辖范围内需要帮助的老年人，留守、困境未成年人事务，包括调查统计、建立档案及台账，建立留守（或困境）未成年人地方管理机制，养老服务机制，以及资金保障。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妇联：</w:t>
      </w:r>
      <w:r>
        <w:rPr>
          <w:rFonts w:ascii="Arial" w:cs="Arial" w:eastAsia="宋体" w:hAnsi="Arial"/>
          <w:sz w:val="22"/>
        </w:rPr>
        <w:t>负责组织引导妇女在生产生活中发挥独特作用、维护妇女儿童合法权益，为受侵害的妇女儿童提供帮助、组织开展文明家庭创建等。</w:t>
      </w:r>
    </w:p>
    <w:bookmarkStart w:id="520" w:name="_Hlk78987948"/>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残联：</w:t>
      </w:r>
      <w:r>
        <w:rPr>
          <w:rFonts w:ascii="Arial" w:cs="Arial" w:eastAsia="宋体" w:hAnsi="Arial"/>
          <w:sz w:val="22"/>
        </w:rPr>
        <w:t>负责维护残疾人的公民权利，听取残疾人意见和需求，为残疾人服务。宣传残疾人事业，动员社会理解、尊重、关心、帮助残疾人，消除歧视、偏见和障碍。协助政府制定实施残疾人事业发展纲要，促进残疾人康复、教育、劳动就业、扶贫、维权、文化体育、社会保障、科技信息化应用和残疾预防等工作，改善残疾人参与社会生活的环境和条件。</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乡村振兴局：</w:t>
      </w:r>
      <w:r>
        <w:rPr>
          <w:rFonts w:ascii="Arial" w:cs="Arial" w:eastAsia="宋体" w:hAnsi="Arial"/>
          <w:sz w:val="22"/>
        </w:rPr>
        <w:t>对脱贫攻坚成果的巩固，拟定已脱贫人口的返贫，防</w:t>
      </w:r>
      <w:r>
        <w:rPr>
          <w:rFonts w:ascii="Arial" w:cs="Arial" w:eastAsia="宋体" w:hAnsi="Arial" w:hint="eastAsia"/>
          <w:sz w:val="22"/>
          <w:lang w:eastAsia="zh-CN"/>
        </w:rPr>
        <w:t>止</w:t>
      </w:r>
      <w:r>
        <w:rPr>
          <w:rFonts w:ascii="Arial" w:cs="Arial" w:eastAsia="宋体" w:hAnsi="Arial"/>
          <w:sz w:val="22"/>
        </w:rPr>
        <w:t>返贫、新致贫。</w:t>
      </w:r>
    </w:p>
    <w:bookmarkEnd w:id="520"/>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乡镇政府、社区/村：</w:t>
      </w:r>
      <w:r>
        <w:rPr>
          <w:rFonts w:ascii="Arial" w:cs="Arial" w:eastAsia="宋体" w:hAnsi="Arial"/>
          <w:sz w:val="22"/>
        </w:rPr>
        <w:t>乡镇配备了留守（或困境）未成年人督导员，村居配备了儿童主任。乡镇成立区域性养老服务中心；村居成立养老服务站点。乡镇府建立妇联办公室，社区/村建立妇联主席机制。</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关于留守老人和未成年人工作由各县市对老年人和儿童工作由“社会福利股”、“社会救助服务中心”或“综合股”负责，该股配置员工3-4人。以广西壮族自治</w:t>
      </w:r>
      <w:r>
        <w:rPr>
          <w:rFonts w:ascii="Arial" w:cs="Arial" w:eastAsia="宋体" w:hAnsi="Arial" w:hint="eastAsia"/>
          <w:sz w:val="22"/>
          <w:lang w:eastAsia="zh-CN"/>
        </w:rPr>
        <w:t>区</w:t>
      </w:r>
      <w:r>
        <w:rPr>
          <w:rFonts w:ascii="Arial" w:cs="Arial" w:eastAsia="宋体" w:hAnsi="Arial"/>
          <w:sz w:val="22"/>
        </w:rPr>
        <w:t>罗城仫佬族自治县民政局为例，该县民族局设立了“综合股”，职责包括：1）建立留守老人和未成年人台账，截止2021年末，全县11个镇办均有分布,其中留守老人5853人,留守未成年人5252人。2）拟定全县养老服务建设规划并组织实施。3）负责全县养老服务、老年人福利、互助幸福院建设与管理。4）承担全县老年人福利和特殊困难老人救助工作,协调推进农村留守老年人关爱服务工作。5）拟定全县儿童福利事业发展规划并组织实施,负责孤弃儿童保障、儿童收养管理、儿童救助管理保护工作。6）负责全县儿童福利机构、未成年人保护机构、特困人员救助供养</w:t>
      </w:r>
      <w:r>
        <w:rPr>
          <w:rFonts w:ascii="Arial" w:cs="Arial" w:eastAsia="宋体" w:hAnsi="Arial" w:hint="eastAsia"/>
          <w:sz w:val="22"/>
        </w:rPr>
        <w:t>服务</w:t>
      </w:r>
      <w:r>
        <w:rPr>
          <w:rFonts w:ascii="Arial" w:cs="Arial" w:eastAsia="宋体" w:hAnsi="Arial"/>
          <w:sz w:val="22"/>
        </w:rPr>
        <w:t>机构管理工作。7）健全农村留守未成年人关爱服务体系和困境未成年人保障制度。此外，民政局社会福利股与各乡镇政府和社区/村配合实施，每个乡镇和村/社区都要配置至少一名负责留守老人和未成年人事务的人员。</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县市脱贫攻坚通常有乡村振兴局负责，配置人员10人左右，但各县市都在县市政府成立了类似“脱贫攻坚推进指挥部”“脱贫攻坚领导小组”等协调机构，由县市政府和各政府部门主要领导组成，根据工作需要和推进情况，不定期组织召开行业部门会商会议。例如广西壮族自治区罗城仫佬族自治县，该县整体延续脱贫攻坚指挥部工作体系，实施“五级书记”抓脱贫攻坚的要求，</w:t>
      </w:r>
      <w:r>
        <w:rPr>
          <w:rFonts w:ascii="Arial" w:cs="Arial" w:eastAsia="宋体" w:hAnsi="Arial"/>
          <w:sz w:val="22"/>
          <w:szCs w:val="24"/>
        </w:rPr>
        <w:t>脱贫攻坚党政一把手负总责工作责任制和县</w:t>
      </w:r>
      <w:r>
        <w:rPr>
          <w:rFonts w:ascii="Arial" w:cs="Arial" w:eastAsia="宋体" w:hAnsi="Arial"/>
          <w:sz w:val="22"/>
        </w:rPr>
        <w:t>、乡、村三级脱贫攻坚组织体系，形成县抓落实、乡村实施、部门配合的工作机制。每个乡镇都有县领导联系、每个贫困村都有领导和部门挂钩、每个贫困户都有干部职工结对帮扶。将11个乡镇划分为五大战区，分别由县四家班子主要领导担任战区指挥长；选派11名副处级领导干部担任乡镇党委攻坚第一书记；选派138名科级干部担任138个行政村（社区）脱贫攻坚作战队大队长，形成大扶贫、大攻坚、大作战的工作格局。每个行政村有2名防贫监测员，全面维护防贫信息系统，协助开展防贫监测等工作。截止2021年11月，全县共有防贫监测信息员313名，已开展9次监测对象排查认定工作，全县累计监测对象1802户6361人。</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对不同类型弱势群体的管理，国内都有专门的管理部门，如贫困问题由扶贫办或乡村振兴局主管，残疾人由残联，留守老人和未成年人由民政局主管，妇女权益由妇联管理。各部门人员配置较灵活，</w:t>
      </w:r>
      <w:r>
        <w:rPr>
          <w:rFonts w:ascii="Arial" w:cs="Arial" w:eastAsia="宋体" w:hAnsi="Arial"/>
          <w:sz w:val="22"/>
          <w:szCs w:val="24"/>
        </w:rPr>
        <w:t>除政府在编人员外</w:t>
      </w:r>
      <w:r>
        <w:rPr>
          <w:rFonts w:ascii="Arial" w:cs="Arial" w:eastAsia="宋体" w:hAnsi="Arial"/>
          <w:sz w:val="22"/>
        </w:rPr>
        <w:t>，各地可根据实际需要聘用额外工作人员，且预算资金能够保障。因此，国家和地方在对弱势群体权益的保护和扶持上，机构分工明确，且各单位的管理能力满足世行政策原则5中的要求。</w:t>
      </w:r>
    </w:p>
    <w:bookmarkStart w:id="521" w:name="_Toc79939264"/>
    <w:bookmarkStart w:id="522" w:name="_Toc90729535"/>
    <w:bookmarkStart w:id="523" w:name="_Toc93944829"/>
    <w:p>
      <w:pPr>
        <w:pStyle w:val="style2"/>
        <w:ind w:left="426" w:hanging="426"/>
        <w:rPr>
          <w:color w:val="1f4e79"/>
          <w:sz w:val="24"/>
          <w:szCs w:val="24"/>
        </w:rPr>
      </w:pPr>
      <w:r>
        <w:rPr>
          <w:color w:val="1f4e79"/>
          <w:sz w:val="24"/>
          <w:szCs w:val="24"/>
        </w:rPr>
        <w:t>4.4</w:t>
      </w:r>
      <w:r>
        <w:rPr>
          <w:color w:val="1f4e79"/>
          <w:sz w:val="24"/>
          <w:szCs w:val="24"/>
        </w:rPr>
        <w:tab/>
      </w:r>
      <w:r>
        <w:rPr>
          <w:color w:val="1f4e79"/>
          <w:sz w:val="24"/>
          <w:szCs w:val="24"/>
        </w:rPr>
        <w:tab/>
      </w:r>
      <w:r>
        <w:rPr>
          <w:color w:val="1f4e79"/>
          <w:sz w:val="24"/>
          <w:szCs w:val="24"/>
        </w:rPr>
        <w:t>社会实践效果评估</w:t>
      </w:r>
      <w:bookmarkEnd w:id="521"/>
      <w:bookmarkEnd w:id="522"/>
      <w:bookmarkEnd w:id="52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社会实践效果评估主要依据示范和样本县获得的资料，样本县的抽取考虑了广西壮族自治区和贵州省的地理区域分布和经济发展水平差异，代表性的少数民族自治县，例如广西的罗城仫佬族自治县和贵州三都水族自治县，从而代表了不同区域的主要社会特征。采用了关于过往类似活动实施过程中的评价和社会风险管理效果等资料，</w:t>
      </w:r>
      <w:r>
        <w:rPr>
          <w:rFonts w:ascii="Arial" w:cs="Arial" w:eastAsia="宋体" w:hAnsi="Arial"/>
          <w:sz w:val="22"/>
          <w:szCs w:val="24"/>
        </w:rPr>
        <w:t>还考察了这些过去已实施活动的社会风险管理过程和效果</w:t>
      </w:r>
      <w:r>
        <w:rPr>
          <w:rFonts w:ascii="Arial" w:cs="Arial" w:eastAsia="宋体" w:hAnsi="Arial"/>
          <w:sz w:val="22"/>
        </w:rPr>
        <w:t>。在实地考察的县均对主要的利益相关方进行访谈，交叉了解他们对相关活动的态度和实施满意情况。社会风险评估以典型样本案例为切入点，重点分析与世行原则一致的政策落实情况，评估是否能满足核心原则和要素规定的目标。因此，本部分将对照6个核心原则和社会相关性要素，进行分析评估。</w:t>
      </w:r>
    </w:p>
    <w:bookmarkStart w:id="524" w:name="_Toc90729536"/>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25" w:name="_Toc93944830"/>
      <w:r>
        <w:rPr>
          <w:rFonts w:ascii="Arial" w:cs="Arial" w:eastAsia="宋体" w:hAnsi="Arial"/>
          <w:sz w:val="22"/>
          <w:szCs w:val="22"/>
        </w:rPr>
        <w:t>核心原则1：可持续的社会风险管理体系</w:t>
      </w:r>
      <w:bookmarkEnd w:id="524"/>
      <w:bookmarkEnd w:id="525"/>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w:t>
      </w:r>
      <w:r>
        <w:rPr>
          <w:rFonts w:ascii="Arial" w:cs="Arial" w:eastAsia="宋体" w:hAnsi="Arial"/>
          <w:lang w:eastAsia="zh-CN"/>
        </w:rPr>
        <w:t>在项目层面，法律框架和管理机构能够充分地指导社会评估。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本项目支持的活动中，一部分活动不涉及土建工程和土地使用问题，例如1) 农药、化肥减量，发展绿色、有机农业种植业； 2) 秸秆收集与综合利用；和3) 废旧农用塑料（农膜、农药和化肥包装废弃物等）收集，这些活动的实施对农户不会造成直接的损失，只是将提升农户的环保意识，逐渐改变其耕作方式、</w:t>
      </w:r>
      <w:r>
        <w:rPr>
          <w:rFonts w:ascii="Arial" w:cs="Arial" w:eastAsia="宋体" w:hAnsi="Arial"/>
          <w:sz w:val="22"/>
          <w:szCs w:val="24"/>
        </w:rPr>
        <w:t>生活习惯</w:t>
      </w:r>
      <w:r>
        <w:rPr>
          <w:rFonts w:ascii="Arial" w:cs="Arial" w:eastAsia="宋体" w:hAnsi="Arial"/>
          <w:sz w:val="22"/>
        </w:rPr>
        <w:t>，这种改变需要农户掌握一定的生产生活方法，提升自身能力。针对这种影响，从农业农村部到各项目省市，建立了一套农民培训体系，免费向农民提供，同时，各地区农业农村部门还在探索一些有效的政策和措施，帮助农户加快提升和转变。如：</w:t>
      </w:r>
    </w:p>
    <w:p>
      <w:pPr>
        <w:pStyle w:val="style4115"/>
        <w:numPr>
          <w:ilvl w:val="0"/>
          <w:numId w:val="22"/>
        </w:numPr>
        <w:adjustRightInd w:val="false"/>
        <w:snapToGrid w:val="false"/>
        <w:spacing w:before="120" w:after="120"/>
        <w:rPr>
          <w:rFonts w:ascii="Arial" w:cs="Arial" w:eastAsia="宋体" w:hAnsi="Arial"/>
          <w:lang w:eastAsia="zh-CN"/>
        </w:rPr>
      </w:pPr>
      <w:r>
        <w:rPr>
          <w:rFonts w:ascii="Arial" w:cs="Arial" w:eastAsia="宋体" w:hAnsi="Arial"/>
          <w:b/>
          <w:bCs/>
          <w:lang w:eastAsia="zh-CN"/>
        </w:rPr>
        <w:t>教育培训：</w:t>
      </w:r>
      <w:r>
        <w:rPr>
          <w:rFonts w:ascii="Arial" w:cs="Arial" w:eastAsia="宋体" w:hAnsi="Arial"/>
          <w:lang w:eastAsia="zh-CN"/>
        </w:rPr>
        <w:t>农业农村部办公厅2020年6月颁布了《关于做好2020年</w:t>
      </w:r>
      <w:bookmarkStart w:id="526" w:name="_Hlk89977657"/>
      <w:r>
        <w:rPr>
          <w:rFonts w:ascii="Arial" w:cs="Arial" w:eastAsia="宋体" w:hAnsi="Arial"/>
          <w:lang w:eastAsia="zh-CN"/>
        </w:rPr>
        <w:t>高素质农民培育工作</w:t>
      </w:r>
      <w:bookmarkEnd w:id="526"/>
      <w:r>
        <w:rPr>
          <w:rFonts w:ascii="Arial" w:cs="Arial" w:eastAsia="宋体" w:hAnsi="Arial"/>
          <w:lang w:eastAsia="zh-CN"/>
        </w:rPr>
        <w:t>的通知》，各省制定了农民培训方案，并每年实施了各种培训计划，并免费向广大农民提供。例如广西《自治区农业农村厅办公室关于印发2020年广西高素质农民培育实施方案的通知》（桂农厅发〔2020〕58号），《贵州省农业农村厅办公室关于印发&lt;贵州省2020年高素质农民培育工作实施方案&gt;的通知》（黔农办发[2020]71号）。这些培训由区县农业农村局负责实施，各县农业农村部门通常安排专门的部门负责，有些县还成立了“高素质农民培育工作领导小组”，如“</w:t>
      </w:r>
      <w:r>
        <w:rPr>
          <w:rFonts w:ascii="Arial" w:cs="Arial" w:eastAsia="宋体" w:hAnsi="Arial" w:hint="eastAsia"/>
          <w:lang w:eastAsia="zh-CN"/>
        </w:rPr>
        <w:t>广西壮族自治区</w:t>
      </w:r>
      <w:r>
        <w:rPr>
          <w:rFonts w:ascii="Arial" w:cs="Arial" w:eastAsia="宋体" w:hAnsi="Arial"/>
          <w:lang w:eastAsia="zh-CN"/>
        </w:rPr>
        <w:t>贺州市平桂区农业农村局高素质农民培育工作领导小组”，“贵州省息烽县农业农村局农民教育培训工作领导小组”等。培训课程既包括专门的绿色农业、有机农业种植业等技术培训，也包括在各项种植技术培训中包含指导农户如何合理使用农药、实施化肥减量、收集利用秸秆和农业废弃物等。培训地点通常包括县农业农村局指定地点、乡镇人流大人员较集中的地方或人居较密集的村社。除开展公开培训外，农业农村部门也组织专项定员培训，即组织意愿较高的农民参与专项培训，例如广西资源县。培训有由各县市农业农村局的土肥站、植保站每次安排1-2名技术人员，并邀请所在乡镇政府农业事务部门的人员共同开展。愿意参与的村民均可以免费参加。农业农村部门在会前通过乡镇通知村社组织，村社通知村民参加，通知的方式包括微信群和村委会广播。培训开展的时间通常是冬季末和春季的播种期和大田管理阶段。例如，2020年广西贺州市平桂区高素质农民培训总计达353人，其中女性133人，占37.68%。从样本县的调查中了解到，培训人员女性比例基本都在30%以上，有些省在一些年份超过50%，例如广西罗城县（仫佬族自治县）2021年高素质农民培训中，女性人数达到55.7%。在除制定培训计划，各区县农业农村部门每年还要对本年培训的绩效进行总结，编制年度《高素质农民培训工作总结报告》，分析本年度培训任务的完成情况和效果，总结经验教训，为下一年工作的开展提出改进措施。从以上的分析可以看出，针对农民参与新型生产生活方式培训，从国家到地方均制定了系统的管理体系，包括国家和省级的政策、资金指导，也包括各地农业农村部门专门的部门组织实施，能够确保广大农民一方面能免费获得专业的农业培训，通过培训增长知识、提高收入、增强环保意识。</w:t>
      </w:r>
    </w:p>
    <w:p>
      <w:pPr>
        <w:pStyle w:val="style4115"/>
        <w:numPr>
          <w:ilvl w:val="0"/>
          <w:numId w:val="22"/>
        </w:numPr>
        <w:adjustRightInd w:val="false"/>
        <w:snapToGrid w:val="false"/>
        <w:spacing w:before="120" w:after="120"/>
        <w:rPr>
          <w:rFonts w:ascii="Arial" w:cs="Arial" w:eastAsia="宋体" w:hAnsi="Arial"/>
          <w:lang w:eastAsia="zh-CN"/>
        </w:rPr>
      </w:pPr>
      <w:r>
        <w:rPr>
          <w:rFonts w:ascii="Arial" w:cs="Arial" w:eastAsia="宋体" w:hAnsi="Arial"/>
          <w:b/>
          <w:bCs/>
          <w:lang w:eastAsia="zh-CN"/>
        </w:rPr>
        <w:t>政策引导：</w:t>
      </w:r>
      <w:r>
        <w:rPr>
          <w:rFonts w:ascii="Arial" w:cs="Arial" w:eastAsia="宋体" w:hAnsi="Arial"/>
          <w:lang w:eastAsia="zh-CN"/>
        </w:rPr>
        <w:t>除培训外，在推进农户控制面源污染方面，各县农业农村部门都指定专业部门制定了年度工作计划，从各方面筹措资金逐步解决农业废弃物、厕所改造和有机肥使用等问题。例如，多数县农业农村部门设置了环保科负责宣传和管理农业废弃物，包括在各种农业种植技术培训中专家讲解随意丢弃农业废弃物的危害，同时探索和采取政策鼓励措施，鼓励农户进行正确处置。例如广西罗城仫佬族自治县2021年实施了农业包装废弃物回收处理试点项目，在交通便捷性较好的6个乡镇农药、肥料和农膜销售网点共设置了80个肥料包装废弃物回收点，鼓励销售企业按0.3元/公斤的价格回收农业包装废弃物，事后由农业农村部门进行奖补。厕所改造方面，各县均在实施传统旱厕改造为三格式无害化水冲厕所的项目，且都在积极争取财政资金支持，尽量减少农户的负担。例如广西资源县截止2020年末，已完成4万户农村厕所改造，十四五期间还将完成3000户的改造，广西罗城县已改造5万多户，十四五还将改造3万多户。贵州省三都县十四五期间计划改造5500户。农户根据自愿的原则参与。各县根据资金能力，补贴的力度各不相同，例如资源县为愿意改造的农户，政府每户补贴1200元，罗城县每户补贴2000元，三都县每户补贴2000元。有机肥使用上，各县农业农村部门每年轮流对行政辖区内的耕地实施测土配方，根据测土结果通过专业人员培训的方式引导农户科学施肥。以广西资源县为例，该县全县有8.5万亩耕地，每年都在实施测土，3年一个轮回，保证全县100%的耕地全覆盖。每年冬季和春季作物播种准备期，该县土肥站的4名人员和从农学院等外部聘请的技术力量，以及乡镇农业综合发展服务中心的人员一起到村里，培训和指导农户合理施肥。在下村前，他们通常通过村委会向村民宣传通知，确定具体的时间和地点，集中培训和指导施肥。在地方政府的鼓励和引导下，许多畜禽粪污资源化企业向农户免费赠送有机肥，特别是向脱贫户等弱势群体常年免费赠送。农业农村局还争取财政资金，给予购买有机肥的农户每年80-120元/亩的补贴。</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本项目支持的活动中，另一部分活动涉及土建工程和征地/用地，包括</w:t>
      </w:r>
      <w:bookmarkStart w:id="527" w:name="_Hlk89977749"/>
      <w:r>
        <w:rPr>
          <w:rFonts w:ascii="Arial" w:cs="Arial" w:eastAsia="宋体" w:hAnsi="Arial"/>
          <w:sz w:val="22"/>
        </w:rPr>
        <w:t>1) 农村污水收集与处理； 2) 农村生活垃圾收集、转运、转储；及3）畜禽粪污处理设施等。</w:t>
      </w:r>
      <w:bookmarkEnd w:id="527"/>
      <w:r>
        <w:rPr>
          <w:rFonts w:ascii="Arial" w:cs="Arial" w:eastAsia="宋体" w:hAnsi="Arial"/>
          <w:sz w:val="22"/>
        </w:rPr>
        <w:t>对于这些需要采取农村集体土地征用的，相关县市主要通过项目前期评估阶段的可行性研究或社会稳定风险评估来管理社会风险，特别是2020年1月1日后实施的项目，由于新修订的《土地管理法》生效，明确要求涉及征地的建设项目在前期必须准备社会稳定风险评估，各县都按政策进行了实施。</w:t>
      </w:r>
      <w:r>
        <w:rPr>
          <w:rFonts w:ascii="Arial" w:cs="Arial" w:eastAsia="宋体" w:hAnsi="Arial"/>
          <w:sz w:val="22"/>
          <w:szCs w:val="24"/>
        </w:rPr>
        <w:t>例如贵州省三都水族自治县生活垃圾收集转运站建设项目</w:t>
      </w:r>
      <w:r>
        <w:rPr>
          <w:rFonts w:ascii="Arial" w:cs="Arial" w:eastAsia="宋体" w:hAnsi="Arial"/>
          <w:sz w:val="22"/>
        </w:rPr>
        <w:t>、施秉县乡镇污水处理</w:t>
      </w:r>
      <w:r>
        <w:rPr>
          <w:rFonts w:ascii="Arial" w:cs="Arial" w:eastAsia="宋体" w:hAnsi="Arial" w:hint="eastAsia"/>
          <w:sz w:val="22"/>
        </w:rPr>
        <w:t>设施</w:t>
      </w:r>
      <w:r>
        <w:rPr>
          <w:rFonts w:ascii="Arial" w:cs="Arial" w:eastAsia="宋体" w:hAnsi="Arial"/>
          <w:sz w:val="22"/>
        </w:rPr>
        <w:t>工程项目等。三都县在2021年总共开展了11项社会稳定风险评估，包括两项与污水收集处理相关的项目。广西罗城2021年完成社会稳定风险评估备案2件，广西2021年资源县完成备案3件等。稳评报告对各场地可能造成的社会影响及风险，以及社区居民意见进行调查和分析，如永久征地、临时占地及地上青苗附属物等影响，对各影响和风险的级别进行研究判定，并基于实际调查研究和村社居民的意见制定了风险化解和管控措施确保项目可能造成的社会风险得到识别和管控。</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还有</w:t>
      </w:r>
      <w:bookmarkStart w:id="528" w:name="_Hlk90557310"/>
      <w:r>
        <w:rPr>
          <w:rFonts w:ascii="Arial" w:cs="Arial" w:eastAsia="宋体" w:hAnsi="Arial"/>
          <w:sz w:val="22"/>
        </w:rPr>
        <w:t>一些活动可能不需要永久征收农村集体土地的活动，例如粪污处理设施、小型污水处理设施、</w:t>
      </w:r>
      <w:r>
        <w:rPr>
          <w:rFonts w:ascii="Arial" w:cs="Arial" w:eastAsia="宋体" w:hAnsi="Arial"/>
          <w:sz w:val="22"/>
          <w:szCs w:val="24"/>
        </w:rPr>
        <w:t>小型农村垃圾收集转运设施</w:t>
      </w:r>
      <w:r>
        <w:rPr>
          <w:rFonts w:ascii="Arial" w:cs="Arial" w:eastAsia="宋体" w:hAnsi="Arial"/>
          <w:sz w:val="22"/>
        </w:rPr>
        <w:t>、农村厕所改造、灌溉及排水设施和冷链储存设施等</w:t>
      </w:r>
      <w:bookmarkEnd w:id="528"/>
      <w:r>
        <w:rPr>
          <w:rFonts w:ascii="Arial" w:cs="Arial" w:eastAsia="宋体" w:hAnsi="Arial"/>
          <w:sz w:val="22"/>
        </w:rPr>
        <w:t>，主要的影响是土地使用带来的影响。关于这方面的内容将在下面章节中进行详细讨论。而对于其他如社区健康安全、施工影响、运行维护、社区申诉方面的影响，在各地调查中发现，在项目前期都开展了可行性研究，但大部分设施还未开展社会风险或影响评估，也没有制定相应的管理计划及监测计划。在与调查到的6个样本县负责实施此类项目的机构沟通时，如政法委、农业农村、生态环境、住建等，各部门同意在后期对纳入世行项目的活动采取两个措施来改进：一是对于小型且数量少的投资项目，将在有关项目的可行性研究设置专章，依据社会稳定风险评估相关法规要求进行详细的社会风险识别和评估，并制定社会风险管理计划和监测计划；二是对于较大规模的投资项目，将在有关项目的可行性研究阶段，依据社会稳定风险评估相关法规要求开展专项的社会稳定风险评估，对相关投资活动可能带来的社会风险进行全面识别、筛选、评估，并制定社会风险管理计划和监测计划。</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对广西和贵州两省样本县有关样本县的实地调查和咨询表明，针对本PforR有关活动整体社会影响不大，对各种可能的社会影响，各地根据国家相关部委出台的法律法规，制定了实施方案或细则，</w:t>
      </w:r>
      <w:r>
        <w:rPr>
          <w:rFonts w:ascii="Arial" w:cs="Arial" w:eastAsia="宋体" w:hAnsi="Arial"/>
          <w:sz w:val="22"/>
          <w:szCs w:val="24"/>
        </w:rPr>
        <w:t>包括机制化的培训体系安排</w:t>
      </w:r>
      <w:r>
        <w:rPr>
          <w:rFonts w:ascii="Arial" w:cs="Arial" w:eastAsia="宋体" w:hAnsi="Arial"/>
          <w:sz w:val="22"/>
        </w:rPr>
        <w:t>、社会稳定风险评估和土地使用管理制度，确保对应的风险可以得到有效管控。对于部分地区的小型分散设施暂未实施社会风险评估，应采取措施提高。</w:t>
      </w:r>
    </w:p>
    <w:p>
      <w:pPr>
        <w:pStyle w:val="style4115"/>
        <w:shd w:val="clear" w:color="auto" w:fill="d8d8d8"/>
        <w:tabs>
          <w:tab w:val="clear" w:pos="540"/>
        </w:tabs>
        <w:adjustRightInd w:val="false"/>
        <w:snapToGrid w:val="false"/>
        <w:spacing w:before="120" w:after="120"/>
        <w:rPr>
          <w:rFonts w:ascii="Arial" w:cs="Arial" w:eastAsia="宋体" w:hAnsi="Arial"/>
          <w:b/>
          <w:bCs/>
          <w:lang w:eastAsia="zh-CN"/>
        </w:rPr>
      </w:pPr>
      <w:r>
        <w:rPr>
          <w:rFonts w:ascii="Arial" w:cs="Arial" w:eastAsia="宋体" w:hAnsi="Arial"/>
          <w:b/>
          <w:bCs/>
          <w:lang w:eastAsia="zh-CN"/>
        </w:rPr>
        <w:t>要素2：</w:t>
      </w:r>
      <w:r>
        <w:rPr>
          <w:rFonts w:ascii="Arial" w:cs="Arial" w:eastAsia="宋体" w:hAnsi="Arial"/>
          <w:b/>
          <w:bCs/>
          <w:lang w:eastAsia="zh-CN"/>
        </w:rPr>
        <w:tab/>
      </w:r>
      <w:r>
        <w:rPr>
          <w:rFonts w:ascii="Arial" w:cs="Arial" w:eastAsia="宋体" w:hAnsi="Arial"/>
          <w:b/>
          <w:bCs/>
          <w:lang w:eastAsia="zh-CN"/>
        </w:rPr>
        <w:t>社会评估和管理过程中采用良好实践</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 早期影响筛查：</w:t>
      </w:r>
      <w:r>
        <w:rPr>
          <w:rFonts w:ascii="Arial" w:cs="Arial" w:eastAsia="宋体" w:hAnsi="Arial"/>
          <w:sz w:val="22"/>
        </w:rPr>
        <w:t>两省及调查县的自然资源部门提供的资料及现场调查证实，项目前期需要各部门联合踏勘识别影响。</w:t>
      </w:r>
      <w:r>
        <w:rPr>
          <w:rFonts w:ascii="Arial" w:cs="Arial" w:eastAsia="宋体" w:hAnsi="Arial"/>
          <w:sz w:val="22"/>
          <w:szCs w:val="24"/>
        </w:rPr>
        <w:t>所有涉及征地的建设项目均须完成土地预审程序</w:t>
      </w:r>
      <w:r>
        <w:rPr>
          <w:rFonts w:ascii="Arial" w:cs="Arial" w:eastAsia="宋体" w:hAnsi="Arial"/>
          <w:sz w:val="22"/>
        </w:rPr>
        <w:t>、涉及农业设施用地的项目实施项目选址。项目的可行性研究报告一般需发改部门组织各有关部门和行业专家进行评审，确认项目选址符合土地利用相关规划。</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广西贺州市平桂区自然资源局介绍</w:t>
      </w:r>
      <w:r>
        <w:rPr>
          <w:rFonts w:ascii="Arial" w:cs="Arial" w:eastAsia="宋体" w:hAnsi="Arial"/>
          <w:sz w:val="22"/>
        </w:rPr>
        <w:t>，对于需要开展征地的污水处理</w:t>
      </w:r>
      <w:r>
        <w:rPr>
          <w:rFonts w:ascii="Arial" w:cs="Arial" w:eastAsia="宋体" w:hAnsi="Arial" w:hint="eastAsia"/>
          <w:sz w:val="22"/>
        </w:rPr>
        <w:t>设施</w:t>
      </w:r>
      <w:r>
        <w:rPr>
          <w:rFonts w:ascii="Arial" w:cs="Arial" w:eastAsia="宋体" w:hAnsi="Arial"/>
          <w:sz w:val="22"/>
        </w:rPr>
        <w:t>和垃圾收集站等设施，自然资源部门在收到实施机构的委托前，需要实施机构向自然资源部门提供发改委关于项目可研的批复（含土地预审批复和选址意见书批复）、征地红线图、所征收土地分类表以及社会稳定风险评估报告等。仅在风险等级中等以下，或采取风险化解措施将风险等级降至中风险及以下时，社会稳定风险评价报告才能获得专家评审通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对于采用农业设施用地方式建设的项目，例如</w:t>
      </w:r>
      <w:r>
        <w:rPr>
          <w:rFonts w:ascii="Arial" w:cs="Arial" w:eastAsia="宋体" w:hAnsi="Arial"/>
          <w:sz w:val="22"/>
          <w:szCs w:val="24"/>
        </w:rPr>
        <w:t>贺州市平桂区</w:t>
      </w:r>
      <w:r>
        <w:rPr>
          <w:rFonts w:ascii="Arial" w:cs="Arial" w:eastAsia="宋体" w:hAnsi="Arial"/>
          <w:sz w:val="22"/>
        </w:rPr>
        <w:t>已实施的6个秸秆收储运站，均按照《贺州市设施农业用地实施管理细则》要求进行了项目选址流程，与乡镇和村社签订了用地协议，</w:t>
      </w:r>
      <w:r>
        <w:rPr>
          <w:rFonts w:ascii="Arial" w:cs="Arial" w:eastAsia="宋体" w:hAnsi="Arial"/>
          <w:sz w:val="22"/>
          <w:szCs w:val="24"/>
        </w:rPr>
        <w:t>并在平桂区自然资源局和农业农村局进行了备案</w:t>
      </w:r>
      <w:r>
        <w:rPr>
          <w:rFonts w:ascii="Arial" w:cs="Arial" w:eastAsia="宋体" w:hAnsi="Arial"/>
          <w:sz w:val="22"/>
        </w:rPr>
        <w:t>。在与6个样本县自然资源部门交流时确认，设施农用地备案过程通常需要相关村委会/社区同意（确认知情和同意）、乡镇政府自然资源部门审查（确认知情和同意，符合本地用地规划）、县水务局审查（审查是否在重要水源地附近）、林业部门审查（对于使用林地方面提出技术要求）、交通部门审查（公里两侧2公里以内不能建养殖场及相关设施）、风景名胜区主管部门审查（审查是否可在本风景名胜区范围内）、自然资源局审查（审查规划、是否占用基本农田、占用生态保护红线）、文物管理部门审查（审查是否在文物保护单位范围内）。</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由此可见，</w:t>
      </w:r>
      <w:r>
        <w:rPr>
          <w:rFonts w:ascii="Arial" w:cs="Arial" w:eastAsia="宋体" w:hAnsi="Arial"/>
          <w:sz w:val="22"/>
          <w:szCs w:val="24"/>
        </w:rPr>
        <w:t>社会风险的筛选与风险评估在实施过程中</w:t>
      </w:r>
      <w:r>
        <w:rPr>
          <w:rFonts w:ascii="Arial" w:cs="Arial" w:eastAsia="宋体" w:hAnsi="Arial"/>
          <w:sz w:val="22"/>
        </w:rPr>
        <w:t>，已通过相关机制的运行得到有效执行和管理。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 方案比选。</w:t>
      </w:r>
      <w:r>
        <w:rPr>
          <w:rFonts w:ascii="Arial" w:cs="Arial" w:eastAsia="宋体" w:hAnsi="Arial"/>
          <w:sz w:val="22"/>
        </w:rPr>
        <w:t>建设项目可行性研究过程需要对不同方案进行比选。例如，</w:t>
      </w:r>
      <w:r>
        <w:rPr>
          <w:rFonts w:ascii="Arial" w:cs="Arial" w:eastAsia="宋体" w:hAnsi="Arial"/>
          <w:sz w:val="22"/>
          <w:szCs w:val="24"/>
        </w:rPr>
        <w:t>贵州省三都县生活垃圾集转运站建设项目在前期准备过程中</w:t>
      </w:r>
      <w:r>
        <w:rPr>
          <w:rFonts w:ascii="Arial" w:cs="Arial" w:eastAsia="宋体" w:hAnsi="Arial"/>
          <w:sz w:val="22"/>
        </w:rPr>
        <w:t>，可行性研究报告中包括从垃圾收集设施方案和收集站的选址两个方面进行了比选。从设施方案上，首先列举了国内外成熟的垃圾收集方案，从中选择了入装箱式，适用各种地形，且该方案对三都县而言成本效益较好；从设置点的选址上，确定了5条选址原则，例如包括1）、符合三都县城市总体规划、区域环境规划及城市环境卫生专业规划等专业规划要求。2）符合当地的大气防护、水土资源保护、大自然保护及生态平衡要求。3）交通方便，运距合理。4）人口密度、土地利用价值及征地费用均较低。5）处于地下水贫乏地区、环境保护目标区域的地下水流向下游地区及夏季风主导风向下风向。</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(iii) 制定措施避免、减少和减缓社会影响。</w:t>
      </w:r>
      <w:r>
        <w:rPr>
          <w:rFonts w:ascii="Arial" w:cs="Arial" w:eastAsia="宋体" w:hAnsi="Arial"/>
          <w:sz w:val="22"/>
        </w:rPr>
        <w:t>根据对广西和贵州省各县政府负责社会稳定风险评估的主管部门、自然资源局、农业农村局的访谈，项目的社会影响识别、分析和管理措施都要求必须在可行性研究报告或类似的项目前期评估文件中进行分析。对于法律规定必须开展社会稳定风险评价的项目，如涉及移民或土地使用的项目等，在社会稳定风险评估中须有专门的风险识别、分析、防范与化解的管理计划。例如，贵州省施秉县乡镇污水处理</w:t>
      </w:r>
      <w:r>
        <w:rPr>
          <w:rFonts w:ascii="Arial" w:cs="Arial" w:eastAsia="宋体" w:hAnsi="Arial" w:hint="eastAsia"/>
          <w:sz w:val="22"/>
        </w:rPr>
        <w:t>设施</w:t>
      </w:r>
      <w:r>
        <w:rPr>
          <w:rFonts w:ascii="Arial" w:cs="Arial" w:eastAsia="宋体" w:hAnsi="Arial"/>
          <w:sz w:val="22"/>
        </w:rPr>
        <w:t>工程、牛大场镇污水处理</w:t>
      </w:r>
      <w:r>
        <w:rPr>
          <w:rFonts w:ascii="Arial" w:cs="Arial" w:eastAsia="宋体" w:hAnsi="Arial" w:hint="eastAsia"/>
          <w:sz w:val="22"/>
        </w:rPr>
        <w:t>设施</w:t>
      </w:r>
      <w:r>
        <w:rPr>
          <w:rFonts w:ascii="Arial" w:cs="Arial" w:eastAsia="宋体" w:hAnsi="Arial"/>
          <w:sz w:val="22"/>
        </w:rPr>
        <w:t>工程等建设项目的社会稳定风险评估时，</w:t>
      </w:r>
      <w:r>
        <w:rPr>
          <w:rFonts w:ascii="Arial" w:cs="Arial" w:eastAsia="宋体" w:hAnsi="Arial"/>
          <w:sz w:val="22"/>
          <w:szCs w:val="24"/>
        </w:rPr>
        <w:t>要求对应制定防范化解处置措施</w:t>
      </w:r>
      <w:r>
        <w:rPr>
          <w:rFonts w:ascii="Arial" w:cs="Arial" w:eastAsia="宋体" w:hAnsi="Arial"/>
          <w:sz w:val="22"/>
        </w:rPr>
        <w:t>，对重大事项相应作出是否可实施的评估意见。稳评备案表分别报相关部门审查，签署同意实施或可以实施结论性意见。</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(iv) 明确实施减缓措施的机构职责和预算来源。</w:t>
      </w:r>
      <w:r>
        <w:rPr>
          <w:rFonts w:ascii="Arial" w:cs="Arial" w:eastAsia="宋体" w:hAnsi="Arial"/>
          <w:sz w:val="22"/>
        </w:rPr>
        <w:t>广西和贵州在项目涉及的农村污水和垃圾和面源污染控制工作的政府职责分工较类似。其中农业农村部门负责农药减量、化肥减量、畜禽粪污处理与利用、秸秆收集与综合利用、农膜及农药化肥包装废弃物回收；</w:t>
      </w:r>
      <w:bookmarkStart w:id="529" w:name="_Hlk90007900"/>
      <w:r>
        <w:rPr>
          <w:rFonts w:ascii="Arial" w:cs="Arial" w:eastAsia="宋体" w:hAnsi="Arial"/>
          <w:sz w:val="22"/>
          <w:szCs w:val="24"/>
        </w:rPr>
        <w:t>住建部门负责农村生活垃圾管理及相关设施建设过程中产生的费用</w:t>
      </w:r>
      <w:r>
        <w:rPr>
          <w:rFonts w:ascii="Arial" w:cs="Arial" w:eastAsia="宋体" w:hAnsi="Arial"/>
          <w:sz w:val="22"/>
        </w:rPr>
        <w:t>，包括征地补偿费用、安排专人负责垃圾转运设施周边的安全和环境卫生。例如贵州省施秉县住建局对于垃圾中转站，要求运营单位每个中转站都必须设置至少2名管理员负责中转站的社区安全和设施周边卫生状况。生态环境部门负责农村生活污水管理</w:t>
      </w:r>
      <w:bookmarkEnd w:id="529"/>
      <w:r>
        <w:rPr>
          <w:rFonts w:ascii="Arial" w:cs="Arial" w:eastAsia="宋体" w:hAnsi="Arial"/>
          <w:sz w:val="22"/>
        </w:rPr>
        <w:t>，包括通过乡镇和村社协调好土地使用、建设污水处理设施，包括设施周边的安全围栏设置、安保人员和巡查机制的设置、设施运行维护资金的申请等。例如贵州省施秉县目前已 139套分散无动力和2套集中式农村污水处理设施，其中2套集中式的设施则由县生态环境局帮助申请财政资金，用于设施电费3000元。而广西罗城县、贺州市平柜区则多为建设集中的污水处理设施，每年区县环保局都申请了充足的预算用于污水设施的运维、安全巡查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此外，各单位在项目准备、建设和运营管理要接受生态环保、自然资源、劳动就业、卫生与健康、财政、</w:t>
      </w:r>
      <w:r>
        <w:rPr>
          <w:rFonts w:ascii="Arial" w:cs="Arial" w:eastAsia="宋体" w:hAnsi="Arial"/>
          <w:sz w:val="22"/>
          <w:szCs w:val="24"/>
        </w:rPr>
        <w:t>审计等部门的日常指导和监督</w:t>
      </w:r>
      <w:r>
        <w:rPr>
          <w:rFonts w:ascii="Arial" w:cs="Arial" w:eastAsia="宋体" w:hAnsi="Arial"/>
          <w:sz w:val="22"/>
        </w:rPr>
        <w:t>，确保环境和社会管理措施得到落实。</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 公众参与、信息公开和申诉机制。</w:t>
      </w:r>
      <w:r>
        <w:rPr>
          <w:rFonts w:ascii="Arial" w:cs="Arial" w:eastAsia="宋体" w:hAnsi="Arial"/>
          <w:sz w:val="22"/>
        </w:rPr>
        <w:t>在于6个样本县的调查中，各县自然资源部门详细介绍了该部门所承担的永久征地流程和设施农用地管理流程，对两个系统所包含的信息公开和公众参与机制进行了梳理。其中土地征收流程均严格执行土地管理法关于征地影响实物量调查和复核的流程，</w:t>
      </w:r>
      <w:r>
        <w:rPr>
          <w:rFonts w:ascii="Arial" w:cs="Arial" w:eastAsia="宋体" w:hAnsi="Arial"/>
          <w:sz w:val="22"/>
          <w:szCs w:val="24"/>
        </w:rPr>
        <w:t>实物量调查结果和征收补偿方案</w:t>
      </w:r>
      <w:r>
        <w:rPr>
          <w:rFonts w:ascii="Arial" w:cs="Arial" w:eastAsia="宋体" w:hAnsi="Arial"/>
          <w:sz w:val="22"/>
        </w:rPr>
        <w:t>、土地征收公告均要在受影响社区公告，其中实物量调查结果和征收补偿方案需在受影响社区至少公示30天；对于设施农用地使用，用地单位需在启动阶段咨询所在村社和乡镇政府意见，达成初步协议后，要向县水务局审查、林业部门审查、交通部门、风景名胜区主管部门（如涉及）、自然资源局、文物管理部门等部门征求意见，全部通过后，向土地所在村社公开形式公告，公告时间不得少于 10 天。公告期结束无异议的，村社组织才能与经营者签订用地协议。此外，对于依法需要开展社会稳定风险评估的项目，在开展社会稳定风险评估过程中，按要求开展了公众咨询。项目社会稳定风险评估通过了专家评审，并在政府进行了备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在对广西和贵州各县的调查证实，各地政府部门完全按照信访条例实施，有一整套完善的申诉信访机制。以贵州省息烽县为例，社区申诉机制包括四个层次：一是向有关实施单位直接反映情况并寻求解决；</w:t>
      </w:r>
      <w:r>
        <w:rPr>
          <w:rFonts w:ascii="Arial" w:cs="Arial" w:eastAsia="宋体" w:hAnsi="Arial"/>
          <w:sz w:val="22"/>
          <w:szCs w:val="24"/>
        </w:rPr>
        <w:t>二是通过村委会或居委会反映</w:t>
      </w:r>
      <w:r>
        <w:rPr>
          <w:rFonts w:ascii="Arial" w:cs="Arial" w:eastAsia="宋体" w:hAnsi="Arial"/>
          <w:sz w:val="22"/>
        </w:rPr>
        <w:t>并寻求解决，三是向乡镇政府或街道办事处反映和协调处理；三是通过县政府信访办或县长热线/邮箱等方式投诉处理，流程包括收集、7天内启动，2个月内处理完成并反馈的机制。此外，居民还可以通过法院的民事诉讼来解决较大的争议。整体而言，申诉机制程序规范，机制有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对广西和贵州省及有关项目县的实地调查表明，相关设施在项目前期都按要求开展了相关评估、设计和审批，</w:t>
      </w:r>
      <w:r>
        <w:rPr>
          <w:rFonts w:ascii="Arial" w:cs="Arial" w:eastAsia="宋体" w:hAnsi="Arial"/>
          <w:sz w:val="22"/>
          <w:szCs w:val="24"/>
        </w:rPr>
        <w:t>如污水处理</w:t>
      </w:r>
      <w:r>
        <w:rPr>
          <w:rFonts w:ascii="Arial" w:cs="Arial" w:eastAsia="宋体" w:hAnsi="Arial" w:hint="eastAsia"/>
          <w:sz w:val="22"/>
          <w:szCs w:val="24"/>
        </w:rPr>
        <w:t>设施</w:t>
      </w:r>
      <w:r>
        <w:rPr>
          <w:rFonts w:ascii="Arial" w:cs="Arial" w:eastAsia="宋体" w:hAnsi="Arial"/>
          <w:sz w:val="22"/>
        </w:rPr>
        <w:t>、垃圾转运站等。有关项目实施的前期准备阶段，基本包含了环境社会筛选流程和公众咨询。</w:t>
      </w:r>
      <w:bookmarkStart w:id="530" w:name="_Hlk90671367"/>
      <w:r>
        <w:rPr>
          <w:rFonts w:ascii="Arial" w:cs="Arial" w:eastAsia="宋体" w:hAnsi="Arial"/>
          <w:sz w:val="22"/>
        </w:rPr>
        <w:t>一些小型分散设施，如粪污处理设施、小型污水处理设施、小型农村垃圾收集转运设施等，在项目准备阶段未开展社会风险或影响评估，也未制定相应的管理计划及监测计划，对项目实施过程中开展的公众参与、申诉记录也缺乏记录和存档，这些方面可以进一步提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建议：</w:t>
      </w:r>
      <w:r>
        <w:rPr>
          <w:rFonts w:ascii="Arial" w:cs="Arial" w:eastAsia="宋体" w:hAnsi="Arial"/>
          <w:sz w:val="22"/>
        </w:rPr>
        <w:t>对于小型且数量少的投资项目，可采取两种方式对社会影响和风险进行评估并制定管理计划，一是在有关项目的可行性研究报告中设置专章，依据社会稳定风险评估相关法规要求进行详细的社会风险识别和评估，并制定社会风险管理计划和监测计划；二是对于大型的、或成规模的投资项目，将在可行性研究阶段，依据社会稳定风险评估相关法规要求开展专项的社会稳定风险评估，</w:t>
      </w:r>
      <w:r>
        <w:rPr>
          <w:rFonts w:ascii="Arial" w:cs="Arial" w:eastAsia="宋体" w:hAnsi="Arial"/>
          <w:sz w:val="22"/>
          <w:szCs w:val="24"/>
        </w:rPr>
        <w:t>对相关投资活动可能带来的社会风险进行全面识别</w:t>
      </w:r>
      <w:r>
        <w:rPr>
          <w:rFonts w:ascii="Arial" w:cs="Arial" w:eastAsia="宋体" w:hAnsi="Arial"/>
          <w:sz w:val="22"/>
        </w:rPr>
        <w:t>、筛选、评估，并制定社会风险管理计划和监测计划。对各类设施运行过程中的公众参与、申诉记录应进行记录和存档。</w:t>
      </w:r>
    </w:p>
    <w:bookmarkStart w:id="531" w:name="_Toc90729537"/>
    <w:bookmarkEnd w:id="530"/>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32" w:name="_Toc93944831"/>
      <w:r>
        <w:rPr>
          <w:rFonts w:ascii="Arial" w:cs="Arial" w:eastAsia="宋体" w:hAnsi="Arial"/>
          <w:sz w:val="22"/>
          <w:szCs w:val="22"/>
        </w:rPr>
        <w:t>核心原则2：文物资源管理体系</w:t>
      </w:r>
      <w:bookmarkEnd w:id="531"/>
      <w:bookmarkEnd w:id="532"/>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要素5：</w:t>
      </w:r>
      <w:r>
        <w:rPr>
          <w:rFonts w:ascii="Arial" w:cs="Arial" w:eastAsia="宋体" w:hAnsi="Arial"/>
          <w:lang w:eastAsia="zh-CN"/>
        </w:rPr>
        <w:t>充分考虑对物质文化遗产的潜在负面影响，实施适当措施避开、减少或减缓影响。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在与广西和贵州两省省省级和样本县自然资源部门和文物保护部门的交流中了解到，</w:t>
      </w:r>
      <w:bookmarkStart w:id="533" w:name="_Hlk63004205"/>
      <w:r>
        <w:rPr>
          <w:rFonts w:ascii="Arial" w:cs="Arial" w:eastAsia="宋体" w:hAnsi="Arial"/>
          <w:sz w:val="22"/>
        </w:rPr>
        <w:t>地方的土地利用规划在制定期间，规划部门咨询和听取了文物管理部门的意见，包括获取区域文物分布资料，将文物普查成果融入进当地土地利用规划中。例如贵州省三都水族自治县有全国重点保护单位1个，省级保护单位7个，</w:t>
      </w:r>
      <w:r>
        <w:rPr>
          <w:rFonts w:ascii="Arial" w:cs="Arial" w:eastAsia="宋体" w:hAnsi="Arial"/>
          <w:sz w:val="22"/>
          <w:szCs w:val="24"/>
        </w:rPr>
        <w:t>州级保护单位</w:t>
      </w:r>
      <w:r>
        <w:rPr>
          <w:rFonts w:ascii="Arial" w:cs="Arial" w:eastAsia="宋体" w:hAnsi="Arial"/>
          <w:sz w:val="22"/>
        </w:rPr>
        <w:t>2个，县级保护单位3个，这些文物有很多是反映当地少数民族文化水族的古墓、古建筑，这些文物单位的范围已经在当地土地利用规划中确定。在项目土地预审和选址阶段</w:t>
      </w:r>
      <w:bookmarkEnd w:id="533"/>
      <w:r>
        <w:rPr>
          <w:rFonts w:ascii="Arial" w:cs="Arial" w:eastAsia="宋体" w:hAnsi="Arial"/>
          <w:sz w:val="22"/>
        </w:rPr>
        <w:t>，项目选址要符合地方土地总体利用规划，这就确保了《文物保护法》所要求的文物保护单位的保护范围内不得进行其他建设工程或者爆破、钻探、挖掘等作业的规定。在项目评审阶段，地方发改委会邀请文物保护部门专家参与项目评审。如在进行工程建设期间发现文物，建设单位将会依据《文物保护法》的规定，报请省人民政府文物行政部门，组织考古发掘的单位在工程范围内对埋藏文物的地方进行考古调查、勘探。</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项目管理的过程中，各相关部门按照文物保护法规的要求充分考虑了对文物资源的潜在影响，</w:t>
      </w:r>
      <w:r>
        <w:rPr>
          <w:rFonts w:ascii="Arial" w:cs="Arial" w:eastAsia="宋体" w:hAnsi="Arial"/>
          <w:sz w:val="22"/>
          <w:szCs w:val="24"/>
        </w:rPr>
        <w:t>通过方案优化尽可能避免对文物影响</w:t>
      </w:r>
      <w:r>
        <w:rPr>
          <w:rFonts w:ascii="Arial" w:cs="Arial" w:eastAsia="宋体" w:hAnsi="Arial"/>
          <w:sz w:val="22"/>
        </w:rPr>
        <w:t>。对于不可避免的影响，需要制定和批复严格的管理方案后方可实施。</w:t>
      </w:r>
    </w:p>
    <w:bookmarkStart w:id="534" w:name="_Toc90729538"/>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35" w:name="_Toc93944832"/>
      <w:r>
        <w:rPr>
          <w:rFonts w:ascii="Arial" w:cs="Arial" w:eastAsia="宋体" w:hAnsi="Arial"/>
          <w:sz w:val="22"/>
          <w:szCs w:val="22"/>
        </w:rPr>
        <w:t>核心原则3：公众和劳动者安全</w:t>
      </w:r>
      <w:bookmarkEnd w:id="534"/>
      <w:r>
        <w:rPr>
          <w:rFonts w:ascii="Arial" w:cs="Arial" w:eastAsia="宋体" w:hAnsi="Arial"/>
          <w:sz w:val="22"/>
          <w:szCs w:val="22"/>
        </w:rPr>
        <w:t>管理体系</w:t>
      </w:r>
      <w:bookmarkEnd w:id="535"/>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要素6：</w:t>
      </w:r>
      <w:r>
        <w:rPr>
          <w:rFonts w:ascii="Arial" w:cs="Arial" w:eastAsia="宋体" w:hAnsi="Arial"/>
          <w:lang w:eastAsia="zh-CN"/>
        </w:rPr>
        <w:t>通过项目设施安全设计、施工和运营，或在开展项目活动中采取安全措施、安全检查和必要的补救措施保证社区、个人和工人的安全。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hint="eastAsia"/>
          <w:sz w:val="22"/>
        </w:rPr>
        <w:t>如第4.2章节以及第4.3章节所述，各级政府都建立了劳动管理体系，包括</w:t>
      </w:r>
      <w:r>
        <w:rPr>
          <w:rFonts w:ascii="Arial" w:cs="Arial" w:eastAsia="宋体" w:hAnsi="Arial"/>
          <w:sz w:val="22"/>
        </w:rPr>
        <w:t>相关法律法规</w:t>
      </w:r>
      <w:r>
        <w:rPr>
          <w:rFonts w:ascii="Arial" w:cs="Arial" w:eastAsia="宋体" w:hAnsi="Arial" w:hint="eastAsia"/>
          <w:sz w:val="22"/>
        </w:rPr>
        <w:t>，病建立了</w:t>
      </w:r>
      <w:r>
        <w:rPr>
          <w:rFonts w:ascii="Arial" w:cs="Arial" w:eastAsia="宋体" w:hAnsi="Arial"/>
          <w:sz w:val="22"/>
        </w:rPr>
        <w:t>相应的劳动管理机关。 对抽样县的调查表明，</w:t>
      </w:r>
      <w:r>
        <w:rPr>
          <w:rFonts w:ascii="Arial" w:cs="Arial" w:eastAsia="宋体" w:hAnsi="Arial" w:hint="eastAsia"/>
          <w:sz w:val="22"/>
        </w:rPr>
        <w:t>该</w:t>
      </w:r>
      <w:r>
        <w:rPr>
          <w:rFonts w:ascii="Arial" w:cs="Arial" w:eastAsia="宋体" w:hAnsi="Arial"/>
          <w:sz w:val="22"/>
        </w:rPr>
        <w:t>劳动管理制度基本运行有效。调查结果还显示，在企业或单位</w:t>
      </w:r>
      <w:r>
        <w:rPr>
          <w:rFonts w:ascii="Arial" w:cs="Arial" w:eastAsia="宋体" w:hAnsi="Arial" w:hint="eastAsia"/>
          <w:sz w:val="22"/>
        </w:rPr>
        <w:t>内</w:t>
      </w:r>
      <w:r>
        <w:rPr>
          <w:rFonts w:ascii="Arial" w:cs="Arial" w:eastAsia="宋体" w:hAnsi="Arial"/>
          <w:sz w:val="22"/>
        </w:rPr>
        <w:t>未发现童工(16岁</w:t>
      </w:r>
      <w:r>
        <w:rPr>
          <w:rFonts w:ascii="Arial" w:cs="Arial" w:eastAsia="宋体" w:hAnsi="Arial" w:hint="eastAsia"/>
          <w:sz w:val="22"/>
        </w:rPr>
        <w:t>周岁</w:t>
      </w:r>
      <w:r>
        <w:rPr>
          <w:rFonts w:ascii="Arial" w:cs="Arial" w:eastAsia="宋体" w:hAnsi="Arial"/>
          <w:sz w:val="22"/>
        </w:rPr>
        <w:t xml:space="preserve">以下)。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职业健康管理：</w:t>
      </w:r>
      <w:r>
        <w:rPr>
          <w:rFonts w:ascii="Arial" w:cs="Arial" w:eastAsia="宋体" w:hAnsi="Arial"/>
          <w:sz w:val="22"/>
        </w:rPr>
        <w:t>项目涉及建设和运行管理的活动包括畜禽粪污资源化利用设施、秸秆回收资源化处理设施、</w:t>
      </w:r>
      <w:r>
        <w:rPr>
          <w:rFonts w:ascii="Arial" w:cs="Arial" w:eastAsia="宋体" w:hAnsi="Arial"/>
          <w:sz w:val="22"/>
          <w:szCs w:val="24"/>
        </w:rPr>
        <w:t>农村厕所改造</w:t>
      </w:r>
      <w:r>
        <w:rPr>
          <w:rFonts w:ascii="Arial" w:cs="Arial" w:eastAsia="宋体" w:hAnsi="Arial"/>
          <w:sz w:val="22"/>
        </w:rPr>
        <w:t>、农村垃圾收集转运设施和农村污水收集处理设施。从样本县的调查得知，这些设施在建设和运行中按照建设项目管理的要求，在筹备建设的评估阶段，通过可研报告设置了专章分析建设和运行期间潜在的施工安全和管理措施，一些较大型项目的可行性研究报告中还分析了建设施工期和运行期劳动者的职业病危害因素预评估，并制定了管理措施。例如三都县生活垃圾收集转运建设项目的可行性研究报告的第十一章为“劳动安全与卫生消防”，详细分析了各项潜在的职业病危害因素，并针对各项危害因素制定了管理计划。三都县垃圾转运站由第三方公司运行，该企业针对职业病预评估中识别的健康危害因素，制定了企业职业健康管理规章制度，例如该企业对每个转运站安排了2名操作人员。在提供的员工职业病培训资料中看，转运站的职业病危害因素包括振动和噪音，因此，运营单位专门制定了针对该项危害因素的培训和日常管理制度（如附件8</w:t>
      </w:r>
      <w:r>
        <w:rPr>
          <w:rFonts w:ascii="Arial" w:cs="Arial" w:eastAsia="宋体" w:hAnsi="Arial"/>
          <w:sz w:val="22"/>
        </w:rPr>
        <w:fldChar w:fldCharType="begin"/>
      </w:r>
      <w:r>
        <w:rPr>
          <w:rFonts w:ascii="Arial" w:cs="Arial" w:eastAsia="宋体" w:hAnsi="Arial"/>
          <w:sz w:val="22"/>
        </w:rPr>
        <w:instrText xml:space="preserve"> REF _Ref92479292 \h  \* MERGEFORMAT </w:instrText>
      </w:r>
      <w:r>
        <w:rPr>
          <w:rFonts w:ascii="Arial" w:cs="Arial" w:eastAsia="宋体" w:hAnsi="Arial"/>
          <w:sz w:val="22"/>
        </w:rPr>
        <w:fldChar w:fldCharType="separate"/>
      </w:r>
      <w:r>
        <w:rPr>
          <w:rFonts w:ascii="Arial" w:cs="Arial" w:eastAsia="宋体" w:hAnsi="Arial"/>
        </w:rPr>
        <w:t>图 12</w:t>
      </w:r>
      <w:r>
        <w:rPr>
          <w:rFonts w:ascii="Arial" w:cs="Arial" w:eastAsia="宋体" w:hAnsi="Arial"/>
          <w:sz w:val="22"/>
        </w:rPr>
        <w:fldChar w:fldCharType="end"/>
      </w:r>
      <w:r>
        <w:rPr>
          <w:rFonts w:ascii="Arial" w:cs="Arial" w:eastAsia="宋体" w:hAnsi="Arial"/>
          <w:sz w:val="22"/>
        </w:rPr>
        <w:t>）。除了规模较大的建设项目，</w:t>
      </w:r>
      <w:bookmarkStart w:id="536" w:name="_Hlk90671541"/>
      <w:r>
        <w:rPr>
          <w:rFonts w:ascii="Arial" w:cs="Arial" w:eastAsia="宋体" w:hAnsi="Arial"/>
          <w:sz w:val="22"/>
        </w:rPr>
        <w:t>一些规模较小的污水处理设施、垃圾收集转运设施在前期评估阶段做了可研。</w:t>
      </w:r>
      <w:bookmarkEnd w:id="536"/>
      <w:r>
        <w:rPr>
          <w:rFonts w:ascii="Arial" w:cs="Arial" w:eastAsia="宋体" w:hAnsi="Arial"/>
          <w:sz w:val="22"/>
        </w:rPr>
        <w:t>对于存在职业病危害因素的企业，卫健部门每年组织抽查，</w:t>
      </w:r>
      <w:r>
        <w:rPr>
          <w:rFonts w:ascii="Arial" w:cs="Arial" w:eastAsia="宋体" w:hAnsi="Arial" w:hint="eastAsia"/>
          <w:sz w:val="22"/>
        </w:rPr>
        <w:t>人力资源和社会保障</w:t>
      </w:r>
      <w:r>
        <w:rPr>
          <w:rFonts w:ascii="Arial" w:cs="Arial" w:eastAsia="宋体" w:hAnsi="Arial"/>
          <w:sz w:val="22"/>
        </w:rPr>
        <w:t>部门和卫生部门共同参加，评估相关职业健康与安全措施是否到位，“三同时”的落实情况，相关设施企业开展职业病危害因素监测的情况等，对检查中发现的问题，督促企业处理和整改。</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劳工纠纷解决机制：</w:t>
      </w:r>
      <w:r>
        <w:rPr>
          <w:rFonts w:ascii="Arial" w:cs="Arial" w:eastAsia="宋体" w:hAnsi="Arial"/>
          <w:sz w:val="22"/>
        </w:rPr>
        <w:t>劳动从企业到县政府，设置了三级劳工纠纷解决机制，分别是企业内部劳工纠纷申诉机制、</w:t>
      </w:r>
      <w:r>
        <w:rPr>
          <w:rFonts w:ascii="Arial" w:cs="Arial" w:eastAsia="宋体" w:hAnsi="Arial"/>
          <w:sz w:val="22"/>
          <w:szCs w:val="24"/>
        </w:rPr>
        <w:t>乡政府劳动纠纷调解中心和县政府劳动调解中心</w:t>
      </w:r>
      <w:r>
        <w:rPr>
          <w:rFonts w:ascii="Arial" w:cs="Arial" w:eastAsia="宋体" w:hAnsi="Arial"/>
          <w:sz w:val="22"/>
        </w:rPr>
        <w:t>。职工还可以通过法律途径进行法庭调解。多数县反映的主要解决渠道是劳动调解，例如贵州省施秉县人社局2021年共受理38个劳动纠纷调解中心，其中调解解决31件（占总数的81.5%），裁决7件，</w:t>
      </w:r>
      <w:r>
        <w:rPr>
          <w:rFonts w:ascii="Arial" w:cs="Arial" w:eastAsia="宋体" w:hAnsi="Arial" w:hint="eastAsia"/>
          <w:sz w:val="22"/>
          <w:lang w:eastAsia="zh-CN"/>
        </w:rPr>
        <w:t>广西壮族自治区</w:t>
      </w:r>
      <w:r>
        <w:rPr>
          <w:rFonts w:ascii="Arial" w:cs="Arial" w:eastAsia="宋体" w:hAnsi="Arial"/>
          <w:sz w:val="22"/>
        </w:rPr>
        <w:t>罗城县人社局2021年受理案件111件，全部结案，其中调解解决65件（占总数的58.5%），主要纠纷包括劳动工伤、劳动关系解除、经济补偿、欠薪等问题。此外各地劳动部门表示，工会和各单位人事管理部门也通常是企业劳动安全和认识纠纷解决的场所，工会能帮助员工获得安全培训、健康检查、工作环境和生活需求等方面争取权益。通过与各地人社部门确认，劳动纠纷解决机制基本一致：发生劳动人事纠纷的，员工可向劳动部门的劳动</w:t>
      </w:r>
      <w:r>
        <w:rPr>
          <w:rFonts w:ascii="Arial" w:cs="Arial" w:eastAsia="宋体" w:hAnsi="Arial" w:hint="eastAsia"/>
          <w:sz w:val="22"/>
        </w:rPr>
        <w:t>保障</w:t>
      </w:r>
      <w:r>
        <w:rPr>
          <w:rFonts w:ascii="Arial" w:cs="Arial" w:eastAsia="宋体" w:hAnsi="Arial"/>
          <w:sz w:val="22"/>
        </w:rPr>
        <w:t>监察</w:t>
      </w:r>
      <w:r>
        <w:rPr>
          <w:rFonts w:ascii="Arial" w:cs="Arial" w:eastAsia="宋体" w:hAnsi="Arial" w:hint="eastAsia"/>
          <w:sz w:val="22"/>
        </w:rPr>
        <w:t>执法机构</w:t>
      </w:r>
      <w:r>
        <w:rPr>
          <w:rFonts w:ascii="Arial" w:cs="Arial" w:eastAsia="宋体" w:hAnsi="Arial"/>
          <w:sz w:val="22"/>
        </w:rPr>
        <w:t>寻求帮助，也可直接提请劳动</w:t>
      </w:r>
      <w:r>
        <w:rPr>
          <w:rFonts w:ascii="Arial" w:cs="Arial" w:eastAsia="宋体" w:hAnsi="Arial" w:hint="eastAsia"/>
          <w:sz w:val="22"/>
        </w:rPr>
        <w:t>争议</w:t>
      </w:r>
      <w:r>
        <w:rPr>
          <w:rFonts w:ascii="Arial" w:cs="Arial" w:eastAsia="宋体" w:hAnsi="Arial"/>
          <w:sz w:val="22"/>
        </w:rPr>
        <w:t>仲裁。劳动</w:t>
      </w:r>
      <w:r>
        <w:rPr>
          <w:rFonts w:ascii="Arial" w:cs="Arial" w:eastAsia="宋体" w:hAnsi="Arial" w:hint="eastAsia"/>
          <w:sz w:val="22"/>
        </w:rPr>
        <w:t>保障</w:t>
      </w:r>
      <w:r>
        <w:rPr>
          <w:rFonts w:ascii="Arial" w:cs="Arial" w:eastAsia="宋体" w:hAnsi="Arial"/>
          <w:sz w:val="22"/>
        </w:rPr>
        <w:t>监察</w:t>
      </w:r>
      <w:r>
        <w:rPr>
          <w:rFonts w:ascii="Arial" w:cs="Arial" w:eastAsia="宋体" w:hAnsi="Arial" w:hint="eastAsia"/>
          <w:sz w:val="22"/>
        </w:rPr>
        <w:t>执法机构</w:t>
      </w:r>
      <w:r>
        <w:rPr>
          <w:rFonts w:ascii="Arial" w:cs="Arial" w:eastAsia="宋体" w:hAnsi="Arial"/>
          <w:sz w:val="22"/>
        </w:rPr>
        <w:t>在收到投诉后5个工作日内调查是否立案，对符合受理原则的案件（例如违法行为发生在2年内等）要求60个工作日内办结，复杂的经批准可以延长30个工作日。如员工对处理结果不满意的，可在6个月内提请劳动</w:t>
      </w:r>
      <w:r>
        <w:rPr>
          <w:rFonts w:ascii="Arial" w:cs="Arial" w:eastAsia="宋体" w:hAnsi="Arial" w:hint="eastAsia"/>
          <w:sz w:val="22"/>
        </w:rPr>
        <w:t>争议</w:t>
      </w:r>
      <w:r>
        <w:rPr>
          <w:rFonts w:ascii="Arial" w:cs="Arial" w:eastAsia="宋体" w:hAnsi="Arial"/>
          <w:sz w:val="22"/>
        </w:rPr>
        <w:t>仲裁。劳动争议申请仲裁的时效期间为一年。劳动</w:t>
      </w:r>
      <w:r>
        <w:rPr>
          <w:rFonts w:ascii="Arial" w:cs="Arial" w:eastAsia="宋体" w:hAnsi="Arial" w:hint="eastAsia"/>
          <w:sz w:val="22"/>
        </w:rPr>
        <w:t>争议</w:t>
      </w:r>
      <w:r>
        <w:rPr>
          <w:rFonts w:ascii="Arial" w:cs="Arial" w:eastAsia="宋体" w:hAnsi="Arial"/>
          <w:sz w:val="22"/>
        </w:rPr>
        <w:t>仲裁包括两个层次，包括调解和仲裁。通常情况下，优先推荐进行调解，自劳动争议调解组织收到调解申请之日起15日内达成调解协议的，双方当事人签订调解协议，15日内未达成调解协议的，当事人可以依法申请仲裁。仲裁庭裁决案件应当自仲裁委员会受理仲裁申请之日起45日内结束。案情复杂需要延期的，经仲裁委员会主任批准，可以延期并书面通知当事人，但延长期限不得超过15日。逾期未做出仲裁裁决的，当事人可以就该劳动争议事项向人民法院提起诉讼。其结果包括三种案前调解、立案受理、不予受理三种，对于不予受理的，应向申请人提供书面说明。</w:t>
      </w:r>
    </w:p>
    <w:bookmarkStart w:id="537" w:name="_Hlk68167498"/>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女性员工权益：</w:t>
      </w:r>
      <w:r>
        <w:rPr>
          <w:rFonts w:ascii="Arial" w:cs="Arial" w:eastAsia="宋体" w:hAnsi="Arial"/>
          <w:sz w:val="22"/>
        </w:rPr>
        <w:t>从样本县妇联组织了解到，妇联每年参与市县劳动、卫健等部门对企业的监督检查，对妇女权益保护工作进行检查。检查单位包括各县污水处理</w:t>
      </w:r>
      <w:r>
        <w:rPr>
          <w:rFonts w:ascii="Arial" w:cs="Arial" w:eastAsia="宋体" w:hAnsi="Arial" w:hint="eastAsia"/>
          <w:sz w:val="22"/>
        </w:rPr>
        <w:t>设施</w:t>
      </w:r>
      <w:r>
        <w:rPr>
          <w:rFonts w:ascii="Arial" w:cs="Arial" w:eastAsia="宋体" w:hAnsi="Arial"/>
          <w:sz w:val="22"/>
        </w:rPr>
        <w:t>、专业畜禽粪污资源化利用设施、</w:t>
      </w:r>
      <w:r>
        <w:rPr>
          <w:rFonts w:ascii="Arial" w:cs="Arial" w:eastAsia="宋体" w:hAnsi="Arial"/>
          <w:sz w:val="22"/>
          <w:szCs w:val="24"/>
        </w:rPr>
        <w:t>及生活垃圾收集处理企业等</w:t>
      </w:r>
      <w:r>
        <w:rPr>
          <w:rFonts w:ascii="Arial" w:cs="Arial" w:eastAsia="宋体" w:hAnsi="Arial"/>
          <w:sz w:val="22"/>
        </w:rPr>
        <w:t>。另一方面，企业对女职工遵循了法律法规要求和公司的规章制度，例如遵守男女平等、同工同酬，并针对女性有特殊优待政策，例如女职工两癌筛查体检，听取女职工意愿来安排岗位，不安排孕期内妇女从事体力或工作环境不佳的岗位、依法提供孕产假福利等的保护和福利政策。</w:t>
      </w:r>
      <w:bookmarkStart w:id="538" w:name="_Hlk79165033"/>
    </w:p>
    <w:bookmarkEnd w:id="537"/>
    <w:bookmarkEnd w:id="538"/>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评价：</w:t>
      </w:r>
      <w:r>
        <w:rPr>
          <w:rFonts w:ascii="Arial" w:cs="Arial" w:eastAsia="宋体" w:hAnsi="Arial"/>
          <w:sz w:val="22"/>
          <w:szCs w:val="24"/>
        </w:rPr>
        <w:t>从对样本县的调查看</w:t>
      </w:r>
      <w:r>
        <w:rPr>
          <w:rFonts w:ascii="Arial" w:cs="Arial" w:eastAsia="宋体" w:hAnsi="Arial"/>
          <w:sz w:val="22"/>
        </w:rPr>
        <w:t>，各实施机构在建设或运营期间遵循了法规要求</w:t>
      </w:r>
      <w:bookmarkStart w:id="539" w:name="_Hlk90672123"/>
      <w:r>
        <w:rPr>
          <w:rFonts w:ascii="Arial" w:cs="Arial" w:eastAsia="宋体" w:hAnsi="Arial"/>
          <w:sz w:val="22"/>
        </w:rPr>
        <w:t>。</w:t>
      </w:r>
    </w:p>
    <w:bookmarkEnd w:id="539"/>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要素8：</w:t>
      </w:r>
      <w:r>
        <w:rPr>
          <w:rFonts w:ascii="Arial" w:cs="Arial" w:eastAsia="宋体" w:hAnsi="Arial"/>
          <w:lang w:eastAsia="zh-CN"/>
        </w:rPr>
        <w:t>在自然灾害易发区（如洪水、飓风、地震或其他气候事件）的项目活动，应采取措施避免、减少或减缓社区、个人和工人的风险。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建设项目和企业管理：</w:t>
      </w:r>
      <w:r>
        <w:rPr>
          <w:rFonts w:ascii="Arial" w:cs="Arial" w:eastAsia="宋体" w:hAnsi="Arial"/>
          <w:sz w:val="22"/>
        </w:rPr>
        <w:t>对广西和贵州各种垃圾收集转运企业、畜禽粪污资源化利用企业走访和调查表明，在项目评估阶段，</w:t>
      </w:r>
      <w:r>
        <w:rPr>
          <w:rFonts w:ascii="Arial" w:cs="Arial" w:eastAsia="宋体" w:hAnsi="Arial"/>
          <w:sz w:val="22"/>
          <w:szCs w:val="24"/>
        </w:rPr>
        <w:t>在可行性研究报告或项目建设设计方案等评估报告中进行专章分析</w:t>
      </w:r>
      <w:r>
        <w:rPr>
          <w:rFonts w:ascii="Arial" w:cs="Arial" w:eastAsia="宋体" w:hAnsi="Arial"/>
          <w:sz w:val="22"/>
        </w:rPr>
        <w:t>，或者专门制定地质灾害评估，识别潜在的自然灾害对项目建设和运行阶段的影响和风险，制定管理计划；在建设阶段，施工前通过施工单位的合同要参考可研和专项评估的结论，注明施工方在管理社区和员工健康安全的责任义务；施工期间，根据拟定的安全管理计划，设置各种安全管理岗位和责任人，包括安全监理人员，实施施工场地健康安全管理，并制定监测机制工现场的人员安全健康根据指定的管理计划要求；在项目运行期间，各单位根据有关评估结论和管理计划，制定有各种形式的规章制度或《员工管理手册》和传染病疫情管理机制，并实施了相关的培训、登记、监管制度。在各单位公共区域，均公示了员工疫情管理的要求和示意图。以广西河池市罗城县新希望六和生态种养循环生猪养殖项目为例，该项目在前期可行性研究阶段，专门编制了《水土保持方案》，其中对本地区和本项目相关的主要自然灾害进行了梳理，认定本项目不属于国家级水土流失防护区，但属于广西</w:t>
      </w:r>
      <w:r>
        <w:rPr>
          <w:rFonts w:ascii="Arial" w:cs="Arial" w:eastAsia="宋体" w:hAnsi="Arial" w:hint="eastAsia"/>
          <w:sz w:val="22"/>
          <w:lang w:eastAsia="zh-CN"/>
        </w:rPr>
        <w:t>壮族</w:t>
      </w:r>
      <w:r>
        <w:rPr>
          <w:rFonts w:ascii="Arial" w:cs="Arial" w:eastAsia="宋体" w:hAnsi="Arial"/>
          <w:sz w:val="22"/>
        </w:rPr>
        <w:t>自治区级水土流失防护区，并就项目建设过程中的总水土流失量进行测算，制定了具体的安全管理措施。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政府行政管理：</w:t>
      </w:r>
      <w:r>
        <w:rPr>
          <w:rFonts w:ascii="Arial" w:cs="Arial" w:eastAsia="宋体" w:hAnsi="Arial"/>
          <w:sz w:val="22"/>
        </w:rPr>
        <w:t>在传染病防控方面，各市县政府、卫健委和主管部门的管理力度都很大，每年都出台各专项管理制度，并严格监管辖区内相关单位的落实。以广西的资源县为例，2021年该县政府通过卫健部门发布了5</w:t>
      </w:r>
      <w:r>
        <w:rPr>
          <w:rFonts w:ascii="Arial" w:cs="Arial" w:eastAsia="宋体" w:hAnsi="Arial"/>
          <w:sz w:val="22"/>
          <w:szCs w:val="24"/>
        </w:rPr>
        <w:t>个新冠疫情控制管理文件</w:t>
      </w:r>
      <w:r>
        <w:rPr>
          <w:rFonts w:ascii="Arial" w:cs="Arial" w:eastAsia="宋体" w:hAnsi="Arial"/>
          <w:sz w:val="22"/>
        </w:rPr>
        <w:t>，如《关于强化疫情防控措施的通告》（资新冠防指办〔2021〕32号），为坚决遏制疫情传播和扩散蔓延，确保“外防输入、内防反弹”各项措施落实落地，将管理落实到乡镇、村社主要领导，由这些基层政府组织网格化全天候管理行政范围内的下属单位和企事业、个体户和居民，如注射疫苗、流动人员登记管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评价：</w:t>
      </w:r>
      <w:r>
        <w:rPr>
          <w:rFonts w:ascii="Arial" w:cs="Arial" w:eastAsia="宋体" w:hAnsi="Arial"/>
          <w:sz w:val="22"/>
        </w:rPr>
        <w:t>关于社区人员和工人在应对安全和传染病方面的管理，在项目建设和运行阶段，通过政府系统和企业自我管理系统，</w:t>
      </w:r>
      <w:r>
        <w:rPr>
          <w:rFonts w:ascii="Arial" w:cs="Arial" w:eastAsia="宋体" w:hAnsi="Arial"/>
          <w:sz w:val="22"/>
          <w:szCs w:val="24"/>
        </w:rPr>
        <w:t>能够得有效管理</w:t>
      </w:r>
      <w:r>
        <w:rPr>
          <w:rFonts w:ascii="Arial" w:cs="Arial" w:eastAsia="宋体" w:hAnsi="Arial"/>
          <w:sz w:val="22"/>
        </w:rPr>
        <w:t>。</w:t>
      </w:r>
    </w:p>
    <w:bookmarkStart w:id="540" w:name="_Toc90729539"/>
    <w:bookmarkStart w:id="541" w:name="_Toc93944833"/>
    <w:p>
      <w:pPr>
        <w:pStyle w:val="style3"/>
        <w:numPr>
          <w:ilvl w:val="2"/>
          <w:numId w:val="21"/>
        </w:numPr>
        <w:adjustRightInd w:val="false"/>
        <w:snapToGrid w:val="false"/>
        <w:spacing w:before="120" w:after="120" w:lineRule="auto" w:line="240"/>
        <w:ind w:left="851" w:hanging="851"/>
        <w:rPr>
          <w:rFonts w:ascii="Arial" w:cs="Arial" w:eastAsia="宋体" w:hAnsi="Arial"/>
          <w:color w:val="000000"/>
          <w:sz w:val="22"/>
          <w:szCs w:val="22"/>
        </w:rPr>
      </w:pPr>
      <w:r>
        <w:rPr>
          <w:rFonts w:ascii="Arial" w:cs="Arial" w:eastAsia="宋体" w:hAnsi="Arial"/>
          <w:color w:val="000000"/>
          <w:sz w:val="22"/>
          <w:szCs w:val="22"/>
        </w:rPr>
        <w:t>核心原则4：非志愿移民管理体系</w:t>
      </w:r>
      <w:bookmarkEnd w:id="540"/>
      <w:bookmarkEnd w:id="541"/>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经过实地考察和样本县的调查，项目可能涉及四种用地方式：1）永久征地，主要涉及农村生活垃圾收集转运设施和部分达到一定规模的集中式乡镇污水处理设施、畜禽养殖粪污资源化利用设施和秸秆处理化设施采取永久征地的方式；2）设施农用地备案，涉及部分畜禽养殖粪污资源化利用设施和秸秆处理化设施按照设施农用地备案的方式占用土地；3）农村闲置土地使用，大部分农村污水设施占地面积在100-400m</w:t>
      </w:r>
      <w:r>
        <w:rPr>
          <w:rFonts w:ascii="Arial" w:cs="Arial" w:eastAsia="宋体" w:hAnsi="Arial"/>
          <w:sz w:val="22"/>
          <w:szCs w:val="24"/>
          <w:vertAlign w:val="superscript"/>
        </w:rPr>
        <w:t>2</w:t>
      </w:r>
      <w:r>
        <w:rPr>
          <w:rFonts w:ascii="Arial" w:cs="Arial" w:eastAsia="宋体" w:hAnsi="Arial"/>
          <w:sz w:val="22"/>
          <w:szCs w:val="24"/>
        </w:rPr>
        <w:t>，占用农村集体自有土地，通常设置在闲置的集体建设用地或未利用地上。4）土地流转，涉及绿色农业及其相关设施，如灌溉设施。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各用地方式通过不同的管理系统来管理负面影响</w:t>
      </w:r>
      <w:r>
        <w:rPr>
          <w:rFonts w:ascii="Arial" w:cs="Arial" w:eastAsia="宋体" w:hAnsi="Arial"/>
          <w:sz w:val="22"/>
        </w:rPr>
        <w:t>。以下从要素9包括的6个方面分析征地和移民实施效果。</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 避免和减少征地相关负面影响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在需要采取永久征用集体土地的项目，例如贵州省施秉县城乡垃圾收运系统项目、</w:t>
      </w:r>
      <w:r>
        <w:rPr>
          <w:rFonts w:ascii="Arial" w:cs="Arial" w:eastAsia="宋体" w:hAnsi="Arial"/>
          <w:sz w:val="22"/>
          <w:szCs w:val="24"/>
        </w:rPr>
        <w:t>三都县生活垃圾收集转运建设项目和三都县年出栏</w:t>
      </w:r>
      <w:r>
        <w:rPr>
          <w:rFonts w:ascii="Arial" w:cs="Arial" w:eastAsia="宋体" w:hAnsi="Arial"/>
          <w:sz w:val="22"/>
        </w:rPr>
        <w:t>30万头生猪产业一体化建设项目，根据法定土地征收流程，分别于办理了“建设用地预审批复”和“选址意见书”，这意味着项目在前期准备阶段，依法有关政府部门组织了土地踏勘和筛查，其中施秉县林业局就项目占用林地还专门进行了审核，出具了关于林地占用管理措施的审核意见。（如附件8的</w:t>
      </w:r>
      <w:r>
        <w:rPr>
          <w:rFonts w:ascii="Arial" w:cs="Arial" w:eastAsia="宋体" w:hAnsi="Arial"/>
          <w:sz w:val="22"/>
        </w:rPr>
        <w:fldChar w:fldCharType="begin"/>
      </w:r>
      <w:r>
        <w:rPr>
          <w:rFonts w:ascii="Arial" w:cs="Arial" w:eastAsia="宋体" w:hAnsi="Arial"/>
          <w:sz w:val="22"/>
        </w:rPr>
        <w:instrText xml:space="preserve"> REF _Ref92484187 \h  \* MERGEFORMAT </w:instrText>
      </w:r>
      <w:r>
        <w:rPr>
          <w:rFonts w:ascii="Arial" w:cs="Arial" w:eastAsia="宋体" w:hAnsi="Arial"/>
          <w:sz w:val="22"/>
        </w:rPr>
        <w:fldChar w:fldCharType="separate"/>
      </w:r>
      <w:r>
        <w:rPr>
          <w:rFonts w:ascii="Arial" w:cs="Arial" w:eastAsia="宋体" w:hAnsi="Arial"/>
        </w:rPr>
        <w:t>图 13</w:t>
      </w:r>
      <w:r>
        <w:rPr>
          <w:rFonts w:ascii="Arial" w:cs="Arial" w:eastAsia="宋体" w:hAnsi="Arial"/>
          <w:sz w:val="22"/>
        </w:rPr>
        <w:fldChar w:fldCharType="end"/>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对于采取设施农用地备案的项目，例如广西罗城县新好农牧有限公司的设施农用地备案等，备案过程中，从项目村社、乡镇、</w:t>
      </w:r>
      <w:r>
        <w:rPr>
          <w:rFonts w:ascii="Arial" w:cs="Arial" w:eastAsia="宋体" w:hAnsi="Arial"/>
          <w:sz w:val="22"/>
          <w:szCs w:val="24"/>
        </w:rPr>
        <w:t>到县级相关的职能部门如县水务局审查</w:t>
      </w:r>
      <w:r>
        <w:rPr>
          <w:rFonts w:ascii="Arial" w:cs="Arial" w:eastAsia="宋体" w:hAnsi="Arial"/>
          <w:sz w:val="22"/>
        </w:rPr>
        <w:t>（审查是否在重要水源地附近）、林业部门审查（对于使用林地方面提出技术要求）、交通部门审查（公里两侧2公里以内不能建养殖场及相关设施）、风景名胜区主管部门审查（审查是否可在本风景名胜区范围内）、自然资源局审查（审查规划、是否占用基本农田、占用生态保护红线）、文物管理部门审查（审查是否在文物保护单位范围内）。（如附件8</w:t>
      </w:r>
      <w:r>
        <w:rPr>
          <w:rFonts w:ascii="Arial" w:cs="Arial" w:eastAsia="宋体" w:hAnsi="Arial"/>
          <w:sz w:val="22"/>
        </w:rPr>
        <w:fldChar w:fldCharType="begin"/>
      </w:r>
      <w:r>
        <w:rPr>
          <w:rFonts w:ascii="Arial" w:cs="Arial" w:eastAsia="宋体" w:hAnsi="Arial"/>
          <w:sz w:val="22"/>
        </w:rPr>
        <w:instrText xml:space="preserve"> REF _Ref92484563 \h  \* MERGEFORMAT </w:instrText>
      </w:r>
      <w:r>
        <w:rPr>
          <w:rFonts w:ascii="Arial" w:cs="Arial" w:eastAsia="宋体" w:hAnsi="Arial"/>
          <w:sz w:val="22"/>
        </w:rPr>
        <w:fldChar w:fldCharType="separate"/>
      </w:r>
      <w:r>
        <w:rPr>
          <w:rFonts w:ascii="Arial" w:cs="Arial" w:eastAsia="宋体" w:hAnsi="Arial"/>
          <w:sz w:val="22"/>
        </w:rPr>
        <w:t>图 14: 广西罗城县新好农牧有限公司的设施农用地备案</w:t>
      </w:r>
      <w:r>
        <w:rPr>
          <w:rFonts w:ascii="Arial" w:cs="Arial" w:eastAsia="宋体" w:hAnsi="Arial"/>
          <w:sz w:val="22"/>
        </w:rPr>
        <w:fldChar w:fldCharType="end"/>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对于采取农村污水收集处理设施</w:t>
      </w:r>
      <w:r>
        <w:rPr>
          <w:rFonts w:ascii="Arial" w:cs="Arial" w:eastAsia="宋体" w:hAnsi="Arial"/>
          <w:sz w:val="22"/>
        </w:rPr>
        <w:t>，通常采取占用村集体经济组织的未利用地或荒地，尽量减少占用农地。如果确需占用农用地，则通过在集体经济组织内部进行土地调整，或与农户协商占地补偿来加以解决。这种类型的占地是基于自愿协商的，如农户不接受协商结果，通常会选择其它地址。</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土地流转项目通常适用于绿色农业种植及其相关的设施活动，按法律要求只能从事与农业种植相关活动，确保农地农用，</w:t>
      </w:r>
      <w:r>
        <w:rPr>
          <w:rFonts w:ascii="Arial" w:cs="Arial" w:eastAsia="宋体" w:hAnsi="Arial"/>
          <w:sz w:val="22"/>
          <w:szCs w:val="24"/>
        </w:rPr>
        <w:t>不得改变承包土地的所有权性质及其农业用途</w:t>
      </w:r>
      <w:r>
        <w:rPr>
          <w:rFonts w:ascii="Arial" w:cs="Arial" w:eastAsia="宋体" w:hAnsi="Arial"/>
          <w:sz w:val="22"/>
        </w:rPr>
        <w:t>，对于耕地“非农化”，各地自然资源的执法大队有日常督察机制，因此，土地流转管理系统能够确保尽量避免因为占地造成负面影响。</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(ii) 识别并解决因征地或丧失自然资源而造成的经济和社会影响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据各县自然资源部门和项目实施机构、实施企业介绍，无论是征地集体土地还是农业设施用地，在启动用地审查前，</w:t>
      </w:r>
      <w:r>
        <w:rPr>
          <w:rFonts w:ascii="Arial" w:cs="Arial" w:eastAsia="宋体" w:hAnsi="Arial"/>
          <w:sz w:val="22"/>
          <w:szCs w:val="24"/>
        </w:rPr>
        <w:t>都要依据法规要求组织有关部门开展现场踏勘</w:t>
      </w:r>
      <w:r>
        <w:rPr>
          <w:rFonts w:ascii="Arial" w:cs="Arial" w:eastAsia="宋体" w:hAnsi="Arial"/>
          <w:sz w:val="22"/>
        </w:rPr>
        <w:t>、勘测定界，确定项目红线，并开展实物影响量的调查，对受用地造成的各项影响进行登记，并获得村民签字确认。对于永久征地的项目，实物调查结果和征地补偿安置方案要向受影响社区公告至少30天，设施农用地的实物调查结果和协议草案向受影响社区公告至于 10 天。公告期结束无异议的，才能启动征地/用地协议的签订。协议签订完成且相关土地批复文件完成后，审批部门在批复文件中都会注明，用地方需按征地补偿安置方案或其它类似补偿依据，对因占地造成损失进行足额补偿。对不再使用的土地，退出归还土地前，还应按要求做好土地复垦并对土地地力的损失进行补偿。例如在贵州省三都县垃圾压缩转运站建设项目的土地预审批复中，当地自然资源部门要求用地单位配合有关部门做好征地补偿安置工作，采取社会保障措施，却被征地农膜生活水平不降低，依法履行土地复垦。在广西罗城仫佬族自治县新好农牧设施农用地的批复文件中，负责批准该设施农用地文件的小长安镇政府在批复意见中要求，用地单位不得扩大用地面积，不得改变土地用途，用地期满后，按要求进行土地复垦。</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(iii) 项目用地前按照重置价足额支付补偿款和过渡费</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各地自然资源部门确认，</w:t>
      </w:r>
      <w:r>
        <w:rPr>
          <w:rFonts w:ascii="Arial" w:cs="Arial" w:eastAsia="宋体" w:hAnsi="Arial"/>
          <w:sz w:val="22"/>
          <w:szCs w:val="24"/>
        </w:rPr>
        <w:t>各县市征地和集体土地上房屋拆迁的补偿标准是结合当地经济发展水平和市场行情</w:t>
      </w:r>
      <w:r>
        <w:rPr>
          <w:rFonts w:ascii="Arial" w:cs="Arial" w:eastAsia="宋体" w:hAnsi="Arial"/>
          <w:sz w:val="22"/>
        </w:rPr>
        <w:t>，每两到三年进行一次市场评估，并根据评估结果进行更新，一些县市在特定期间调整的频率更高。例如</w:t>
      </w:r>
      <w:r>
        <w:rPr>
          <w:rFonts w:ascii="Arial" w:cs="Arial" w:eastAsia="宋体" w:hAnsi="Arial" w:hint="eastAsia"/>
          <w:sz w:val="22"/>
          <w:lang w:eastAsia="zh-CN"/>
        </w:rPr>
        <w:t>广西壮族自治区</w:t>
      </w:r>
      <w:r>
        <w:rPr>
          <w:rFonts w:ascii="Arial" w:cs="Arial" w:eastAsia="宋体" w:hAnsi="Arial"/>
          <w:sz w:val="22"/>
        </w:rPr>
        <w:t>罗城县在2020年和2021年对当地片区综合地价标准做了连续两次调整，确保土地补偿符合市场最新变化行情。通过对省项目办和样本县的调查咨询，本项目不涉及拆迁问题。</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小型污水处理设施，其占用土地规模较小的情况，如占用农户承包土地，通常由集体经济组织与地承包农户签订征收合同，并根据当地现行的土地征收补偿政策给予村民足额补偿，而土地性质不变，仍是集体所有。例如贵州省施秉县杨柳塘镇上敖村污水处理设施占地326m</w:t>
      </w:r>
      <w:r>
        <w:rPr>
          <w:rFonts w:ascii="Arial" w:cs="Arial" w:eastAsia="宋体" w:hAnsi="Arial"/>
          <w:sz w:val="22"/>
          <w:vertAlign w:val="superscript"/>
        </w:rPr>
        <w:t>2</w:t>
      </w:r>
      <w:r>
        <w:rPr>
          <w:rFonts w:ascii="Arial" w:cs="Arial" w:eastAsia="宋体" w:hAnsi="Arial"/>
          <w:sz w:val="22"/>
        </w:rPr>
        <w:t>，由村委会与农户签订土地征收合同，并依据政策进行了补偿，项目地点、占地面积和补偿标准在合同都进行了明确，并由村民签字确认。（如附件8</w:t>
      </w:r>
      <w:r>
        <w:rPr>
          <w:rFonts w:ascii="Arial" w:cs="Arial" w:eastAsia="宋体" w:hAnsi="Arial"/>
          <w:sz w:val="22"/>
        </w:rPr>
        <w:fldChar w:fldCharType="begin"/>
      </w:r>
      <w:r>
        <w:rPr>
          <w:rFonts w:ascii="Arial" w:cs="Arial" w:eastAsia="宋体" w:hAnsi="Arial"/>
          <w:sz w:val="22"/>
        </w:rPr>
        <w:instrText xml:space="preserve"> REF _Ref92531025 \h  \* MERGEFORMAT </w:instrText>
      </w:r>
      <w:r>
        <w:rPr>
          <w:rFonts w:ascii="Arial" w:cs="Arial" w:eastAsia="宋体" w:hAnsi="Arial"/>
          <w:sz w:val="22"/>
        </w:rPr>
        <w:fldChar w:fldCharType="separate"/>
      </w:r>
      <w:r>
        <w:rPr>
          <w:rFonts w:ascii="Arial" w:cs="Arial" w:eastAsia="宋体" w:hAnsi="Arial"/>
        </w:rPr>
        <w:t>图 15</w:t>
      </w:r>
      <w:r>
        <w:rPr>
          <w:rFonts w:ascii="Arial" w:cs="Arial" w:eastAsia="宋体" w:hAnsi="Arial"/>
          <w:sz w:val="22"/>
        </w:rPr>
        <w:fldChar w:fldCharType="end"/>
      </w:r>
      <w:r>
        <w:rPr>
          <w:rFonts w:ascii="Arial" w:cs="Arial" w:eastAsia="宋体" w:hAnsi="Arial"/>
          <w:sz w:val="22"/>
        </w:rPr>
        <w:t>）</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(iv) 生计恢复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各县市人</w:t>
      </w:r>
      <w:r>
        <w:rPr>
          <w:rFonts w:ascii="Arial" w:cs="Arial" w:eastAsia="宋体" w:hAnsi="Arial" w:hint="eastAsia"/>
          <w:sz w:val="22"/>
        </w:rPr>
        <w:t>力资源和社会保障</w:t>
      </w:r>
      <w:r>
        <w:rPr>
          <w:rFonts w:ascii="Arial" w:cs="Arial" w:eastAsia="宋体" w:hAnsi="Arial"/>
          <w:sz w:val="22"/>
        </w:rPr>
        <w:t>局还介绍了</w:t>
      </w:r>
      <w:r>
        <w:rPr>
          <w:rFonts w:ascii="Arial" w:cs="Arial" w:eastAsia="宋体" w:hAnsi="Arial" w:hint="eastAsia"/>
          <w:sz w:val="22"/>
        </w:rPr>
        <w:t>被征地</w:t>
      </w:r>
      <w:r>
        <w:rPr>
          <w:rFonts w:ascii="Arial" w:cs="Arial" w:eastAsia="宋体" w:hAnsi="Arial"/>
          <w:sz w:val="22"/>
        </w:rPr>
        <w:t>农民养老保险制度、</w:t>
      </w:r>
      <w:bookmarkStart w:id="542" w:name="_Hlk66132547"/>
      <w:r>
        <w:rPr>
          <w:rFonts w:ascii="Arial" w:cs="Arial" w:eastAsia="宋体" w:hAnsi="Arial"/>
          <w:sz w:val="22"/>
        </w:rPr>
        <w:t>就业培训和扶持政策</w:t>
      </w:r>
      <w:bookmarkEnd w:id="542"/>
      <w:r>
        <w:rPr>
          <w:rFonts w:ascii="Arial" w:cs="Arial" w:eastAsia="宋体" w:hAnsi="Arial"/>
          <w:sz w:val="22"/>
        </w:rPr>
        <w:t>，确认了</w:t>
      </w:r>
      <w:r>
        <w:rPr>
          <w:rFonts w:ascii="Arial" w:cs="Arial" w:eastAsia="宋体" w:hAnsi="Arial" w:hint="eastAsia"/>
          <w:sz w:val="22"/>
        </w:rPr>
        <w:t>被征地</w:t>
      </w:r>
      <w:r>
        <w:rPr>
          <w:rFonts w:ascii="Arial" w:cs="Arial" w:eastAsia="宋体" w:hAnsi="Arial"/>
          <w:sz w:val="22"/>
        </w:rPr>
        <w:t>农民在征地后，不会因为征地而失去生活依靠。</w:t>
      </w:r>
      <w:r>
        <w:rPr>
          <w:rFonts w:ascii="Arial" w:cs="Arial" w:eastAsia="宋体" w:hAnsi="Arial" w:hint="eastAsia"/>
          <w:sz w:val="22"/>
        </w:rPr>
        <w:t>被征地</w:t>
      </w:r>
      <w:r>
        <w:rPr>
          <w:rFonts w:ascii="Arial" w:cs="Arial" w:eastAsia="宋体" w:hAnsi="Arial"/>
          <w:sz w:val="22"/>
        </w:rPr>
        <w:t>农民可根据其实际需求，</w:t>
      </w:r>
      <w:r>
        <w:rPr>
          <w:rFonts w:ascii="Arial" w:cs="Arial" w:eastAsia="宋体" w:hAnsi="Arial" w:hint="eastAsia"/>
          <w:sz w:val="22"/>
        </w:rPr>
        <w:t>自愿</w:t>
      </w:r>
      <w:r>
        <w:rPr>
          <w:rFonts w:ascii="Arial" w:cs="Arial" w:eastAsia="宋体" w:hAnsi="Arial"/>
          <w:sz w:val="22"/>
        </w:rPr>
        <w:t>选择参与不同类型的社会保障系统，如1</w:t>
      </w:r>
      <w:bookmarkStart w:id="543" w:name="_Hlk90216594"/>
      <w:r>
        <w:rPr>
          <w:rFonts w:ascii="Arial" w:cs="Arial" w:eastAsia="宋体" w:hAnsi="Arial"/>
          <w:sz w:val="22"/>
        </w:rPr>
        <w:t>）</w:t>
      </w:r>
      <w:r>
        <w:rPr>
          <w:rFonts w:ascii="Arial" w:cs="Arial" w:eastAsia="宋体" w:hAnsi="Arial"/>
          <w:sz w:val="22"/>
          <w:szCs w:val="24"/>
        </w:rPr>
        <w:t>城乡居民基本养老保险</w:t>
      </w:r>
      <w:r>
        <w:rPr>
          <w:rFonts w:ascii="Arial" w:cs="Arial" w:eastAsia="宋体" w:hAnsi="Arial"/>
          <w:sz w:val="22"/>
        </w:rPr>
        <w:t>：2021年广西壮族自治区基础养老金最低标准每人每月131元，贵州为</w:t>
      </w:r>
      <w:r>
        <w:rPr>
          <w:rFonts w:ascii="Arial" w:cs="Arial" w:eastAsia="宋体" w:hAnsi="Arial" w:hint="eastAsia"/>
          <w:sz w:val="22"/>
        </w:rPr>
        <w:t>98</w:t>
      </w:r>
      <w:r>
        <w:rPr>
          <w:rFonts w:ascii="Arial" w:cs="Arial" w:eastAsia="宋体" w:hAnsi="Arial"/>
          <w:sz w:val="22"/>
        </w:rPr>
        <w:t>元。未到达退休年龄人员的社保补贴，由当地政府一次性支付发放到其养老保险个人账户，到达退休年龄的人员，社保补贴由人社局按月发放养老金。受影响人口可以自愿选择提高其缴费</w:t>
      </w:r>
      <w:r>
        <w:rPr>
          <w:rFonts w:ascii="Arial" w:cs="Arial" w:eastAsia="宋体" w:hAnsi="Arial" w:hint="eastAsia"/>
          <w:sz w:val="22"/>
        </w:rPr>
        <w:t>标准档次</w:t>
      </w:r>
      <w:r>
        <w:rPr>
          <w:rFonts w:ascii="Arial" w:cs="Arial" w:eastAsia="宋体" w:hAnsi="Arial"/>
          <w:sz w:val="22"/>
        </w:rPr>
        <w:t>，以便在达到法定年龄时获得更高的养老金；2）城镇职工养老保险，自愿选择企业职工基本养老保险的，按缴费一年补贴一年，以现金的方式补贴给个人，鼓励个人缴费参加城镇职工养老保险，以便在达到退休年龄后领取养老金，缴费标准越高，退休时养老金越高。2021年广西和贵州省平均每人每月均 3000元。</w:t>
      </w:r>
      <w:bookmarkEnd w:id="543"/>
      <w:r>
        <w:rPr>
          <w:rFonts w:ascii="Arial" w:cs="Arial" w:eastAsia="宋体" w:hAnsi="Arial"/>
          <w:sz w:val="22"/>
        </w:rPr>
        <w:t>没有达到退休年龄的，可以通过政府就业</w:t>
      </w:r>
      <w:r>
        <w:rPr>
          <w:rFonts w:ascii="Arial" w:cs="Arial" w:eastAsia="宋体" w:hAnsi="Arial" w:hint="eastAsia"/>
          <w:sz w:val="22"/>
        </w:rPr>
        <w:t>技能</w:t>
      </w:r>
      <w:r>
        <w:rPr>
          <w:rFonts w:ascii="Arial" w:cs="Arial" w:eastAsia="宋体" w:hAnsi="Arial"/>
          <w:sz w:val="22"/>
        </w:rPr>
        <w:t>培训、就业支持获得就业并获得收益。特别是农村地区，农民的收益包括土地租赁、就近务工等。例如，对贵州息烽县的猕猴桃和蔬菜种植产业园的调查发现，农业设施公司采用了土地入股分红，鼓励本村村民在园区内务工，参与务工的农民通常不少于2000元/月。</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(v) 公共设施恢复的政策安排</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征地拆迁可能造成的公共设施影响，在对各地自然资源部门沟通咨询过程中确认，县级人民政府组织征地范围内或设施农用地的土地踏勘和调查，对用地范围内造成的任何社会影响和风险要由专业机构进行识别、评估，</w:t>
      </w:r>
      <w:r>
        <w:rPr>
          <w:rFonts w:ascii="Arial" w:cs="Arial" w:eastAsia="宋体" w:hAnsi="Arial"/>
          <w:sz w:val="22"/>
          <w:szCs w:val="24"/>
        </w:rPr>
        <w:t>并制定管理计划</w:t>
      </w:r>
      <w:r>
        <w:rPr>
          <w:rFonts w:ascii="Arial" w:cs="Arial" w:eastAsia="宋体" w:hAnsi="Arial"/>
          <w:sz w:val="22"/>
        </w:rPr>
        <w:t>。另一方面，项目在准备阶段还需开展《社会稳定风险》评估，也会对项目可能造成的相关社会影响都将进行识别，该过程中包括听取公众意见和建议。通过这些措施，可以确保项目影响到的公共设施和社区服务能得到保护，或在影响后尽快恢复,甚至结合公众参与的意见建议进行提升。</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(vi) 信息公示、公众参与和知情决策</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如上文分析，</w:t>
      </w:r>
      <w:r>
        <w:rPr>
          <w:rFonts w:ascii="Arial" w:cs="Arial" w:eastAsia="宋体" w:hAnsi="Arial"/>
          <w:sz w:val="22"/>
          <w:szCs w:val="24"/>
        </w:rPr>
        <w:t>在各集体土地征收和农业设施用地的实施过程中</w:t>
      </w:r>
      <w:r>
        <w:rPr>
          <w:rFonts w:ascii="Arial" w:cs="Arial" w:eastAsia="宋体" w:hAnsi="Arial"/>
          <w:sz w:val="22"/>
        </w:rPr>
        <w:t>，各地都依法开展了信息公开、听证、公示。因为信息公开和公众参与的材料是用地批复申请材料的必要材料之一。对于土地流转，用地方在申请阶段需接受项目所在村社和乡镇政府的资质审查，达到一定规模以上的，如1000亩以上还需县农业农村局审查。审查通过后，用地双方协商土地流转协议的同时，用地方需确保有关项目的资料向乡镇政府、集体经济组织和土地流转相关农户免费和无条件开放。用地双方就土地流转协议各项条款（如边界、面积、年限、价格等）达成一致后土地流转协议才能签署。因此，土地流转是双方认可的结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广西贵州两省在移民安置管理上，依据相关法规要求，对涉及土地征收、</w:t>
      </w:r>
      <w:r>
        <w:rPr>
          <w:rFonts w:ascii="Arial" w:cs="Arial" w:eastAsia="宋体" w:hAnsi="Arial"/>
          <w:sz w:val="22"/>
          <w:szCs w:val="24"/>
        </w:rPr>
        <w:t>施农用地使用和土地流转的项目包括有系统性的影响筛选和管理机制</w:t>
      </w:r>
      <w:r>
        <w:rPr>
          <w:rFonts w:ascii="Arial" w:cs="Arial" w:eastAsia="宋体" w:hAnsi="Arial"/>
          <w:sz w:val="22"/>
        </w:rPr>
        <w:t>，包括项目影响识别、管理计划的制定、对个人损失的补偿安置、生计恢复、实施机构责任落实和财政支持等，这些机制及其有效运行确保了用地影响得到妥善管理。</w:t>
      </w:r>
    </w:p>
    <w:bookmarkStart w:id="544" w:name="_Toc90729540"/>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45" w:name="_Toc93944834"/>
      <w:r>
        <w:rPr>
          <w:rFonts w:ascii="Arial" w:cs="Arial" w:eastAsia="宋体" w:hAnsi="Arial"/>
          <w:sz w:val="22"/>
          <w:szCs w:val="22"/>
        </w:rPr>
        <w:t>核心原则5：少数民族和弱势群体的管理体系</w:t>
      </w:r>
      <w:bookmarkEnd w:id="544"/>
      <w:bookmarkEnd w:id="545"/>
    </w:p>
    <w:p>
      <w:pPr>
        <w:pStyle w:val="style4115"/>
        <w:shd w:val="clear" w:color="auto" w:fill="d8d8d8"/>
        <w:tabs>
          <w:tab w:val="clear" w:pos="540"/>
        </w:tabs>
        <w:adjustRightInd w:val="false"/>
        <w:snapToGrid w:val="false"/>
        <w:spacing w:before="120" w:after="120"/>
        <w:jc w:val="left"/>
        <w:rPr>
          <w:rFonts w:ascii="Arial" w:cs="Arial" w:eastAsia="宋体" w:hAnsi="Arial"/>
          <w:lang w:eastAsia="zh-CN"/>
        </w:rPr>
      </w:pPr>
      <w:r>
        <w:rPr>
          <w:rFonts w:ascii="Arial" w:cs="Arial" w:eastAsia="宋体" w:hAnsi="Arial"/>
          <w:b/>
          <w:bCs/>
          <w:lang w:eastAsia="zh-CN"/>
        </w:rPr>
        <w:t>要素10：</w:t>
      </w:r>
      <w:r>
        <w:rPr>
          <w:rFonts w:ascii="Arial" w:cs="Arial" w:eastAsia="宋体" w:hAnsi="Arial"/>
          <w:lang w:eastAsia="zh-CN"/>
        </w:rPr>
        <w:t>如果少数民族可能受到（正面或负面）影响，则进行有意义的磋商，以获得广泛的社区支持。</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在与两省各县的民族事务管理部门的访谈了解到，从两个方面阐述了在项目管理中咨询少数民族</w:t>
      </w:r>
      <w:r>
        <w:rPr>
          <w:rFonts w:ascii="Arial" w:cs="Arial" w:eastAsia="宋体" w:hAnsi="Arial" w:hint="eastAsia"/>
          <w:sz w:val="22"/>
        </w:rPr>
        <w:t>事务</w:t>
      </w:r>
      <w:r>
        <w:rPr>
          <w:rFonts w:ascii="Arial" w:cs="Arial" w:eastAsia="宋体" w:hAnsi="Arial"/>
          <w:sz w:val="22"/>
        </w:rPr>
        <w:t>的管理：一方面，遵守《宪法》和有关民族</w:t>
      </w:r>
      <w:r>
        <w:rPr>
          <w:rFonts w:ascii="Arial" w:cs="Arial" w:eastAsia="宋体" w:hAnsi="Arial" w:hint="eastAsia"/>
          <w:sz w:val="22"/>
        </w:rPr>
        <w:t>事务</w:t>
      </w:r>
      <w:r>
        <w:rPr>
          <w:rFonts w:ascii="Arial" w:cs="Arial" w:eastAsia="宋体" w:hAnsi="Arial"/>
          <w:sz w:val="22"/>
        </w:rPr>
        <w:t>法律法规，在处理涉及本地方各民族的问题的时候，必须与他们的代表充分协商，尊重他们的意见；</w:t>
      </w:r>
      <w:r>
        <w:rPr>
          <w:rFonts w:ascii="Arial" w:cs="Arial" w:eastAsia="宋体" w:hAnsi="Arial"/>
          <w:sz w:val="22"/>
          <w:szCs w:val="24"/>
        </w:rPr>
        <w:t>民族自治地方的自治机关保障本地方内各民族公民都享有宪法规定的公民权利</w:t>
      </w:r>
      <w:r>
        <w:rPr>
          <w:rFonts w:ascii="Arial" w:cs="Arial" w:eastAsia="宋体" w:hAnsi="Arial"/>
          <w:sz w:val="22"/>
        </w:rPr>
        <w:t>；另一方面，遵守一般性建设项目评估管理的有关要求，开展相应的公众咨询。各县针对本地的少数民族地区发展特点每五年都制定了发展规划，并实施了民族地区发展和文化保护项目。针对广西和贵州均为少数民族聚居区较多的情况，本次ESSA团队在样本县的选址上，各省分别调查了一个少数民族自治县，包括广西罗城仫佬族自治县和贵州三都水族自治县。通过调查得知，各县政府的民族事务管理部门是民族宗教局（民宗局）。从各县民宗局介绍的介绍得知，少数民族地区的经济发展项目通常都是由各村、乡镇根据自身发展需要，每年向民宗部门或其它职能部门提出建设申请，民宗部门和其它职能部门在听取基层单位的报告后，根据项目建设的必要性、紧迫性，将储备的项目分批次向上级申请资金来组织评估和建设的，因此，项目建设是基于少数民族地区自身需求并充分听取和尊重了少数民族地区意见的结果，具有广泛的少数民族居民的支持。在具体单个项目的管理上，在少数民族</w:t>
      </w:r>
      <w:r>
        <w:rPr>
          <w:rFonts w:ascii="Arial" w:cs="Arial" w:eastAsia="宋体" w:hAnsi="Arial" w:hint="eastAsia"/>
          <w:sz w:val="22"/>
        </w:rPr>
        <w:t>地区</w:t>
      </w:r>
      <w:r>
        <w:rPr>
          <w:rFonts w:ascii="Arial" w:cs="Arial" w:eastAsia="宋体" w:hAnsi="Arial"/>
          <w:sz w:val="22"/>
        </w:rPr>
        <w:t>的项目沿用现有的管理机制，如项目前期的可行性研究，社会稳定风险评估等论证过程，这些评估和论证已包括了系统性的公众咨询和磋商的管理内容，因此能够确保少数民族得到尊重。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szCs w:val="24"/>
        </w:rPr>
        <w:t>通过对省级和县级管理方式的了解</w:t>
      </w:r>
      <w:r>
        <w:rPr>
          <w:rFonts w:ascii="Arial" w:cs="Arial" w:eastAsia="宋体" w:hAnsi="Arial"/>
          <w:sz w:val="22"/>
        </w:rPr>
        <w:t>，现有少数民族</w:t>
      </w:r>
      <w:r>
        <w:rPr>
          <w:rFonts w:ascii="Arial" w:cs="Arial" w:eastAsia="宋体" w:hAnsi="Arial" w:hint="eastAsia"/>
          <w:sz w:val="22"/>
        </w:rPr>
        <w:t>事务</w:t>
      </w:r>
      <w:r>
        <w:rPr>
          <w:rFonts w:ascii="Arial" w:cs="Arial" w:eastAsia="宋体" w:hAnsi="Arial"/>
          <w:sz w:val="22"/>
        </w:rPr>
        <w:t>管理体系能确保对少数民族居民进行充分的咨询和沟通。在少数民族地区实施项目时，少数民族权益能够在法律和实施层面得到充分尊重，包括保障少数民族事先的知情权。这些管理体系的有效运转，能确保项目获得少数民族地区居民的广泛支持。因此，实践效果证实与世行的政策原则一致。</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要素11：</w:t>
      </w:r>
      <w:r>
        <w:rPr>
          <w:rFonts w:ascii="Arial" w:cs="Arial" w:eastAsia="宋体" w:hAnsi="Arial"/>
          <w:lang w:eastAsia="zh-CN"/>
        </w:rPr>
        <w:t>确保少数民族可以利用传统资源或文化，通过项目创造工作机会，其中，使用少数民族地区文化资源的，应征得相关少数民族的同意。</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国家以及广西和贵州两省在安排各项经济发展计划时，对少数民族地区有政策和资金的支持。规模较小的项目，如50万元左右，通常通过民宗部门来组织实施，规模较大且专业性较强的项目，如水利设施等，则由专门的职能部门主导实施。从掌握的信息看，每年通过民宗局部门获得的中央、省、市/</w:t>
      </w:r>
      <w:r>
        <w:rPr>
          <w:rFonts w:ascii="Arial" w:cs="Arial" w:eastAsia="宋体" w:hAnsi="Arial"/>
          <w:sz w:val="22"/>
          <w:szCs w:val="24"/>
        </w:rPr>
        <w:t>州三级少数民族发展资金</w:t>
      </w:r>
      <w:r>
        <w:rPr>
          <w:rFonts w:ascii="Arial" w:cs="Arial" w:eastAsia="宋体" w:hAnsi="Arial"/>
          <w:sz w:val="22"/>
        </w:rPr>
        <w:t>，少数民族自治县通常较其它县高。例如，2021年通过罗城仫佬族自治县民宗局获得的少数民族发展资金约2000万，资源县1400多万元，平桂区为387万元；贵州方面，2021年三都水族自治县民宗局获得的少数民族发展资金是1165万元（全省第二），息烽县民宗局为520万，施秉县660万元。从项目类型看，主要是支持少数民族地区基础设施建设，也包括农业发展，如灌溉设施建设和提升改造，也包括少数民族传统文化保护，如关于支持传统手工艺、歌谣、语言传承的培训等。例如2021年三都县凤羽街道少数民族特色村寨姑挂村特色产业发展项目获得了39.6万元的中央财政资金支持，三都县凤羽街道万户水寨社区马尾绣培训获得了15万元的省级财政资金支持等。通过这些项目的发展，少数民族地区的人们可以利用本民族的传统特殊资源获得收益，如参与旅游及相关服务的收益，就业收益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各地项目所在地区少数民族文化的物质文化和非物质文化不尽相同，各地均有针对少数民族文化进行保护的规划，</w:t>
      </w:r>
      <w:r>
        <w:rPr>
          <w:rFonts w:ascii="Arial" w:cs="Arial" w:eastAsia="宋体" w:hAnsi="Arial"/>
          <w:sz w:val="22"/>
          <w:szCs w:val="24"/>
        </w:rPr>
        <w:t>并每年都在实施相关项目</w:t>
      </w:r>
      <w:r>
        <w:rPr>
          <w:rFonts w:ascii="Arial" w:cs="Arial" w:eastAsia="宋体" w:hAnsi="Arial"/>
          <w:sz w:val="22"/>
        </w:rPr>
        <w:t>。本项目的实施是对当地系统性的少数民族发展规划的一种促进和支持，将为少数民族地区的居民带来更多发展机会。</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要素12：</w:t>
      </w:r>
      <w:r>
        <w:rPr>
          <w:rFonts w:ascii="Arial" w:cs="Arial" w:eastAsia="宋体" w:hAnsi="Arial"/>
          <w:lang w:eastAsia="zh-CN"/>
        </w:rPr>
        <w:t>关注困难群体或受到歧视的群体，包括穷人，残疾人，妇女和儿童，老年人或被边缘化的族群；并在必要时采取特殊措施，以促进公平地获得项目收益。</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法律法规要求，对妇女权益的保护是各部门各单位都在实施的管理内容，其中主要是通过各级妇联组织和企业和单位内部的妇女事务管理部门来组织的。无论是各级政府的妇联还是企业单位的内部管理，每年都安排有妇女权益保护和妇女发展的项目和资金。例如据广西贺州市桂平区妇联介绍，2021</w:t>
      </w:r>
      <w:r>
        <w:rPr>
          <w:rFonts w:ascii="Arial" w:cs="Arial" w:eastAsia="宋体" w:hAnsi="Arial"/>
          <w:sz w:val="22"/>
          <w:szCs w:val="24"/>
        </w:rPr>
        <w:t>年该区妇联协助妇女进行了关于家庭暴力和纠纷等方面的维权</w:t>
      </w:r>
      <w:r>
        <w:rPr>
          <w:rFonts w:ascii="Arial" w:cs="Arial" w:eastAsia="宋体" w:hAnsi="Arial"/>
          <w:sz w:val="22"/>
        </w:rPr>
        <w:t>16次，同时帮助生活中遇到困难的妇女儿童，为她们提供法律援助和支持等，在妇女“两癌”救助上，2021年救助涉及1.522万人，涉及77.15万元。2021年</w:t>
      </w:r>
      <w:r>
        <w:rPr>
          <w:rFonts w:ascii="Arial" w:cs="Arial" w:eastAsia="宋体" w:hAnsi="Arial" w:hint="eastAsia"/>
          <w:sz w:val="22"/>
          <w:lang w:eastAsia="zh-CN"/>
        </w:rPr>
        <w:t>广西壮族自治区</w:t>
      </w:r>
      <w:r>
        <w:rPr>
          <w:rFonts w:ascii="Arial" w:cs="Arial" w:eastAsia="宋体" w:hAnsi="Arial"/>
          <w:sz w:val="22"/>
        </w:rPr>
        <w:t>罗城仫佬族自治县妇联在获得妇女发展资金上获得了中央和省财政的支持在全省名列前茅，共获得50万元经费支持，用于妇女仫佬族刺绣民族特色手工业培训，家政、电商培训，有197人妇女获得受益。息烽县2020年农业农村部门组织的高素质农民培训中，还制定了深受女性喜爱的菊花、柑橘培植技术、肉鸡养殖技术培训，全县共89名妇女参加，全部通过培训。广西资源县从2018年开始与联合国粮农组织合作，在该县每个科目的高素质农民培训中必须保证女性人数比例不低于30%。除政府妇联外，各企业对妇女员工的权益保护均按《妇女保护法》等法规实施，例如广西资源县环卫公司与员工的合同中包括了女性健康体检，孕期产期和哺乳期不能接触劳动合同等内容。</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对于孤儿、留守未成年人和老年人、</w:t>
      </w:r>
      <w:r>
        <w:rPr>
          <w:rFonts w:ascii="Arial" w:cs="Arial" w:eastAsia="宋体" w:hAnsi="Arial" w:hint="eastAsia"/>
          <w:sz w:val="22"/>
        </w:rPr>
        <w:t>残疾人</w:t>
      </w:r>
      <w:r>
        <w:rPr>
          <w:rFonts w:ascii="Arial" w:cs="Arial" w:eastAsia="宋体" w:hAnsi="Arial"/>
          <w:sz w:val="22"/>
        </w:rPr>
        <w:t>、低保对象、特困人员，各地主要通过民政部门、残联部门进行管理，负责对本行政区域内的人员进行统计和救助。</w:t>
      </w:r>
      <w:bookmarkStart w:id="546" w:name="_Hlk90216733"/>
      <w:r>
        <w:rPr>
          <w:rFonts w:ascii="Arial" w:cs="Arial" w:eastAsia="宋体" w:hAnsi="Arial"/>
          <w:sz w:val="22"/>
        </w:rPr>
        <w:t>针对这类人群的工作，政府每年安排了专项财政资金，确保这类人群的权益得到保障。例如广西罗城县，截止2021年12月，该县孤儿及事实无人抚养的未成年人226人，累计发放孤儿保障金428人次共41.69万元，事实无人抚养未成年人生活保障金累计发放2031人次共171.</w:t>
      </w:r>
      <w:r>
        <w:rPr>
          <w:rFonts w:ascii="Arial" w:cs="Arial" w:eastAsia="宋体" w:hAnsi="Arial"/>
          <w:sz w:val="22"/>
          <w:szCs w:val="24"/>
        </w:rPr>
        <w:t>81</w:t>
      </w:r>
      <w:r>
        <w:rPr>
          <w:rFonts w:ascii="Arial" w:cs="Arial" w:eastAsia="宋体" w:hAnsi="Arial"/>
          <w:sz w:val="22"/>
        </w:rPr>
        <w:t>万元，通过“孤儿助学工程”资助13人，累计发放保障金36人次共9.00万元，有499名儿童纳入该县残疾人补贴。累计发放重度残疾人护理补贴3983人次，发放补贴金34.63万元；累计发放困难残疾人生活补贴4130人次，发放补贴金35.50万元。</w:t>
      </w:r>
      <w:bookmarkEnd w:id="546"/>
      <w:r>
        <w:rPr>
          <w:rFonts w:ascii="Arial" w:cs="Arial" w:eastAsia="宋体" w:hAnsi="Arial"/>
          <w:sz w:val="22"/>
        </w:rPr>
        <w:t>通过了解，各地对相关的管理系统基本类似。以广西贺州市平桂区、贵州省息烽县和三都县为例，1）组织管理上，在民政局统筹领导本区范围内相关事务，在每个乡镇人民政府配备至少1名儿童督导员、村（居）委会配备1名儿童主任，每所义务教育阶段学校至少配备1名专（兼）职心理健康辅导教师，负责信息排查和报送、督促家庭关爱、开展关爱服务等工作。2）预算安排，每年均安排有专项经费及日常工作经费纳入县、乡镇两级财政预算，确保相关管理工作和支持得以落实。</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调研显示，各级脱贫攻坚的主要管理部门是各级乡村振兴部门。在县级层面上，各县乡村振兴局都建立了十分完整的贫困人口及家庭的数据库。虽然2020年各地已陆续脱贫，</w:t>
      </w:r>
      <w:r>
        <w:rPr>
          <w:rFonts w:ascii="Arial" w:cs="Arial" w:eastAsia="宋体" w:hAnsi="Arial"/>
          <w:sz w:val="22"/>
          <w:szCs w:val="24"/>
        </w:rPr>
        <w:t>但地方政府仍然对包括每个村脱贫人口和家庭姓名</w:t>
      </w:r>
      <w:r>
        <w:rPr>
          <w:rFonts w:ascii="Arial" w:cs="Arial" w:eastAsia="宋体" w:hAnsi="Arial"/>
          <w:sz w:val="22"/>
        </w:rPr>
        <w:t>，家庭状况有完整的记录；同时，政府针对各脱贫户，坚持“四不摘”，即不摘责任、不摘政策、不摘帮扶、不摘监管。以广西平桂区为例，针对每个不摘，坚持按照脱贫攻坚的管理体系，1）确保县、乡、村指挥体系不变，由县长为组长，2）落实政策，包括中央、省级资金落实，教育、医疗帮扶政策；3.帮扶，乡村里派驻驻村干部，派乡村第一书记，指导帮扶；4.监管，脱贫不稳定人员，边远易致贫人员，建立了监测机制，监测建台账，安排专人负责，每户情况按期跟踪监管。总体而言，政府是要用五年过渡期来巩固拓展脱贫攻坚成果，通过有序调整、平稳过渡为脱贫农户提供走向自力自强的过渡期。</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b/>
          <w:bCs/>
          <w:kern w:val="44"/>
          <w:sz w:val="22"/>
        </w:rPr>
      </w:pPr>
      <w:r>
        <w:rPr>
          <w:rFonts w:ascii="Arial" w:cs="Arial" w:eastAsia="宋体" w:hAnsi="Arial"/>
          <w:b/>
          <w:bCs/>
          <w:sz w:val="22"/>
        </w:rPr>
        <w:t>评估：</w:t>
      </w:r>
      <w:r>
        <w:rPr>
          <w:rFonts w:ascii="Arial" w:cs="Arial" w:eastAsia="宋体" w:hAnsi="Arial"/>
          <w:sz w:val="22"/>
        </w:rPr>
        <w:t>在妇女发展和权益保护方面，通过妇联组织、企业女职工工作机构、基层妇女组织，能够全面保障妇女发展权益。对于留守未成年人和老人，政府主要通过民政建立起相关数据库，并结合各乡镇和村/社区开展及时帮助。国家和地方对贫困家庭的支持，从政策到预算，再到机构安排都已建立完备的体制机制，不仅能保障贫困户在各类项目中的合法权益，还能够有效管理贫困家庭的扶持与发展问题。</w:t>
      </w:r>
    </w:p>
    <w:p>
      <w:pPr>
        <w:pStyle w:val="style0"/>
        <w:tabs>
          <w:tab w:val="left" w:leader="none" w:pos="851"/>
        </w:tabs>
        <w:adjustRightInd w:val="false"/>
        <w:snapToGrid w:val="false"/>
        <w:spacing w:before="120" w:after="120"/>
        <w:rPr>
          <w:rFonts w:ascii="Arial" w:cs="Arial" w:eastAsia="宋体" w:hAnsi="Arial"/>
          <w:b/>
          <w:bCs/>
          <w:kern w:val="44"/>
          <w:sz w:val="22"/>
        </w:rPr>
      </w:pPr>
      <w:r>
        <w:rPr>
          <w:rFonts w:ascii="Arial" w:cs="Arial" w:eastAsia="宋体" w:hAnsi="Arial"/>
          <w:b/>
          <w:bCs/>
          <w:kern w:val="44"/>
          <w:sz w:val="22"/>
        </w:rPr>
        <w:br w:type="page"/>
      </w:r>
    </w:p>
    <w:bookmarkEnd w:id="461"/>
    <w:p>
      <w:pPr>
        <w:pStyle w:val="style1"/>
        <w:numPr>
          <w:ilvl w:val="0"/>
          <w:numId w:val="4"/>
        </w:numPr>
        <w:tabs>
          <w:tab w:val="left" w:leader="none" w:pos="709"/>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r>
        <w:rPr>
          <w:rFonts w:ascii="Arial" w:cs="Arial" w:eastAsia="宋体" w:hAnsi="Arial"/>
          <w:color w:val="1f4e79"/>
          <w:sz w:val="28"/>
          <w:szCs w:val="28"/>
        </w:rPr>
        <w:tab/>
      </w:r>
      <w:bookmarkStart w:id="547" w:name="_Toc93944835"/>
      <w:r>
        <w:rPr>
          <w:rFonts w:ascii="Arial" w:cs="Arial" w:eastAsia="宋体" w:hAnsi="Arial"/>
          <w:color w:val="1f4e79"/>
          <w:sz w:val="28"/>
          <w:szCs w:val="28"/>
        </w:rPr>
        <w:t>公众参与和申诉机制</w:t>
      </w:r>
      <w:bookmarkEnd w:id="459"/>
      <w:bookmarkEnd w:id="547"/>
    </w:p>
    <w:bookmarkStart w:id="548" w:name="_Toc77947867"/>
    <w:bookmarkStart w:id="549" w:name="_Toc77948011"/>
    <w:bookmarkStart w:id="550" w:name="_Toc77948073"/>
    <w:bookmarkStart w:id="551" w:name="_Toc77947611"/>
    <w:bookmarkStart w:id="552" w:name="_Toc77947817"/>
    <w:bookmarkStart w:id="553" w:name="_Toc77947555"/>
    <w:bookmarkStart w:id="554" w:name="_Toc77948548"/>
    <w:bookmarkStart w:id="555" w:name="_Toc78301192"/>
    <w:bookmarkStart w:id="556" w:name="_Toc79141964"/>
    <w:bookmarkStart w:id="557" w:name="_Toc79402193"/>
    <w:bookmarkStart w:id="558" w:name="_Toc79402240"/>
    <w:bookmarkStart w:id="559" w:name="_Toc79736443"/>
    <w:bookmarkStart w:id="560" w:name="_Toc79736578"/>
    <w:bookmarkStart w:id="561" w:name="_Toc79939266"/>
    <w:bookmarkStart w:id="562" w:name="_Toc88842045"/>
    <w:bookmarkStart w:id="563" w:name="_Toc88857492"/>
    <w:bookmarkStart w:id="564" w:name="_Toc88857571"/>
    <w:bookmarkStart w:id="565" w:name="_Toc88858345"/>
    <w:bookmarkStart w:id="566" w:name="_Toc88858435"/>
    <w:bookmarkStart w:id="567" w:name="_Toc88858587"/>
    <w:bookmarkStart w:id="568" w:name="_Toc88858674"/>
    <w:bookmarkStart w:id="569" w:name="_Toc88858785"/>
    <w:bookmarkStart w:id="570" w:name="_Toc88858838"/>
    <w:bookmarkStart w:id="571" w:name="_Toc88859512"/>
    <w:bookmarkStart w:id="572" w:name="_Toc88860769"/>
    <w:bookmarkStart w:id="573" w:name="_Toc88861939"/>
    <w:bookmarkStart w:id="574" w:name="_Toc88861992"/>
    <w:bookmarkStart w:id="575" w:name="_Toc88862114"/>
    <w:bookmarkStart w:id="576" w:name="_Toc89016122"/>
    <w:bookmarkStart w:id="577" w:name="_Toc89155518"/>
    <w:bookmarkStart w:id="578" w:name="_Toc89155593"/>
    <w:bookmarkStart w:id="579" w:name="_Toc89241957"/>
    <w:bookmarkStart w:id="580" w:name="_Toc89421599"/>
    <w:bookmarkStart w:id="581" w:name="_Toc89425510"/>
    <w:bookmarkStart w:id="582" w:name="_Toc89703059"/>
    <w:bookmarkStart w:id="583" w:name="_Toc89703129"/>
    <w:bookmarkStart w:id="584" w:name="_Toc90169427"/>
    <w:bookmarkStart w:id="585" w:name="_Toc90169523"/>
    <w:bookmarkStart w:id="586" w:name="_Toc90173653"/>
    <w:bookmarkStart w:id="587" w:name="_Toc90173930"/>
    <w:bookmarkStart w:id="588" w:name="_Toc90174107"/>
    <w:bookmarkStart w:id="589" w:name="_Toc90174159"/>
    <w:bookmarkStart w:id="590" w:name="_Toc90176475"/>
    <w:bookmarkStart w:id="591" w:name="_Toc90180680"/>
    <w:bookmarkStart w:id="592" w:name="_Toc90181117"/>
    <w:bookmarkStart w:id="593" w:name="_Toc90216914"/>
    <w:bookmarkStart w:id="594" w:name="_Toc90310601"/>
    <w:bookmarkStart w:id="595" w:name="_Toc90331901"/>
    <w:bookmarkStart w:id="596" w:name="_Toc90332055"/>
    <w:bookmarkStart w:id="597" w:name="_Toc90332311"/>
    <w:bookmarkStart w:id="598" w:name="_Toc90334685"/>
    <w:bookmarkStart w:id="599" w:name="_Toc90414833"/>
    <w:bookmarkStart w:id="600" w:name="_Toc90550992"/>
    <w:bookmarkStart w:id="601" w:name="_Toc90551063"/>
    <w:bookmarkStart w:id="602" w:name="_Toc90551183"/>
    <w:bookmarkStart w:id="603" w:name="_Toc90590535"/>
    <w:bookmarkStart w:id="604" w:name="_Toc90590580"/>
    <w:bookmarkStart w:id="605" w:name="_Toc90711524"/>
    <w:bookmarkStart w:id="606" w:name="_Toc90840430"/>
    <w:bookmarkStart w:id="607" w:name="_Toc90855499"/>
    <w:bookmarkStart w:id="608" w:name="_Toc90855566"/>
    <w:bookmarkStart w:id="609" w:name="_Toc90855784"/>
    <w:bookmarkStart w:id="610" w:name="_Toc90856401"/>
    <w:bookmarkStart w:id="611" w:name="_Toc90904818"/>
    <w:bookmarkStart w:id="612" w:name="_Toc90905804"/>
    <w:bookmarkStart w:id="613" w:name="_Toc91190284"/>
    <w:bookmarkStart w:id="614" w:name="_Toc91572698"/>
    <w:bookmarkStart w:id="615" w:name="_Toc91572766"/>
    <w:bookmarkStart w:id="616" w:name="_Toc91572847"/>
    <w:bookmarkStart w:id="617" w:name="_Toc91572913"/>
    <w:bookmarkStart w:id="618" w:name="_Toc91572979"/>
    <w:bookmarkStart w:id="619" w:name="_Toc91573045"/>
    <w:bookmarkStart w:id="620" w:name="_Toc91573177"/>
    <w:bookmarkStart w:id="621" w:name="_Toc92267156"/>
    <w:bookmarkStart w:id="622" w:name="_Toc92727005"/>
    <w:bookmarkStart w:id="623" w:name="_Toc92803988"/>
    <w:bookmarkStart w:id="624" w:name="_Toc93944836"/>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Pr>
        <w:pStyle w:val="style179"/>
        <w:keepNext/>
        <w:keepLines/>
        <w:numPr>
          <w:ilvl w:val="0"/>
          <w:numId w:val="23"/>
        </w:numPr>
        <w:ind w:firstLineChars="0"/>
        <w:outlineLvl w:val="1"/>
        <w:rPr>
          <w:rFonts w:ascii="Arial" w:cs="Arial" w:eastAsia="宋体" w:hAnsi="Arial"/>
          <w:b/>
          <w:bCs/>
          <w:vanish/>
          <w:color w:val="1f4e79"/>
          <w:sz w:val="22"/>
          <w:szCs w:val="24"/>
        </w:rPr>
      </w:pPr>
    </w:p>
    <w:bookmarkStart w:id="625" w:name="_Toc93944837"/>
    <w:bookmarkStart w:id="626" w:name="_Toc79939267"/>
    <w:p>
      <w:pPr>
        <w:pStyle w:val="style2"/>
        <w:tabs>
          <w:tab w:val="left" w:leader="none" w:pos="567"/>
          <w:tab w:val="left" w:leader="none" w:pos="709"/>
          <w:tab w:val="left" w:leader="none" w:pos="851"/>
        </w:tabs>
        <w:rPr>
          <w:color w:val="1f4e79"/>
          <w:sz w:val="24"/>
          <w:szCs w:val="24"/>
        </w:rPr>
      </w:pPr>
      <w:r>
        <w:rPr>
          <w:color w:val="1f4e79"/>
          <w:sz w:val="24"/>
          <w:szCs w:val="24"/>
        </w:rPr>
        <w:t>5.1</w:t>
      </w:r>
      <w:r>
        <w:rPr>
          <w:color w:val="1f4e79"/>
          <w:sz w:val="24"/>
          <w:szCs w:val="24"/>
        </w:rPr>
        <w:tab/>
      </w:r>
      <w:r>
        <w:rPr>
          <w:color w:val="1f4e79"/>
          <w:sz w:val="24"/>
          <w:szCs w:val="24"/>
        </w:rPr>
        <w:tab/>
      </w:r>
      <w:r>
        <w:rPr>
          <w:color w:val="1f4e79"/>
          <w:sz w:val="24"/>
          <w:szCs w:val="24"/>
        </w:rPr>
        <w:tab/>
      </w:r>
      <w:r>
        <w:rPr>
          <w:color w:val="1f4e79"/>
          <w:sz w:val="24"/>
          <w:szCs w:val="24"/>
        </w:rPr>
        <w:t>公众参与</w:t>
      </w:r>
      <w:bookmarkEnd w:id="625"/>
      <w:bookmarkEnd w:id="62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利益相关方的参与是本ESSA报告的重要内容，也是世行政策的要求。评价中按照受活动影响、对活动感兴趣、影响活动几个类型，识别了各相关利益方。主要包括各级政府主管机构、乡村及社区、</w:t>
      </w:r>
      <w:r>
        <w:rPr>
          <w:rFonts w:ascii="Arial" w:cs="Arial" w:eastAsia="宋体" w:hAnsi="Arial"/>
          <w:sz w:val="22"/>
        </w:rPr>
        <w:t>活动实施运行机构</w:t>
      </w:r>
      <w:r>
        <w:rPr>
          <w:rFonts w:ascii="Arial" w:cs="Arial" w:eastAsia="宋体" w:hAnsi="Arial"/>
          <w:sz w:val="22"/>
          <w:szCs w:val="24"/>
        </w:rPr>
        <w:t>、妇联等社会组织、受影响人等。本项目利益相关方识别见</w:t>
      </w:r>
      <w:r>
        <w:rPr>
          <w:rFonts w:ascii="Arial" w:cs="Arial" w:eastAsia="宋体" w:hAnsi="Arial" w:hint="eastAsia"/>
          <w:b/>
          <w:bCs/>
          <w:sz w:val="22"/>
          <w:szCs w:val="24"/>
        </w:rPr>
        <w:t>附件</w:t>
      </w:r>
      <w:r>
        <w:rPr>
          <w:rFonts w:ascii="Arial" w:cs="Arial" w:eastAsia="宋体" w:hAnsi="Arial"/>
          <w:b/>
          <w:bCs/>
          <w:sz w:val="22"/>
          <w:szCs w:val="24"/>
        </w:rPr>
        <w:t>4</w:t>
      </w:r>
      <w:r>
        <w:rPr>
          <w:rFonts w:ascii="Arial" w:cs="Arial" w:eastAsia="宋体" w:hAnsi="Arial"/>
          <w:sz w:val="22"/>
          <w:szCs w:val="24"/>
        </w:rPr>
        <w:t>。在评估及报告的编制过程中，在两省及相关县区已经开展了大量的参与协商活动，</w:t>
      </w:r>
      <w:r>
        <w:rPr>
          <w:rFonts w:ascii="Arial" w:cs="Arial" w:eastAsia="宋体" w:hAnsi="Arial" w:hint="eastAsia"/>
          <w:sz w:val="22"/>
          <w:szCs w:val="24"/>
        </w:rPr>
        <w:t>包括</w:t>
      </w:r>
      <w:r>
        <w:rPr>
          <w:rFonts w:ascii="Arial" w:cs="Arial" w:eastAsia="宋体" w:hAnsi="Arial"/>
          <w:sz w:val="22"/>
          <w:szCs w:val="24"/>
        </w:rPr>
        <w:t xml:space="preserve">2022 </w:t>
      </w:r>
      <w:r>
        <w:rPr>
          <w:rFonts w:ascii="Arial" w:cs="Arial" w:eastAsia="宋体" w:hAnsi="Arial" w:hint="eastAsia"/>
          <w:sz w:val="22"/>
          <w:szCs w:val="24"/>
        </w:rPr>
        <w:t>年</w:t>
      </w:r>
      <w:r>
        <w:rPr>
          <w:rFonts w:ascii="Arial" w:cs="Arial" w:eastAsia="宋体" w:hAnsi="Arial"/>
          <w:sz w:val="22"/>
          <w:szCs w:val="24"/>
        </w:rPr>
        <w:t>1</w:t>
      </w:r>
      <w:r>
        <w:rPr>
          <w:rFonts w:ascii="Arial" w:cs="Arial" w:eastAsia="宋体" w:hAnsi="Arial" w:hint="eastAsia"/>
          <w:sz w:val="22"/>
          <w:szCs w:val="24"/>
        </w:rPr>
        <w:t>月与贵州和广西</w:t>
      </w:r>
      <w:r>
        <w:rPr>
          <w:rFonts w:ascii="Arial" w:cs="Arial" w:eastAsia="宋体" w:hAnsi="Arial"/>
          <w:sz w:val="22"/>
          <w:szCs w:val="24"/>
        </w:rPr>
        <w:t>相关政府部门针对ESSA报告召开的咨询会。</w:t>
      </w:r>
    </w:p>
    <w:bookmarkStart w:id="627" w:name="_Toc79939268"/>
    <w:bookmarkStart w:id="628" w:name="_Toc93944838"/>
    <w:p>
      <w:pPr>
        <w:pStyle w:val="style3"/>
        <w:tabs>
          <w:tab w:val="left" w:leader="none" w:pos="709"/>
        </w:tabs>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5.1.1</w:t>
      </w:r>
      <w:r>
        <w:rPr>
          <w:rFonts w:ascii="Arial" w:cs="Arial" w:eastAsia="宋体" w:hAnsi="Arial"/>
          <w:color w:val="1f4e79"/>
          <w:sz w:val="24"/>
          <w:szCs w:val="24"/>
        </w:rPr>
        <w:tab/>
      </w:r>
      <w:r>
        <w:rPr>
          <w:rFonts w:ascii="Arial" w:cs="Arial" w:eastAsia="宋体" w:hAnsi="Arial"/>
          <w:color w:val="1f4e79"/>
          <w:sz w:val="24"/>
          <w:szCs w:val="24"/>
        </w:rPr>
        <w:tab/>
      </w:r>
      <w:r>
        <w:rPr>
          <w:rFonts w:ascii="Arial" w:cs="Arial" w:eastAsia="宋体" w:hAnsi="Arial"/>
          <w:color w:val="1f4e79"/>
          <w:sz w:val="24"/>
          <w:szCs w:val="24"/>
        </w:rPr>
        <w:t>已开展的参与</w:t>
      </w:r>
      <w:bookmarkEnd w:id="627"/>
      <w:bookmarkEnd w:id="628"/>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hint="eastAsia"/>
          <w:sz w:val="22"/>
          <w:szCs w:val="24"/>
        </w:rPr>
        <w:t>在项目准备阶段，世行项目团队和</w:t>
      </w:r>
      <w:r>
        <w:rPr>
          <w:rFonts w:ascii="Arial" w:cs="Arial" w:eastAsia="宋体" w:hAnsi="Arial"/>
          <w:sz w:val="22"/>
          <w:szCs w:val="24"/>
        </w:rPr>
        <w:t>ESSA</w:t>
      </w:r>
      <w:r>
        <w:rPr>
          <w:rFonts w:ascii="Arial" w:cs="Arial" w:eastAsia="宋体" w:hAnsi="Arial" w:hint="eastAsia"/>
          <w:sz w:val="22"/>
          <w:szCs w:val="24"/>
        </w:rPr>
        <w:t>咨询团队</w:t>
      </w:r>
      <w:r>
        <w:rPr>
          <w:rFonts w:ascii="Arial" w:cs="Arial" w:eastAsia="宋体" w:hAnsi="Arial"/>
          <w:sz w:val="22"/>
          <w:szCs w:val="24"/>
        </w:rPr>
        <w:t>2021</w:t>
      </w:r>
      <w:r>
        <w:rPr>
          <w:rFonts w:ascii="Arial" w:cs="Arial" w:eastAsia="宋体" w:hAnsi="Arial" w:hint="eastAsia"/>
          <w:sz w:val="22"/>
          <w:szCs w:val="24"/>
        </w:rPr>
        <w:t>年</w:t>
      </w:r>
      <w:r>
        <w:rPr>
          <w:rFonts w:ascii="Arial" w:cs="Arial" w:eastAsia="宋体" w:hAnsi="Arial"/>
          <w:sz w:val="22"/>
          <w:szCs w:val="24"/>
        </w:rPr>
        <w:t>11</w:t>
      </w:r>
      <w:r>
        <w:rPr>
          <w:rFonts w:ascii="Arial" w:cs="Arial" w:eastAsia="宋体" w:hAnsi="Arial" w:hint="eastAsia"/>
          <w:sz w:val="22"/>
          <w:szCs w:val="24"/>
        </w:rPr>
        <w:t>月至</w:t>
      </w:r>
      <w:r>
        <w:rPr>
          <w:rFonts w:ascii="Arial" w:cs="Arial" w:eastAsia="宋体" w:hAnsi="Arial"/>
          <w:sz w:val="22"/>
          <w:szCs w:val="24"/>
        </w:rPr>
        <w:t>2022</w:t>
      </w:r>
      <w:r>
        <w:rPr>
          <w:rFonts w:ascii="Arial" w:cs="Arial" w:eastAsia="宋体" w:hAnsi="Arial" w:hint="eastAsia"/>
          <w:sz w:val="22"/>
          <w:szCs w:val="24"/>
        </w:rPr>
        <w:t>年</w:t>
      </w:r>
      <w:r>
        <w:rPr>
          <w:rFonts w:ascii="Arial" w:cs="Arial" w:eastAsia="宋体" w:hAnsi="Arial"/>
          <w:sz w:val="22"/>
          <w:szCs w:val="24"/>
        </w:rPr>
        <w:t>1</w:t>
      </w:r>
      <w:r>
        <w:rPr>
          <w:rFonts w:ascii="Arial" w:cs="Arial" w:eastAsia="宋体" w:hAnsi="Arial" w:hint="eastAsia"/>
          <w:sz w:val="22"/>
        </w:rPr>
        <w:t>月多次为广西和贵州政府部门</w:t>
      </w:r>
      <w:r>
        <w:rPr>
          <w:rFonts w:ascii="Arial" w:cs="Arial" w:eastAsia="宋体" w:hAnsi="Arial" w:hint="eastAsia"/>
          <w:sz w:val="22"/>
          <w:szCs w:val="24"/>
        </w:rPr>
        <w:t>介绍世行</w:t>
      </w:r>
      <w:r>
        <w:rPr>
          <w:rFonts w:ascii="Arial" w:cs="Arial" w:eastAsia="宋体" w:hAnsi="Arial"/>
          <w:sz w:val="22"/>
          <w:szCs w:val="24"/>
        </w:rPr>
        <w:t>PforR</w:t>
      </w:r>
      <w:r>
        <w:rPr>
          <w:rFonts w:ascii="Arial" w:cs="Arial" w:eastAsia="宋体" w:hAnsi="Arial" w:hint="eastAsia"/>
          <w:sz w:val="22"/>
          <w:szCs w:val="24"/>
        </w:rPr>
        <w:t>贷款工具的相关规定、环境与社会的政策、实施管理方法、操作流程和评价文件准备等。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自2021年11月起，针对本报告的编制与完善，在广西和贵州两省开展了广泛的公众参与活动（列表见</w:t>
      </w:r>
      <w:r>
        <w:rPr>
          <w:rFonts w:ascii="Arial" w:cs="Arial" w:eastAsia="宋体" w:hAnsi="Arial"/>
          <w:sz w:val="22"/>
          <w:szCs w:val="24"/>
        </w:rPr>
        <w:fldChar w:fldCharType="begin"/>
      </w:r>
      <w:r>
        <w:rPr>
          <w:rFonts w:ascii="Arial" w:cs="Arial" w:eastAsia="宋体" w:hAnsi="Arial"/>
          <w:sz w:val="22"/>
          <w:szCs w:val="24"/>
        </w:rPr>
        <w:instrText xml:space="preserve"> REF _Ref91190735 \r \h  \* MERGEFORMAT </w:instrText>
      </w:r>
      <w:r>
        <w:rPr>
          <w:rFonts w:ascii="Arial" w:cs="Arial" w:eastAsia="宋体" w:hAnsi="Arial"/>
          <w:sz w:val="22"/>
          <w:szCs w:val="24"/>
        </w:rPr>
        <w:fldChar w:fldCharType="separate"/>
      </w:r>
      <w:r>
        <w:rPr>
          <w:rFonts w:ascii="Arial" w:cs="Arial" w:eastAsia="宋体" w:hAnsi="Arial"/>
          <w:sz w:val="22"/>
          <w:szCs w:val="24"/>
        </w:rPr>
        <w:t>附件6</w:t>
      </w:r>
      <w:r>
        <w:rPr>
          <w:rFonts w:ascii="Arial" w:cs="Arial" w:eastAsia="宋体" w:hAnsi="Arial"/>
          <w:sz w:val="22"/>
          <w:szCs w:val="24"/>
        </w:rPr>
        <w:fldChar w:fldCharType="end"/>
      </w:r>
      <w:r>
        <w:rPr>
          <w:rFonts w:ascii="Arial" w:cs="Arial" w:eastAsia="宋体" w:hAnsi="Arial"/>
          <w:sz w:val="22"/>
          <w:szCs w:val="24"/>
        </w:rPr>
        <w:t>）。分别召开了多次省级政府部门咨询会议，参加的部门包括省发改委、财政厅、农业农村厅、乡村振兴局、</w:t>
      </w:r>
      <w:r>
        <w:rPr>
          <w:rFonts w:ascii="Arial" w:cs="Arial" w:eastAsia="宋体" w:hAnsi="Arial"/>
          <w:sz w:val="22"/>
        </w:rPr>
        <w:t>住建厅</w:t>
      </w:r>
      <w:r>
        <w:rPr>
          <w:rFonts w:ascii="Arial" w:cs="Arial" w:eastAsia="宋体" w:hAnsi="Arial"/>
          <w:sz w:val="22"/>
          <w:szCs w:val="24"/>
        </w:rPr>
        <w:t>、生态环境厅、自然资源厅、妇联、民宗局等厅局。县级层面现场走访了广西博白县以及贵州息烽县和兴仁市，又通过视频连线与贵州省息烽县、三都水族自治县和施秉县以及广西罗城仫佬族自治县、资源县和平桂区等各区县级政府部门座谈。在各种形式的座谈中，交流对象包括政府主管部门、相关企业（生活垃圾处置、生活污水处理、畜禽养殖、农膜回收利用等）、村委会干部及村民代表等，并实地考察了农村生活垃圾收集与转运、垃圾填埋和焚烧、污水处理、畜禽养殖、畜禽粪污资源化利用、农膜回收利用等典型活动现场。公众参与主要的考察和访谈内容包括：</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各部门的职责和机构设置</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现行行业主要政策与规定</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各部门工作关于污水收集处理、农业面源污染管理和河道治理等活动的具体实施内容、政策要求、实施进展、效果和主要问题</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相关企业规模、工人招聘方式、工人福利待遇、安全和技术培训、主要职业健康危害和检查、安全防护设施设备到位情况、设施用地审批、环评、稳评、安评、地灾以及管理情况等。</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社区生活垃圾收集、转运、分类和处理（含回收利用）情况</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村民就业务工情况，特别是参与垃圾、污水和河道治理等项目实施的情况</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污水收集处理的状况、接户情况、收费情况、问题和建议</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农村化肥和有机肥使用和效果</w:t>
      </w:r>
    </w:p>
    <w:bookmarkStart w:id="629" w:name="_Toc79939269"/>
    <w:bookmarkStart w:id="630" w:name="_Toc93944839"/>
    <w:p>
      <w:pPr>
        <w:pStyle w:val="style3"/>
        <w:tabs>
          <w:tab w:val="left" w:leader="none" w:pos="709"/>
        </w:tabs>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 xml:space="preserve">5.1.2 </w:t>
      </w:r>
      <w:r>
        <w:rPr>
          <w:rFonts w:ascii="Arial" w:cs="Arial" w:eastAsia="宋体" w:hAnsi="Arial"/>
          <w:color w:val="1f4e79"/>
          <w:sz w:val="24"/>
          <w:szCs w:val="24"/>
        </w:rPr>
        <w:tab/>
      </w:r>
      <w:r>
        <w:rPr>
          <w:rFonts w:ascii="Arial" w:cs="Arial" w:eastAsia="宋体" w:hAnsi="Arial"/>
          <w:color w:val="1f4e79"/>
          <w:sz w:val="24"/>
          <w:szCs w:val="24"/>
        </w:rPr>
        <w:tab/>
      </w:r>
      <w:r>
        <w:rPr>
          <w:rFonts w:ascii="Arial" w:cs="Arial" w:eastAsia="宋体" w:hAnsi="Arial"/>
          <w:color w:val="1f4e79"/>
          <w:sz w:val="24"/>
          <w:szCs w:val="24"/>
        </w:rPr>
        <w:t>本报告的公众</w:t>
      </w:r>
      <w:bookmarkEnd w:id="629"/>
      <w:r>
        <w:rPr>
          <w:rFonts w:ascii="Arial" w:cs="Arial" w:eastAsia="宋体" w:hAnsi="Arial"/>
          <w:color w:val="1f4e79"/>
          <w:sz w:val="24"/>
          <w:szCs w:val="24"/>
        </w:rPr>
        <w:t>磋商</w:t>
      </w:r>
      <w:bookmarkEnd w:id="630"/>
    </w:p>
    <w:bookmarkStart w:id="631" w:name="_Hlk79165594"/>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根据世行的规划贷款政策，本报告在草稿完成后于2022</w:t>
      </w:r>
      <w:r>
        <w:rPr>
          <w:rFonts w:ascii="Arial" w:cs="Arial" w:eastAsia="宋体" w:hAnsi="Arial" w:hint="eastAsia"/>
          <w:sz w:val="22"/>
          <w:szCs w:val="24"/>
        </w:rPr>
        <w:t>年</w:t>
      </w:r>
      <w:r>
        <w:rPr>
          <w:rFonts w:ascii="Arial" w:cs="Arial" w:eastAsia="宋体" w:hAnsi="Arial"/>
          <w:sz w:val="22"/>
          <w:szCs w:val="24"/>
        </w:rPr>
        <w:t>1</w:t>
      </w:r>
      <w:r>
        <w:rPr>
          <w:rFonts w:ascii="Arial" w:cs="Arial" w:eastAsia="宋体" w:hAnsi="Arial" w:hint="eastAsia"/>
          <w:sz w:val="22"/>
          <w:szCs w:val="24"/>
        </w:rPr>
        <w:t>月</w:t>
      </w:r>
      <w:r>
        <w:rPr>
          <w:rFonts w:ascii="Arial" w:cs="Arial" w:eastAsia="宋体" w:hAnsi="Arial"/>
          <w:sz w:val="22"/>
          <w:szCs w:val="24"/>
        </w:rPr>
        <w:t>份与贵州和广西两省进行了公众咨询。</w:t>
      </w:r>
      <w:r>
        <w:rPr>
          <w:rFonts w:ascii="Arial" w:cs="Arial" w:eastAsia="宋体" w:hAnsi="Arial"/>
          <w:sz w:val="22"/>
        </w:rPr>
        <w:t>由两省项目办将</w:t>
      </w:r>
      <w:r>
        <w:rPr>
          <w:rFonts w:ascii="Arial" w:cs="Arial" w:eastAsia="宋体" w:hAnsi="Arial"/>
          <w:sz w:val="22"/>
          <w:szCs w:val="24"/>
        </w:rPr>
        <w:t>本报告初稿发给所有项目县的实施单位及所有相关县级政府部门，并及时收集书面反馈意见提交世行ESSA团队。随后贵州和广西</w:t>
      </w:r>
      <w:r>
        <w:rPr>
          <w:rFonts w:ascii="Arial" w:cs="Arial" w:eastAsia="宋体" w:hAnsi="Arial"/>
          <w:sz w:val="22"/>
        </w:rPr>
        <w:t>两省项目办分别于1月18日和20日组织省级和县级政府部门与世行团队召开了ESSA协商会议，</w:t>
      </w:r>
      <w:r>
        <w:rPr>
          <w:rFonts w:ascii="Arial" w:cs="Arial" w:eastAsia="宋体" w:hAnsi="Arial"/>
          <w:sz w:val="22"/>
          <w:szCs w:val="24"/>
        </w:rPr>
        <w:t>由于新冠疫情的原因，协商会议均采取在线方式进行。会议的主要意见已纳入报告修改稿，会议记录见本报告</w:t>
      </w:r>
      <w:r>
        <w:rPr>
          <w:rFonts w:ascii="Arial" w:cs="Arial" w:eastAsia="宋体" w:hAnsi="Arial"/>
          <w:b/>
          <w:bCs/>
          <w:sz w:val="22"/>
          <w:szCs w:val="24"/>
        </w:rPr>
        <w:t>附件7</w:t>
      </w:r>
      <w:r>
        <w:rPr>
          <w:rFonts w:ascii="Arial" w:cs="Arial" w:eastAsia="宋体" w:hAnsi="Arial"/>
          <w:sz w:val="22"/>
          <w:szCs w:val="24"/>
        </w:rPr>
        <w:t>。会议参与方包括两省乡村振兴局、农业农村厅、住建厅、人社厅、民政厅等省级政府部门，以及贵州三都、施</w:t>
      </w:r>
      <w:r>
        <w:rPr>
          <w:rFonts w:ascii="Arial" w:cs="Arial" w:eastAsia="宋体" w:hAnsi="Arial"/>
          <w:sz w:val="22"/>
        </w:rPr>
        <w:t>秉</w:t>
      </w:r>
      <w:r>
        <w:rPr>
          <w:rFonts w:ascii="Arial" w:cs="Arial" w:eastAsia="宋体" w:hAnsi="Arial"/>
          <w:sz w:val="22"/>
          <w:szCs w:val="24"/>
        </w:rPr>
        <w:t>、息烽、</w:t>
      </w:r>
      <w:r>
        <w:rPr>
          <w:rFonts w:ascii="Arial" w:cs="Arial" w:eastAsia="宋体" w:hAnsi="Arial"/>
          <w:color w:val="000000"/>
          <w:sz w:val="22"/>
          <w:szCs w:val="24"/>
        </w:rPr>
        <w:t>印江</w:t>
      </w:r>
      <w:r>
        <w:rPr>
          <w:rFonts w:ascii="Arial" w:cs="Arial" w:eastAsia="宋体" w:hAnsi="Arial"/>
          <w:sz w:val="22"/>
          <w:szCs w:val="24"/>
        </w:rPr>
        <w:t>等项目县和广西</w:t>
      </w:r>
      <w:r>
        <w:rPr>
          <w:rFonts w:ascii="Arial" w:cs="Arial" w:eastAsia="宋体" w:hAnsi="Arial"/>
          <w:bCs/>
          <w:color w:val="000000"/>
          <w:sz w:val="22"/>
          <w:szCs w:val="24"/>
        </w:rPr>
        <w:t>平桂、资源、罗城、天等、兴宾、忻城、马山、钟山</w:t>
      </w:r>
      <w:r>
        <w:rPr>
          <w:rFonts w:ascii="Arial" w:cs="Arial" w:eastAsia="宋体" w:hAnsi="Arial"/>
          <w:bCs/>
          <w:color w:val="000000"/>
          <w:sz w:val="22"/>
          <w:szCs w:val="24"/>
          <w:lang w:val="en-GB"/>
        </w:rPr>
        <w:t>、田东、融安</w:t>
      </w:r>
      <w:r>
        <w:rPr>
          <w:rFonts w:ascii="Arial" w:cs="Arial" w:eastAsia="宋体" w:hAnsi="Arial"/>
          <w:sz w:val="22"/>
          <w:szCs w:val="24"/>
        </w:rPr>
        <w:t>等项目县</w:t>
      </w:r>
      <w:r>
        <w:rPr>
          <w:rFonts w:ascii="Arial" w:cs="Arial" w:eastAsia="宋体" w:hAnsi="Arial"/>
          <w:sz w:val="22"/>
        </w:rPr>
        <w:t>的政府相关部门</w:t>
      </w:r>
      <w:r>
        <w:rPr>
          <w:rFonts w:ascii="Arial" w:cs="Arial" w:eastAsia="宋体" w:hAnsi="Arial"/>
          <w:sz w:val="22"/>
          <w:szCs w:val="24"/>
        </w:rPr>
        <w:t>。会议介绍了本项目内容和ESSA报告摘要，包括环境与社会系统评价的目的、任务、内容、研究方法、结论和建议。会议讨论的主要问题包括：</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报告引用的法律法规是否准确、完整；</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报告对法律法规的分析、评价是否符合实际情况；</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报告关于机构设置的描述是否准确，关于机构能力的评价是否恰当；</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与会代表对于报告的结论，特别是报告中发现的关于国内环境与社会系统与世行PforR政策的差距是否认可，提出的行动建议是否可行。</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咨询参与方对本报告给予了肯定，对拟定的行动建议表示认可，并对报告提出了修改意见 （如部分政策文件的时效性问题、机构设置的最新调整、机构职能的分配等）。世行ESSA团队认真听取了有关意见，进行了充分记录和研究，并在报告中做出了相应的修改。</w:t>
      </w:r>
      <w:r>
        <w:rPr>
          <w:rFonts w:ascii="Arial" w:cs="Arial" w:eastAsia="宋体" w:hAnsi="Arial"/>
          <w:sz w:val="22"/>
        </w:rPr>
        <w:t>咨询会议中各方提出的主要意见和</w:t>
      </w:r>
      <w:r>
        <w:rPr>
          <w:rFonts w:ascii="Arial" w:cs="Arial" w:eastAsia="宋体" w:hAnsi="Arial"/>
          <w:sz w:val="22"/>
          <w:szCs w:val="24"/>
        </w:rPr>
        <w:t>ESSA报告进行的相庆修改在</w:t>
      </w:r>
      <w:r>
        <w:rPr>
          <w:rFonts w:ascii="Arial" w:cs="Arial" w:eastAsia="宋体" w:hAnsi="Arial"/>
          <w:b/>
          <w:bCs/>
          <w:sz w:val="22"/>
          <w:szCs w:val="24"/>
        </w:rPr>
        <w:t>附件7</w:t>
      </w:r>
      <w:r>
        <w:rPr>
          <w:rFonts w:ascii="Arial" w:cs="Arial" w:eastAsia="宋体" w:hAnsi="Arial"/>
          <w:sz w:val="22"/>
          <w:szCs w:val="24"/>
        </w:rPr>
        <w:t>进行了详细记录。</w:t>
      </w:r>
      <w:bookmarkEnd w:id="631"/>
    </w:p>
    <w:bookmarkStart w:id="632" w:name="_Toc93944840"/>
    <w:bookmarkStart w:id="633" w:name="_Toc79939270"/>
    <w:p>
      <w:pPr>
        <w:pStyle w:val="style2"/>
        <w:rPr>
          <w:color w:val="1f4e79"/>
          <w:sz w:val="24"/>
          <w:szCs w:val="24"/>
        </w:rPr>
      </w:pPr>
      <w:r>
        <w:rPr>
          <w:color w:val="1f4e79"/>
          <w:sz w:val="24"/>
          <w:szCs w:val="24"/>
        </w:rPr>
        <w:t>5.2</w:t>
      </w:r>
      <w:r>
        <w:rPr>
          <w:color w:val="1f4e79"/>
          <w:sz w:val="24"/>
          <w:szCs w:val="24"/>
        </w:rPr>
        <w:tab/>
      </w:r>
      <w:r>
        <w:rPr>
          <w:color w:val="1f4e79"/>
          <w:sz w:val="24"/>
          <w:szCs w:val="24"/>
        </w:rPr>
        <w:tab/>
      </w:r>
      <w:r>
        <w:rPr>
          <w:color w:val="1f4e79"/>
          <w:sz w:val="24"/>
          <w:szCs w:val="24"/>
        </w:rPr>
        <w:t>申诉机制</w:t>
      </w:r>
      <w:bookmarkEnd w:id="632"/>
      <w:bookmarkEnd w:id="63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现有申诉机制。</w:t>
      </w:r>
      <w:r>
        <w:rPr>
          <w:rFonts w:ascii="Arial" w:cs="Arial" w:eastAsia="宋体" w:hAnsi="Arial"/>
          <w:sz w:val="22"/>
          <w:szCs w:val="24"/>
        </w:rPr>
        <w:t>通常包括两种类型，一种是社区申诉机制；二是企业申诉机制。社区申诉机制，包括三个层次：</w:t>
      </w:r>
      <w:r>
        <w:rPr>
          <w:rFonts w:ascii="Arial" w:cs="Arial" w:eastAsia="宋体" w:hAnsi="Arial"/>
          <w:sz w:val="22"/>
        </w:rPr>
        <w:t>一是向有关实施单位直接反映情况并寻求解决</w:t>
      </w:r>
      <w:r>
        <w:rPr>
          <w:rFonts w:ascii="Arial" w:cs="Arial" w:eastAsia="宋体" w:hAnsi="Arial"/>
          <w:sz w:val="22"/>
          <w:szCs w:val="24"/>
        </w:rPr>
        <w:t>；二是通过村委会或居委会反映，由基层政府负责联络处理，通常在两周内处理完成；三是通过县政府信访办或县长热线/邮箱等方式投诉处理，流程包括收集、7天内启动，2个月内处理完成并反馈的机制。此外，居民还可以通过法院的民事诉讼来解决争议。企业申诉机制包括两个方面：一是员工申诉。员工申诉主要 “三级劳工纠纷解决机制”来处理，分别是企业内部劳工纠纷申诉机制、乡政府劳动纠纷调解中心和县政府劳动调解中心。企业内部申诉机制主要通过信箱/厂长信箱，或者通过企业工会反映诉求，并寻求解决；企业内部无法解决的，通过政府劳动纠纷调解机制来处理。企业员工也可直接提请劳动仲裁来解决问题（详见4.4节原则3下的要素8）。二是企业设置对外联络部门，确定联系人和联系电话，负责接收社会对企业的投诉和建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 xml:space="preserve">申诉机制评估： </w:t>
      </w:r>
      <w:r>
        <w:rPr>
          <w:rFonts w:ascii="Arial" w:cs="Arial" w:eastAsia="宋体" w:hAnsi="Arial"/>
          <w:sz w:val="22"/>
          <w:szCs w:val="24"/>
        </w:rPr>
        <w:t>通过对村委会和村民代表的访谈，整体而言，村级申诉机制程序已经比较成熟，绝大部分（村委会反映90％以上）申诉可以在社区层面得到有效解决，极少反映通过民事诉讼解决的。企业的员工申诉机制管理规范，</w:t>
      </w:r>
      <w:r>
        <w:rPr>
          <w:rFonts w:ascii="Arial" w:cs="Arial" w:eastAsia="宋体" w:hAnsi="Arial"/>
          <w:sz w:val="22"/>
        </w:rPr>
        <w:t>能解决员工申诉问题</w:t>
      </w:r>
      <w:r>
        <w:rPr>
          <w:rFonts w:ascii="Arial" w:cs="Arial" w:eastAsia="宋体" w:hAnsi="Arial"/>
          <w:sz w:val="22"/>
          <w:szCs w:val="24"/>
        </w:rPr>
        <w:t>。调查期间也发现部分企业并未建立对外部社区的联络机制，因此需要企业建设和运营期间建立申诉机制，对外应公布社区申诉电话和联络人。</w:t>
      </w:r>
    </w:p>
    <w:bookmarkStart w:id="634" w:name="_Hlk77948320"/>
    <w:p>
      <w:pPr>
        <w:pStyle w:val="style179"/>
        <w:tabs>
          <w:tab w:val="left" w:leader="none" w:pos="851"/>
        </w:tabs>
        <w:adjustRightInd w:val="false"/>
        <w:snapToGrid w:val="false"/>
        <w:spacing w:before="120" w:after="120"/>
        <w:ind w:firstLine="0" w:firstLineChars="0"/>
        <w:rPr>
          <w:rFonts w:ascii="Arial" w:cs="Arial" w:eastAsia="宋体" w:hAnsi="Arial"/>
          <w:sz w:val="22"/>
          <w:szCs w:val="24"/>
        </w:rPr>
      </w:pPr>
    </w:p>
    <w:bookmarkEnd w:id="634"/>
    <w:p>
      <w:pPr>
        <w:pStyle w:val="style0"/>
        <w:widowControl/>
        <w:jc w:val="left"/>
        <w:rPr>
          <w:rFonts w:ascii="Arial" w:cs="Arial" w:eastAsia="宋体" w:hAnsi="Arial"/>
          <w:sz w:val="22"/>
          <w:szCs w:val="24"/>
        </w:rPr>
      </w:pPr>
      <w:r>
        <w:rPr>
          <w:rFonts w:ascii="Arial" w:cs="Arial" w:eastAsia="宋体" w:hAnsi="Arial"/>
          <w:sz w:val="22"/>
          <w:szCs w:val="24"/>
        </w:rPr>
        <w:br w:type="page"/>
      </w:r>
    </w:p>
    <w:bookmarkStart w:id="635" w:name="_Toc78301197"/>
    <w:bookmarkStart w:id="636" w:name="_Toc79939271"/>
    <w:bookmarkStart w:id="637" w:name="_Hlk79165670"/>
    <w:bookmarkStart w:id="638" w:name="_Hlk77348573"/>
    <w:p>
      <w:pPr>
        <w:pStyle w:val="style1"/>
        <w:numPr>
          <w:ilvl w:val="0"/>
          <w:numId w:val="4"/>
        </w:numPr>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r>
        <w:rPr>
          <w:rFonts w:ascii="Arial" w:cs="Arial" w:eastAsia="宋体" w:hAnsi="Arial"/>
          <w:color w:val="1f4e79"/>
          <w:sz w:val="28"/>
          <w:szCs w:val="28"/>
        </w:rPr>
        <w:tab/>
      </w:r>
      <w:bookmarkStart w:id="639" w:name="_Toc93944841"/>
      <w:r>
        <w:rPr>
          <w:rFonts w:ascii="Arial" w:cs="Arial" w:eastAsia="宋体" w:hAnsi="Arial"/>
          <w:color w:val="1f4e79"/>
          <w:sz w:val="28"/>
          <w:szCs w:val="28"/>
        </w:rPr>
        <w:t>结论、建议与行动计划</w:t>
      </w:r>
      <w:bookmarkEnd w:id="635"/>
      <w:bookmarkEnd w:id="636"/>
      <w:bookmarkEnd w:id="639"/>
    </w:p>
    <w:bookmarkStart w:id="640" w:name="_Toc93944842"/>
    <w:bookmarkStart w:id="641" w:name="_Toc92803994"/>
    <w:bookmarkStart w:id="642" w:name="_Toc92267162"/>
    <w:bookmarkStart w:id="643" w:name="_Toc92727011"/>
    <w:bookmarkStart w:id="644" w:name="_Toc91573183"/>
    <w:bookmarkStart w:id="645" w:name="_Toc91573051"/>
    <w:bookmarkStart w:id="646" w:name="_Toc91572985"/>
    <w:bookmarkStart w:id="647" w:name="_Toc91572919"/>
    <w:bookmarkStart w:id="648" w:name="_Toc91572704"/>
    <w:bookmarkStart w:id="649" w:name="_Toc91572853"/>
    <w:bookmarkStart w:id="650" w:name="_Toc91572772"/>
    <w:bookmarkStart w:id="651" w:name="_Toc91190290"/>
    <w:bookmarkStart w:id="652" w:name="_Toc90905810"/>
    <w:bookmarkStart w:id="653" w:name="_Toc90904824"/>
    <w:bookmarkStart w:id="654" w:name="_Toc90856407"/>
    <w:bookmarkStart w:id="655" w:name="_Toc90855572"/>
    <w:bookmarkStart w:id="656" w:name="_Toc90855790"/>
    <w:bookmarkStart w:id="657" w:name="_Toc90855505"/>
    <w:bookmarkStart w:id="658" w:name="_Toc90840436"/>
    <w:bookmarkStart w:id="659" w:name="_Toc90711530"/>
    <w:bookmarkStart w:id="660" w:name="_Toc90590586"/>
    <w:bookmarkStart w:id="661" w:name="_Toc90551069"/>
    <w:bookmarkStart w:id="662" w:name="_Toc90590541"/>
    <w:bookmarkStart w:id="663" w:name="_Toc90551189"/>
    <w:bookmarkStart w:id="664" w:name="_Toc90550998"/>
    <w:bookmarkStart w:id="665" w:name="_Toc90414839"/>
    <w:bookmarkStart w:id="666" w:name="_Toc90334691"/>
    <w:bookmarkStart w:id="667" w:name="_Toc90332317"/>
    <w:bookmarkStart w:id="668" w:name="_Toc90310607"/>
    <w:bookmarkStart w:id="669" w:name="_Toc90332061"/>
    <w:bookmarkStart w:id="670" w:name="_Toc90331907"/>
    <w:bookmarkStart w:id="671" w:name="_Toc90216920"/>
    <w:bookmarkStart w:id="672" w:name="_Toc90181123"/>
    <w:bookmarkStart w:id="673" w:name="_Toc90180686"/>
    <w:bookmarkStart w:id="674" w:name="_Toc90174113"/>
    <w:bookmarkStart w:id="675" w:name="_Toc90176481"/>
    <w:bookmarkStart w:id="676" w:name="_Toc90174165"/>
    <w:bookmarkStart w:id="677" w:name="_Toc90173936"/>
    <w:bookmarkStart w:id="678" w:name="_Toc90173659"/>
    <w:bookmarkStart w:id="679" w:name="_Toc90169529"/>
    <w:bookmarkStart w:id="680" w:name="_Toc90169433"/>
    <w:bookmarkStart w:id="681" w:name="_Toc89703135"/>
    <w:bookmarkStart w:id="682" w:name="_Toc89703065"/>
    <w:bookmarkStart w:id="683" w:name="_Toc89241963"/>
    <w:bookmarkStart w:id="684" w:name="_Toc89425516"/>
    <w:bookmarkStart w:id="685" w:name="_Toc89421605"/>
    <w:bookmarkStart w:id="686" w:name="_Toc89155599"/>
    <w:bookmarkStart w:id="687" w:name="_Toc89155524"/>
    <w:bookmarkStart w:id="688" w:name="_Toc89016128"/>
    <w:bookmarkStart w:id="689" w:name="_Toc88862120"/>
    <w:bookmarkStart w:id="690" w:name="_Toc88861945"/>
    <w:bookmarkStart w:id="691" w:name="_Toc88861998"/>
    <w:bookmarkStart w:id="692" w:name="_Toc88860775"/>
    <w:bookmarkStart w:id="693" w:name="_Toc88859518"/>
    <w:bookmarkStart w:id="694" w:name="_Toc88858844"/>
    <w:bookmarkStart w:id="695" w:name="_Toc88858791"/>
    <w:bookmarkStart w:id="696" w:name="_Toc88858439"/>
    <w:bookmarkStart w:id="697" w:name="_Toc88858680"/>
    <w:bookmarkStart w:id="698" w:name="_Toc88858593"/>
    <w:bookmarkStart w:id="699" w:name="_Toc88858349"/>
    <w:bookmarkStart w:id="700" w:name="_Toc88857575"/>
    <w:bookmarkStart w:id="701" w:name="_Toc88857496"/>
    <w:bookmarkStart w:id="702" w:name="_Toc88842049"/>
    <w:bookmarkStart w:id="703" w:name="_Toc79939272"/>
    <w:bookmarkStart w:id="704" w:name="_Toc79736584"/>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Pr>
        <w:pStyle w:val="style179"/>
        <w:keepNext/>
        <w:keepLines/>
        <w:numPr>
          <w:ilvl w:val="0"/>
          <w:numId w:val="23"/>
        </w:numPr>
        <w:ind w:firstLineChars="0"/>
        <w:outlineLvl w:val="1"/>
        <w:rPr>
          <w:rFonts w:ascii="Arial" w:cs="Arial" w:eastAsia="宋体" w:hAnsi="Arial"/>
          <w:b/>
          <w:bCs/>
          <w:vanish/>
          <w:color w:val="1f4e79"/>
          <w:sz w:val="22"/>
          <w:szCs w:val="24"/>
        </w:rPr>
      </w:pPr>
    </w:p>
    <w:bookmarkStart w:id="705" w:name="_Toc93944843"/>
    <w:bookmarkStart w:id="706" w:name="_Toc79939273"/>
    <w:p>
      <w:pPr>
        <w:pStyle w:val="style2"/>
        <w:tabs>
          <w:tab w:val="left" w:leader="none" w:pos="567"/>
          <w:tab w:val="left" w:leader="none" w:pos="851"/>
        </w:tabs>
        <w:rPr>
          <w:color w:val="1f4e79"/>
          <w:sz w:val="24"/>
          <w:szCs w:val="24"/>
        </w:rPr>
      </w:pPr>
      <w:r>
        <w:rPr>
          <w:color w:val="1f4e79"/>
          <w:sz w:val="24"/>
          <w:szCs w:val="24"/>
        </w:rPr>
        <w:t>6.1</w:t>
      </w:r>
      <w:r>
        <w:rPr>
          <w:color w:val="1f4e79"/>
          <w:sz w:val="24"/>
          <w:szCs w:val="24"/>
        </w:rPr>
        <w:tab/>
      </w:r>
      <w:r>
        <w:rPr>
          <w:color w:val="1f4e79"/>
          <w:sz w:val="24"/>
          <w:szCs w:val="24"/>
        </w:rPr>
        <w:tab/>
      </w:r>
      <w:r>
        <w:rPr>
          <w:color w:val="1f4e79"/>
          <w:sz w:val="24"/>
          <w:szCs w:val="24"/>
        </w:rPr>
        <w:t>结论</w:t>
      </w:r>
      <w:bookmarkEnd w:id="705"/>
      <w:bookmarkEnd w:id="70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本项目旨在</w:t>
      </w:r>
      <w:r>
        <w:rPr>
          <w:rFonts w:ascii="Arial" w:cs="Arial" w:eastAsia="宋体" w:hAnsi="Arial"/>
          <w:bCs/>
          <w:sz w:val="22"/>
          <w:szCs w:val="24"/>
        </w:rPr>
        <w:t>促进项目省的绿色与可持续农业和农村发展</w:t>
      </w:r>
      <w:r>
        <w:rPr>
          <w:rFonts w:ascii="Arial" w:cs="Arial" w:eastAsia="宋体" w:hAnsi="Arial"/>
          <w:sz w:val="22"/>
          <w:szCs w:val="24"/>
        </w:rPr>
        <w:t>。根据对项目活动适用的环境与社会管理系统的评价，总体来说，中国及广西和贵州两省在相关领域已经建立了全面而有效的环境与社会管理系统来识别、评价、减缓、管理和监测本项目活动有关的环境与社会风险及影响，包括：1</w:t>
      </w:r>
      <w:r>
        <w:rPr>
          <w:rFonts w:ascii="Arial" w:cs="Arial" w:eastAsia="宋体" w:hAnsi="Arial"/>
          <w:sz w:val="22"/>
          <w:szCs w:val="24"/>
          <w:lang w:val="en-GB"/>
        </w:rPr>
        <w:t xml:space="preserve">) </w:t>
      </w:r>
      <w:r>
        <w:rPr>
          <w:rFonts w:ascii="Arial" w:cs="Arial" w:eastAsia="宋体" w:hAnsi="Arial"/>
          <w:sz w:val="22"/>
          <w:szCs w:val="24"/>
        </w:rPr>
        <w:t>完备的法规体系：在国家和地方层面都制定和发布了相应的法律法规、政策、标准和技术指南；2) 清晰的实施机制：针对环境与社会风险及影响管理有明确的行政程序、机构安排和职能划分，各级岗位已配备专业人员和财务资源；3) 实施管理效果：多个样本区过往典型案例的随机考察表明环境与社会风险及影响管理措施的能够得到有效落实且实施效果较好。经过系统评价，与本项目相关的环境与社会管理系统与世行结果导向型贷款的政策和导则要求总体是一致的。</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经环境与社会筛查，本项目排除了环境与社会“高风险”的活动，现有的环境与社会管理系统有效实施的情形下，项目不会对环境与社会造成重大的负面影响，总体环境与社会风险为“较高”。</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环境与社会系统评价结果也表明，环境与社会管理在以下方面存在提升空间：</w:t>
      </w:r>
    </w:p>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部分农村生活垃圾转运站渗滤液及臭气收集和处理系统不健全、工人防护设施不足且缺乏基本的卫生和休息设施。</w:t>
      </w:r>
    </w:p>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部分农村污水处理设施缺乏足够的运行和维护经费，运行和维护人员缺乏足够的专业技术。</w:t>
      </w:r>
    </w:p>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在化肥减量、有机肥替代活动中，部分农民积极性不高，一方面源于农民的环保意识有待提高，另一方面化肥替代涉及到耕作方式改变，可能会在一定程度上增加农民（如低收入家庭）的生产成本。另外，农膜及农药化肥包装废弃物回收与分类体系尚不健全，主要由于农民的环保意识不够强、农膜田间收集的人工成本较高、缺乏激励机制等。</w:t>
      </w:r>
    </w:p>
    <w:bookmarkStart w:id="707" w:name="_Toc79939274"/>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一些项目设施，特别是小型分散设施，如粪污处理设施、小型污水处理设施、小型农村垃圾收集转运设施等，在项目准备阶段未开展社会风险或影响评估，也未制定相应的管理计划及监测计划，对项目实施过程中开展的公众参与、申诉记录也缺乏记录和存档，这些方面可以进一步提升。</w:t>
      </w:r>
    </w:p>
    <w:bookmarkStart w:id="708" w:name="_Toc93944844"/>
    <w:p>
      <w:pPr>
        <w:pStyle w:val="style2"/>
        <w:tabs>
          <w:tab w:val="left" w:leader="none" w:pos="567"/>
          <w:tab w:val="left" w:leader="none" w:pos="851"/>
        </w:tabs>
        <w:rPr>
          <w:color w:val="1f4e79"/>
          <w:sz w:val="24"/>
          <w:szCs w:val="24"/>
        </w:rPr>
      </w:pPr>
      <w:r>
        <w:rPr>
          <w:color w:val="1f4e79"/>
          <w:sz w:val="24"/>
          <w:szCs w:val="24"/>
        </w:rPr>
        <w:t>6.2</w:t>
      </w:r>
      <w:r>
        <w:rPr>
          <w:color w:val="1f4e79"/>
          <w:sz w:val="24"/>
          <w:szCs w:val="24"/>
        </w:rPr>
        <w:tab/>
      </w:r>
      <w:r>
        <w:rPr>
          <w:color w:val="1f4e79"/>
          <w:sz w:val="24"/>
          <w:szCs w:val="24"/>
        </w:rPr>
        <w:tab/>
      </w:r>
      <w:r>
        <w:rPr>
          <w:color w:val="1f4e79"/>
          <w:sz w:val="24"/>
          <w:szCs w:val="24"/>
        </w:rPr>
        <w:t>建议</w:t>
      </w:r>
      <w:bookmarkEnd w:id="707"/>
      <w:bookmarkEnd w:id="708"/>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napToGrid w:val="false"/>
          <w:sz w:val="22"/>
          <w:szCs w:val="24"/>
        </w:rPr>
        <w:t>针对以上</w:t>
      </w:r>
      <w:r>
        <w:rPr>
          <w:rFonts w:ascii="Arial" w:cs="Arial" w:eastAsia="宋体" w:hAnsi="Arial"/>
          <w:sz w:val="22"/>
          <w:szCs w:val="24"/>
        </w:rPr>
        <w:t>环境与社会问题</w:t>
      </w:r>
      <w:r>
        <w:rPr>
          <w:rFonts w:ascii="Arial" w:cs="Arial" w:eastAsia="宋体" w:hAnsi="Arial"/>
          <w:snapToGrid w:val="false"/>
          <w:sz w:val="22"/>
          <w:szCs w:val="24"/>
        </w:rPr>
        <w:t>，本报告</w:t>
      </w:r>
      <w:r>
        <w:rPr>
          <w:rFonts w:ascii="Arial" w:cs="Arial" w:eastAsia="宋体" w:hAnsi="Arial"/>
          <w:sz w:val="22"/>
          <w:szCs w:val="24"/>
        </w:rPr>
        <w:t>提出了以下改进建议：</w:t>
      </w:r>
    </w:p>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建议1：</w:t>
      </w:r>
      <w:r>
        <w:rPr>
          <w:rFonts w:ascii="Arial" w:cs="Arial" w:eastAsia="宋体" w:hAnsi="Arial"/>
          <w:sz w:val="22"/>
          <w:szCs w:val="24"/>
        </w:rPr>
        <w:t>完善垃圾转运站渗滤液及臭气的收集和处理系统；加强工人防护设施，并提供必要的卫生和休息设施。</w:t>
      </w:r>
    </w:p>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建议2：</w:t>
      </w:r>
      <w:r>
        <w:rPr>
          <w:rFonts w:ascii="Arial" w:cs="Arial" w:eastAsia="宋体" w:hAnsi="Arial"/>
          <w:sz w:val="22"/>
          <w:szCs w:val="24"/>
        </w:rPr>
        <w:t>为农村污水处理设施提供足够的运行和维护经费，并为运行和维护人员提供相应的专业技术培训。</w:t>
      </w:r>
    </w:p>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建议3：</w:t>
      </w:r>
      <w:r>
        <w:rPr>
          <w:rFonts w:ascii="Arial" w:cs="Arial" w:eastAsia="宋体" w:hAnsi="Arial"/>
          <w:sz w:val="22"/>
          <w:szCs w:val="24"/>
        </w:rPr>
        <w:t>为农民提供化肥减量、废弃农用塑料管理方面的培训：由农业农村部门制定农民化肥减量和有机肥替代、废弃农用塑料（农膜、农药和化肥包装废弃物）管理方面的培训计划，编写培训材料，开展宣传教育活动，提高农民的科学知识和参与意识，建立和实施补贴和激励机制。</w:t>
      </w:r>
    </w:p>
    <w:bookmarkStart w:id="709" w:name="_Toc79939275"/>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建议4：</w:t>
      </w:r>
      <w:r>
        <w:rPr>
          <w:rFonts w:ascii="Arial" w:cs="Arial" w:eastAsia="宋体" w:hAnsi="Arial"/>
          <w:sz w:val="22"/>
          <w:szCs w:val="24"/>
        </w:rPr>
        <w:t>对于小型且数量少的投资项目，可采取两种方式对社会影响和风险进行评估并制定管理计划，一是在有关项目的可行性研究报告中设置专章，依据社会稳定风险评估相关法规要求进行详细的社会风险识别和评估，并制定社会风险管理计划和监测计划；二是对于大型的、或成规模的投资项目，将在可行性研究阶段，依据社会稳定风险评估相关法规要求开展专项的社会稳定风险评估，对相关投资活动可能带来的社会风险进行全面识别、筛选、评估，并制定社会风险管理计划和监测计划。对各类设施运行过程中的公众参与、申诉记录也缺乏记录和存档。每半年向当地县项目办提交一次监测报告，监测报告的相关内容同时应包括在提交给省项目办的半年监测报告中。</w:t>
      </w:r>
    </w:p>
    <w:bookmarkStart w:id="710" w:name="_Toc93944845"/>
    <w:p>
      <w:pPr>
        <w:pStyle w:val="style2"/>
        <w:tabs>
          <w:tab w:val="left" w:leader="none" w:pos="567"/>
          <w:tab w:val="left" w:leader="none" w:pos="851"/>
        </w:tabs>
        <w:rPr>
          <w:color w:val="1f4e79"/>
          <w:sz w:val="24"/>
          <w:szCs w:val="24"/>
        </w:rPr>
      </w:pPr>
      <w:r>
        <w:rPr>
          <w:color w:val="1f4e79"/>
          <w:sz w:val="24"/>
          <w:szCs w:val="24"/>
        </w:rPr>
        <w:t>6.3</w:t>
      </w:r>
      <w:r>
        <w:rPr>
          <w:color w:val="1f4e79"/>
          <w:sz w:val="24"/>
          <w:szCs w:val="24"/>
        </w:rPr>
        <w:tab/>
      </w:r>
      <w:r>
        <w:rPr>
          <w:color w:val="1f4e79"/>
          <w:sz w:val="24"/>
          <w:szCs w:val="24"/>
        </w:rPr>
        <w:tab/>
      </w:r>
      <w:r>
        <w:rPr>
          <w:color w:val="1f4e79"/>
          <w:sz w:val="24"/>
          <w:szCs w:val="24"/>
        </w:rPr>
        <w:t>行动计划</w:t>
      </w:r>
      <w:bookmarkEnd w:id="709"/>
      <w:bookmarkEnd w:id="710"/>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为有效实施上述建议，应将下述行动方案纳入本项目行动计划并在项目实施期间加以落实：</w:t>
      </w:r>
    </w:p>
    <w:p>
      <w:pPr>
        <w:pStyle w:val="style34"/>
        <w:jc w:val="center"/>
        <w:rPr>
          <w:rFonts w:ascii="Arial" w:cs="Arial" w:eastAsia="宋体" w:hAnsi="Arial"/>
          <w:b/>
          <w:bCs/>
          <w:color w:val="1f4e79"/>
        </w:rPr>
      </w:pPr>
      <w:r>
        <w:rPr>
          <w:rFonts w:ascii="Arial" w:cs="Arial" w:eastAsia="宋体" w:hAnsi="Arial"/>
          <w:b/>
          <w:bCs/>
        </w:rPr>
        <w:t xml:space="preserve">表 </w:t>
      </w:r>
      <w:r>
        <w:rPr>
          <w:rFonts w:ascii="Arial" w:cs="Arial" w:eastAsia="宋体" w:hAnsi="Arial"/>
          <w:b/>
          <w:bCs/>
        </w:rPr>
        <w:fldChar w:fldCharType="begin"/>
      </w:r>
      <w:r>
        <w:rPr>
          <w:rFonts w:ascii="Arial" w:cs="Arial" w:eastAsia="宋体" w:hAnsi="Arial"/>
          <w:b/>
          <w:bCs/>
        </w:rPr>
        <w:instrText xml:space="preserve"> STYLEREF 1 \s </w:instrText>
      </w:r>
      <w:r>
        <w:rPr>
          <w:rFonts w:ascii="Arial" w:cs="Arial" w:eastAsia="宋体" w:hAnsi="Arial"/>
          <w:b/>
          <w:bCs/>
        </w:rPr>
        <w:fldChar w:fldCharType="separate"/>
      </w:r>
      <w:r>
        <w:rPr>
          <w:rFonts w:ascii="Arial" w:cs="Arial" w:eastAsia="宋体" w:hAnsi="Arial"/>
          <w:b/>
          <w:bCs/>
        </w:rPr>
        <w:t>6</w:t>
      </w:r>
      <w:r>
        <w:rPr>
          <w:rFonts w:ascii="Arial" w:cs="Arial" w:eastAsia="宋体" w:hAnsi="Arial"/>
          <w:b/>
          <w:bCs/>
        </w:rPr>
        <w:fldChar w:fldCharType="end"/>
      </w:r>
      <w:r>
        <w:rPr>
          <w:rFonts w:ascii="Arial" w:cs="Arial" w:eastAsia="宋体" w:hAnsi="Arial"/>
          <w:b/>
          <w:bCs/>
        </w:rPr>
        <w:noBreakHyphen/>
      </w:r>
      <w:r>
        <w:rPr>
          <w:rFonts w:ascii="Arial" w:cs="Arial" w:eastAsia="宋体" w:hAnsi="Arial"/>
          <w:b/>
          <w:bCs/>
        </w:rPr>
        <w:fldChar w:fldCharType="begin"/>
      </w:r>
      <w:r>
        <w:rPr>
          <w:rFonts w:ascii="Arial" w:cs="Arial" w:eastAsia="宋体" w:hAnsi="Arial"/>
          <w:b/>
          <w:bCs/>
        </w:rPr>
        <w:instrText xml:space="preserve"> SEQ 表 \* ARABIC \s 1 </w:instrText>
      </w:r>
      <w:r>
        <w:rPr>
          <w:rFonts w:ascii="Arial" w:cs="Arial" w:eastAsia="宋体" w:hAnsi="Arial"/>
          <w:b/>
          <w:bCs/>
        </w:rPr>
        <w:fldChar w:fldCharType="separate"/>
      </w:r>
      <w:r>
        <w:rPr>
          <w:rFonts w:ascii="Arial" w:cs="Arial" w:eastAsia="宋体" w:hAnsi="Arial"/>
          <w:b/>
          <w:bCs/>
        </w:rPr>
        <w:t>1</w:t>
      </w:r>
      <w:r>
        <w:rPr>
          <w:rFonts w:ascii="Arial" w:cs="Arial" w:eastAsia="宋体" w:hAnsi="Arial"/>
          <w:b/>
          <w:bCs/>
        </w:rPr>
        <w:fldChar w:fldCharType="end"/>
      </w:r>
      <w:r>
        <w:rPr>
          <w:rFonts w:ascii="Arial" w:cs="Arial" w:eastAsia="宋体" w:hAnsi="Arial"/>
          <w:b/>
          <w:bCs/>
        </w:rPr>
        <w:t xml:space="preserve"> </w:t>
      </w:r>
      <w:r>
        <w:rPr>
          <w:rFonts w:ascii="Arial" w:cs="Arial" w:eastAsia="宋体" w:hAnsi="Arial"/>
          <w:b/>
          <w:bCs/>
          <w:color w:val="1f4e79"/>
        </w:rPr>
        <w:t>：环境与社会行动计划</w:t>
      </w:r>
    </w:p>
    <w:tbl>
      <w:tblPr>
        <w:tblStyle w:val="style154"/>
        <w:tblW w:w="10122"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CellMar>
          <w:top w:w="0" w:type="dxa"/>
          <w:left w:w="57" w:type="dxa"/>
          <w:bottom w:w="0" w:type="dxa"/>
          <w:right w:w="57" w:type="dxa"/>
        </w:tblCellMar>
      </w:tblPr>
      <w:tblGrid>
        <w:gridCol w:w="567"/>
        <w:gridCol w:w="491"/>
        <w:gridCol w:w="1919"/>
        <w:gridCol w:w="1418"/>
        <w:gridCol w:w="1275"/>
        <w:gridCol w:w="4452"/>
      </w:tblGrid>
      <w:tr>
        <w:trPr/>
        <w:tc>
          <w:tcPr>
            <w:tcW w:w="1058" w:type="dxa"/>
            <w:gridSpan w:val="2"/>
            <w:tcBorders/>
            <w:shd w:val="clear" w:color="auto" w:fill="f1f1f1"/>
          </w:tcPr>
          <w:p>
            <w:pPr>
              <w:pStyle w:val="style179"/>
              <w:spacing w:lineRule="auto" w:line="276"/>
              <w:ind w:firstLine="0" w:firstLineChars="0"/>
              <w:rPr>
                <w:rFonts w:ascii="Arial" w:cs="Arial" w:eastAsia="宋体" w:hAnsi="Arial"/>
                <w:b/>
                <w:bCs/>
                <w:sz w:val="20"/>
                <w:szCs w:val="21"/>
              </w:rPr>
            </w:pPr>
            <w:r>
              <w:rPr>
                <w:rFonts w:ascii="Arial" w:cs="Arial" w:eastAsia="宋体" w:hAnsi="Arial"/>
                <w:b/>
                <w:bCs/>
                <w:sz w:val="20"/>
                <w:szCs w:val="21"/>
              </w:rPr>
              <w:t>序号</w:t>
            </w:r>
          </w:p>
        </w:tc>
        <w:tc>
          <w:tcPr>
            <w:tcW w:w="1919"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行动描述</w:t>
            </w:r>
          </w:p>
        </w:tc>
        <w:tc>
          <w:tcPr>
            <w:tcW w:w="1418"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责任部门</w:t>
            </w:r>
          </w:p>
        </w:tc>
        <w:tc>
          <w:tcPr>
            <w:tcW w:w="1275"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时间安排</w:t>
            </w:r>
          </w:p>
        </w:tc>
        <w:tc>
          <w:tcPr>
            <w:tcW w:w="4452"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完成标志</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1</w:t>
            </w:r>
          </w:p>
        </w:tc>
        <w:tc>
          <w:tcPr>
            <w:tcW w:w="2410" w:type="dxa"/>
            <w:gridSpan w:val="2"/>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hint="eastAsia"/>
                <w:sz w:val="20"/>
                <w:szCs w:val="21"/>
              </w:rPr>
              <w:t>采取措施改进农村</w:t>
            </w:r>
            <w:r>
              <w:rPr>
                <w:rFonts w:ascii="Arial" w:cs="Arial" w:eastAsia="宋体" w:hAnsi="Arial"/>
                <w:sz w:val="20"/>
                <w:szCs w:val="21"/>
              </w:rPr>
              <w:t>垃圾转运站</w:t>
            </w:r>
            <w:r>
              <w:rPr>
                <w:rFonts w:ascii="Arial" w:cs="Arial" w:eastAsia="宋体" w:hAnsi="Arial" w:hint="eastAsia"/>
                <w:sz w:val="20"/>
                <w:szCs w:val="21"/>
              </w:rPr>
              <w:t>，包括改善</w:t>
            </w:r>
            <w:r>
              <w:rPr>
                <w:rFonts w:ascii="Arial" w:cs="Arial" w:eastAsia="宋体" w:hAnsi="Arial"/>
                <w:sz w:val="20"/>
                <w:szCs w:val="21"/>
              </w:rPr>
              <w:t>渗滤液和臭气收集与处理</w:t>
            </w:r>
            <w:r>
              <w:rPr>
                <w:rFonts w:ascii="Arial" w:cs="Arial" w:eastAsia="宋体" w:hAnsi="Arial" w:hint="eastAsia"/>
                <w:sz w:val="20"/>
                <w:szCs w:val="21"/>
              </w:rPr>
              <w:t>设施以及</w:t>
            </w:r>
            <w:r>
              <w:rPr>
                <w:rFonts w:ascii="Arial" w:cs="Arial" w:eastAsia="宋体" w:hAnsi="Arial"/>
                <w:sz w:val="20"/>
                <w:szCs w:val="21"/>
              </w:rPr>
              <w:t>工人防护、卫生和休息设施</w:t>
            </w:r>
          </w:p>
        </w:tc>
        <w:tc>
          <w:tcPr>
            <w:tcW w:w="1418"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省住建厅；项目县住建局、乡村振兴发展中心、城市管理综合执法局</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省项目办向世行提交</w:t>
            </w:r>
            <w:r>
              <w:rPr>
                <w:rFonts w:ascii="Arial" w:cs="Arial" w:eastAsia="宋体" w:hAnsi="Arial" w:hint="eastAsia"/>
                <w:sz w:val="20"/>
                <w:szCs w:val="21"/>
              </w:rPr>
              <w:t>垃圾转运站改造工程竣工验收报告及项目半</w:t>
            </w:r>
            <w:r>
              <w:rPr>
                <w:rFonts w:ascii="Arial" w:cs="Arial" w:eastAsia="宋体" w:hAnsi="Arial"/>
                <w:sz w:val="20"/>
                <w:szCs w:val="21"/>
              </w:rPr>
              <w:t>年度进展报告，</w:t>
            </w:r>
            <w:r>
              <w:rPr>
                <w:rFonts w:ascii="Arial" w:cs="Arial" w:eastAsia="宋体" w:hAnsi="Arial" w:hint="eastAsia"/>
                <w:sz w:val="20"/>
                <w:szCs w:val="21"/>
              </w:rPr>
              <w:t>以提供</w:t>
            </w:r>
            <w:r>
              <w:rPr>
                <w:rFonts w:ascii="Arial" w:cs="Arial" w:eastAsia="宋体" w:hAnsi="Arial"/>
                <w:sz w:val="20"/>
                <w:szCs w:val="21"/>
              </w:rPr>
              <w:t>相应设施完成和运行情况</w:t>
            </w:r>
            <w:r>
              <w:rPr>
                <w:rFonts w:ascii="Arial" w:cs="Arial" w:eastAsia="宋体" w:hAnsi="Arial" w:hint="eastAsia"/>
                <w:sz w:val="20"/>
                <w:szCs w:val="21"/>
              </w:rPr>
              <w:t>等信息</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2</w:t>
            </w:r>
          </w:p>
        </w:tc>
        <w:tc>
          <w:tcPr>
            <w:tcW w:w="2410" w:type="dxa"/>
            <w:gridSpan w:val="2"/>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hint="eastAsia"/>
                <w:sz w:val="20"/>
                <w:szCs w:val="21"/>
              </w:rPr>
              <w:t>采取措施保障</w:t>
            </w:r>
            <w:r>
              <w:rPr>
                <w:rFonts w:ascii="Arial" w:cs="Arial" w:eastAsia="宋体" w:hAnsi="Arial"/>
                <w:sz w:val="20"/>
                <w:szCs w:val="21"/>
              </w:rPr>
              <w:t>农村污水处理设施</w:t>
            </w:r>
            <w:r>
              <w:rPr>
                <w:rFonts w:ascii="Arial" w:cs="Arial" w:eastAsia="宋体" w:hAnsi="Arial" w:hint="eastAsia"/>
                <w:sz w:val="20"/>
                <w:szCs w:val="21"/>
              </w:rPr>
              <w:t>获得充分的</w:t>
            </w:r>
            <w:r>
              <w:rPr>
                <w:rFonts w:ascii="Arial" w:cs="Arial" w:eastAsia="宋体" w:hAnsi="Arial"/>
                <w:sz w:val="20"/>
                <w:szCs w:val="21"/>
              </w:rPr>
              <w:t>运行维护资金</w:t>
            </w:r>
            <w:r>
              <w:rPr>
                <w:rFonts w:ascii="Arial" w:cs="Arial" w:eastAsia="宋体" w:hAnsi="Arial" w:hint="eastAsia"/>
                <w:sz w:val="20"/>
                <w:szCs w:val="21"/>
              </w:rPr>
              <w:t>并</w:t>
            </w:r>
            <w:r>
              <w:rPr>
                <w:rFonts w:ascii="Arial" w:cs="Arial" w:eastAsia="宋体" w:hAnsi="Arial"/>
                <w:sz w:val="20"/>
                <w:szCs w:val="21"/>
              </w:rPr>
              <w:t>提高</w:t>
            </w:r>
            <w:r>
              <w:rPr>
                <w:rFonts w:ascii="Arial" w:cs="Arial" w:eastAsia="宋体" w:hAnsi="Arial" w:hint="eastAsia"/>
                <w:sz w:val="20"/>
                <w:szCs w:val="21"/>
              </w:rPr>
              <w:t>运行维护</w:t>
            </w:r>
            <w:r>
              <w:rPr>
                <w:rFonts w:ascii="Arial" w:cs="Arial" w:eastAsia="宋体" w:hAnsi="Arial"/>
                <w:sz w:val="20"/>
                <w:szCs w:val="21"/>
              </w:rPr>
              <w:t>技术水平</w:t>
            </w:r>
          </w:p>
        </w:tc>
        <w:tc>
          <w:tcPr>
            <w:tcW w:w="1418"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省生态环境厅；项目县生态环境局</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省项目办向世行提交</w:t>
            </w:r>
            <w:r>
              <w:rPr>
                <w:rFonts w:ascii="Arial" w:cs="Arial" w:eastAsia="宋体" w:hAnsi="Arial" w:hint="eastAsia"/>
                <w:sz w:val="20"/>
                <w:szCs w:val="21"/>
              </w:rPr>
              <w:t>运行维护资金安排文件以及</w:t>
            </w:r>
            <w:r>
              <w:rPr>
                <w:rFonts w:ascii="Arial" w:cs="Arial" w:eastAsia="宋体" w:hAnsi="Arial"/>
                <w:sz w:val="20"/>
                <w:szCs w:val="21"/>
              </w:rPr>
              <w:t>半年度进展报告，</w:t>
            </w:r>
            <w:r>
              <w:rPr>
                <w:rFonts w:ascii="Arial" w:cs="Arial" w:eastAsia="宋体" w:hAnsi="Arial" w:hint="eastAsia"/>
                <w:sz w:val="20"/>
                <w:szCs w:val="21"/>
              </w:rPr>
              <w:t>以提供运行维护</w:t>
            </w:r>
            <w:r>
              <w:rPr>
                <w:rFonts w:ascii="Arial" w:cs="Arial" w:eastAsia="宋体" w:hAnsi="Arial"/>
                <w:sz w:val="20"/>
                <w:szCs w:val="21"/>
              </w:rPr>
              <w:t>费用安排、人员培训、运行维护</w:t>
            </w:r>
            <w:r>
              <w:rPr>
                <w:rFonts w:ascii="Arial" w:cs="Arial" w:eastAsia="宋体" w:hAnsi="Arial" w:hint="eastAsia"/>
                <w:sz w:val="20"/>
                <w:szCs w:val="21"/>
              </w:rPr>
              <w:t>绩效</w:t>
            </w:r>
            <w:r>
              <w:rPr>
                <w:rFonts w:ascii="Arial" w:cs="Arial" w:eastAsia="宋体" w:hAnsi="Arial"/>
                <w:sz w:val="20"/>
                <w:szCs w:val="21"/>
              </w:rPr>
              <w:t>等</w:t>
            </w:r>
            <w:r>
              <w:rPr>
                <w:rFonts w:ascii="Arial" w:cs="Arial" w:eastAsia="宋体" w:hAnsi="Arial" w:hint="eastAsia"/>
                <w:sz w:val="20"/>
                <w:szCs w:val="21"/>
              </w:rPr>
              <w:t>信息</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3</w:t>
            </w:r>
          </w:p>
        </w:tc>
        <w:tc>
          <w:tcPr>
            <w:tcW w:w="2410" w:type="dxa"/>
            <w:gridSpan w:val="2"/>
            <w:tcBorders/>
          </w:tcPr>
          <w:p>
            <w:pPr>
              <w:pStyle w:val="style179"/>
              <w:spacing w:lineRule="auto" w:line="276"/>
              <w:ind w:firstLine="0" w:firstLineChars="0"/>
              <w:jc w:val="left"/>
              <w:rPr>
                <w:rFonts w:ascii="Arial" w:cs="Arial" w:eastAsia="宋体" w:hAnsi="Arial"/>
                <w:b/>
                <w:bCs/>
                <w:sz w:val="20"/>
                <w:szCs w:val="21"/>
              </w:rPr>
            </w:pPr>
            <w:r>
              <w:rPr>
                <w:rFonts w:ascii="Arial" w:cs="Arial" w:eastAsia="宋体" w:hAnsi="Arial"/>
                <w:sz w:val="20"/>
                <w:szCs w:val="21"/>
              </w:rPr>
              <w:t>为农民提供化肥减量及有机肥替代、废弃农用塑料管理等方面的培训</w:t>
            </w:r>
          </w:p>
        </w:tc>
        <w:tc>
          <w:tcPr>
            <w:tcW w:w="1418" w:type="dxa"/>
            <w:tcBorders/>
          </w:tcPr>
          <w:p>
            <w:pPr>
              <w:pStyle w:val="style179"/>
              <w:spacing w:lineRule="auto" w:line="276"/>
              <w:ind w:firstLine="0" w:firstLineChars="0"/>
              <w:jc w:val="left"/>
              <w:rPr>
                <w:rFonts w:ascii="Arial" w:cs="Arial" w:eastAsia="宋体" w:hAnsi="Arial"/>
                <w:b/>
                <w:bCs/>
                <w:sz w:val="20"/>
                <w:szCs w:val="21"/>
              </w:rPr>
            </w:pPr>
            <w:r>
              <w:rPr>
                <w:rFonts w:ascii="Arial" w:cs="Arial" w:eastAsia="宋体" w:hAnsi="Arial"/>
                <w:sz w:val="20"/>
                <w:szCs w:val="21"/>
              </w:rPr>
              <w:t>省农业农村厅；项目县农业农村局</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省项目办向世行提交半年度进展报告，报告中包括制定的培训计划、开展的培训活动以及相应的记录文件</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4</w:t>
            </w:r>
          </w:p>
        </w:tc>
        <w:tc>
          <w:tcPr>
            <w:tcW w:w="2410" w:type="dxa"/>
            <w:gridSpan w:val="2"/>
            <w:tcBorders/>
          </w:tcPr>
          <w:p>
            <w:pPr>
              <w:pStyle w:val="style179"/>
              <w:spacing w:lineRule="auto" w:line="276"/>
              <w:ind w:firstLine="0" w:firstLineChars="0"/>
              <w:jc w:val="left"/>
              <w:rPr>
                <w:rFonts w:ascii="Arial" w:cs="Arial" w:eastAsia="宋体" w:hAnsi="Arial"/>
                <w:b/>
                <w:bCs/>
                <w:sz w:val="20"/>
                <w:szCs w:val="21"/>
              </w:rPr>
            </w:pPr>
            <w:r>
              <w:rPr>
                <w:rFonts w:ascii="Arial" w:cs="Arial" w:eastAsia="宋体" w:hAnsi="Arial"/>
                <w:sz w:val="20"/>
                <w:szCs w:val="21"/>
              </w:rPr>
              <w:t>对于投资项目</w:t>
            </w:r>
            <w:r>
              <w:rPr>
                <w:rFonts w:ascii="Arial" w:cs="Arial" w:eastAsia="宋体" w:hAnsi="Arial" w:hint="eastAsia"/>
                <w:sz w:val="20"/>
                <w:szCs w:val="21"/>
              </w:rPr>
              <w:t>，含小规模投资项目</w:t>
            </w:r>
            <w:r>
              <w:rPr>
                <w:rFonts w:ascii="Arial" w:cs="Arial" w:eastAsia="宋体" w:hAnsi="Arial"/>
                <w:sz w:val="20"/>
                <w:szCs w:val="21"/>
              </w:rPr>
              <w:t>，</w:t>
            </w:r>
            <w:r>
              <w:rPr>
                <w:rFonts w:ascii="Arial" w:cs="Arial" w:eastAsia="宋体" w:hAnsi="Arial" w:hint="eastAsia"/>
                <w:sz w:val="20"/>
                <w:szCs w:val="21"/>
              </w:rPr>
              <w:t>按有关法律法规的要求进行</w:t>
            </w:r>
            <w:r>
              <w:rPr>
                <w:rFonts w:ascii="Arial" w:cs="Arial" w:eastAsia="宋体" w:hAnsi="Arial"/>
                <w:sz w:val="20"/>
                <w:szCs w:val="21"/>
              </w:rPr>
              <w:t>社会影响和风险评估</w:t>
            </w:r>
            <w:r>
              <w:rPr>
                <w:rFonts w:ascii="Arial" w:cs="Arial" w:eastAsia="宋体" w:hAnsi="Arial" w:hint="eastAsia"/>
                <w:sz w:val="20"/>
                <w:szCs w:val="21"/>
              </w:rPr>
              <w:t>，</w:t>
            </w:r>
            <w:r>
              <w:rPr>
                <w:rFonts w:ascii="Arial" w:cs="Arial" w:eastAsia="宋体" w:hAnsi="Arial"/>
                <w:sz w:val="20"/>
                <w:szCs w:val="21"/>
              </w:rPr>
              <w:t>并制定管理计划。</w:t>
            </w:r>
          </w:p>
        </w:tc>
        <w:tc>
          <w:tcPr>
            <w:tcW w:w="1418"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项目实施单位</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在有关项目的可行性研究报告中设置了社会稳定风险评估章节，或编制了社会稳定风险专项评估报告，对相关投资活动可能带来的社会风险进行全面识别、筛选、评估，并制定社会风险管理计划和监测计划。对各类设施运行过程中的公众参与、申诉记录也缺乏记录和存档。每半年向当地县项目办提交一次监测报告，监测报告的相关内容同时应包括在提交给省项目办的半年监测报告中。</w:t>
            </w:r>
          </w:p>
        </w:tc>
      </w:tr>
    </w:tbl>
    <w:p>
      <w:pPr>
        <w:pStyle w:val="style0"/>
        <w:adjustRightInd w:val="false"/>
        <w:snapToGrid w:val="false"/>
        <w:spacing w:before="120" w:after="120"/>
        <w:jc w:val="center"/>
        <w:rPr>
          <w:rFonts w:ascii="Arial" w:cs="Arial" w:eastAsia="宋体" w:hAnsi="Arial"/>
          <w:b/>
          <w:bCs/>
          <w:color w:val="1f4e79"/>
        </w:rPr>
      </w:pPr>
    </w:p>
    <w:p>
      <w:pPr>
        <w:pStyle w:val="style0"/>
        <w:adjustRightInd w:val="false"/>
        <w:snapToGrid w:val="false"/>
        <w:spacing w:before="120" w:after="120"/>
        <w:jc w:val="center"/>
        <w:rPr>
          <w:rFonts w:ascii="Arial" w:cs="Arial" w:eastAsia="宋体" w:hAnsi="Arial"/>
          <w:b/>
          <w:bCs/>
          <w:color w:val="1f4e79"/>
        </w:rPr>
      </w:pPr>
    </w:p>
    <w:bookmarkEnd w:id="637"/>
    <w:p>
      <w:pPr>
        <w:pStyle w:val="style0"/>
        <w:spacing w:lineRule="auto" w:line="276"/>
        <w:ind w:firstLine="420" w:firstLineChars="200"/>
        <w:rPr>
          <w:rFonts w:ascii="Arial" w:cs="Arial" w:eastAsia="宋体" w:hAnsi="Arial"/>
        </w:rPr>
        <w:sectPr>
          <w:pgSz w:w="11900" w:h="16820" w:orient="portrait"/>
          <w:pgMar w:top="1134" w:right="1134" w:bottom="1134" w:left="1134" w:header="720" w:footer="720" w:gutter="0"/>
          <w:pgNumType w:start="1"/>
          <w:cols w:space="720" w:num="1"/>
          <w:docGrid w:linePitch="360" w:charSpace="0"/>
        </w:sectPr>
      </w:pPr>
    </w:p>
    <w:bookmarkStart w:id="711" w:name="_Toc79939276"/>
    <w:bookmarkStart w:id="712" w:name="_Toc77865662"/>
    <w:bookmarkEnd w:id="638"/>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713" w:name="_Toc93944846"/>
      <w:r>
        <w:rPr>
          <w:rFonts w:ascii="Arial" w:cs="Arial" w:eastAsia="宋体" w:hAnsi="Arial"/>
          <w:color w:val="1f4e79"/>
          <w:sz w:val="28"/>
          <w:szCs w:val="28"/>
        </w:rPr>
        <w:t>实施管理与监测</w:t>
      </w:r>
      <w:bookmarkEnd w:id="711"/>
      <w:bookmarkEnd w:id="712"/>
      <w:bookmarkEnd w:id="71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根据世行相关政策</w:t>
      </w:r>
      <w:r>
        <w:rPr>
          <w:rStyle w:val="style38"/>
          <w:rFonts w:ascii="Arial" w:cs="Arial" w:eastAsia="宋体" w:hAnsi="Arial"/>
          <w:sz w:val="22"/>
          <w:szCs w:val="24"/>
        </w:rPr>
        <w:footnoteReference w:id="16"/>
      </w:r>
      <w:r>
        <w:rPr>
          <w:rFonts w:ascii="Arial" w:cs="Arial" w:eastAsia="宋体" w:hAnsi="Arial"/>
          <w:sz w:val="22"/>
          <w:szCs w:val="24"/>
        </w:rPr>
        <w:t>，以及世行与项目贷款方的约定，在项目实施期间，双方从不同角度管理与监测项目的实施。</w:t>
      </w:r>
    </w:p>
    <w:bookmarkStart w:id="714" w:name="_Toc92803999"/>
    <w:bookmarkStart w:id="715" w:name="_Toc91573188"/>
    <w:bookmarkStart w:id="716" w:name="_Toc92727016"/>
    <w:bookmarkStart w:id="717" w:name="_Toc92267167"/>
    <w:bookmarkStart w:id="718" w:name="_Toc93944847"/>
    <w:bookmarkStart w:id="719" w:name="_Toc79736589"/>
    <w:bookmarkStart w:id="720" w:name="_Toc79939277"/>
    <w:bookmarkStart w:id="721" w:name="_Toc88842054"/>
    <w:bookmarkStart w:id="722" w:name="_Toc88857501"/>
    <w:bookmarkStart w:id="723" w:name="_Toc88857580"/>
    <w:bookmarkStart w:id="724" w:name="_Toc88858354"/>
    <w:bookmarkStart w:id="725" w:name="_Toc88858444"/>
    <w:bookmarkStart w:id="726" w:name="_Toc88858598"/>
    <w:bookmarkStart w:id="727" w:name="_Toc88858685"/>
    <w:bookmarkStart w:id="728" w:name="_Toc88858796"/>
    <w:bookmarkStart w:id="729" w:name="_Toc88858849"/>
    <w:bookmarkStart w:id="730" w:name="_Toc88859523"/>
    <w:bookmarkStart w:id="731" w:name="_Toc88860780"/>
    <w:bookmarkStart w:id="732" w:name="_Toc88861950"/>
    <w:bookmarkStart w:id="733" w:name="_Toc88862003"/>
    <w:bookmarkStart w:id="734" w:name="_Toc88862125"/>
    <w:bookmarkStart w:id="735" w:name="_Toc89016133"/>
    <w:bookmarkStart w:id="736" w:name="_Toc89155529"/>
    <w:bookmarkStart w:id="737" w:name="_Toc89155604"/>
    <w:bookmarkStart w:id="738" w:name="_Toc89241968"/>
    <w:bookmarkStart w:id="739" w:name="_Toc89421610"/>
    <w:bookmarkStart w:id="740" w:name="_Toc89425521"/>
    <w:bookmarkStart w:id="741" w:name="_Toc89703070"/>
    <w:bookmarkStart w:id="742" w:name="_Toc89703140"/>
    <w:bookmarkStart w:id="743" w:name="_Toc90169438"/>
    <w:bookmarkStart w:id="744" w:name="_Toc90169534"/>
    <w:bookmarkStart w:id="745" w:name="_Toc90173664"/>
    <w:bookmarkStart w:id="746" w:name="_Toc90173941"/>
    <w:bookmarkStart w:id="747" w:name="_Toc90174118"/>
    <w:bookmarkStart w:id="748" w:name="_Toc90174170"/>
    <w:bookmarkStart w:id="749" w:name="_Toc90176486"/>
    <w:bookmarkStart w:id="750" w:name="_Toc90180691"/>
    <w:bookmarkStart w:id="751" w:name="_Toc90181128"/>
    <w:bookmarkStart w:id="752" w:name="_Toc90216925"/>
    <w:bookmarkStart w:id="753" w:name="_Toc90310612"/>
    <w:bookmarkStart w:id="754" w:name="_Toc90331912"/>
    <w:bookmarkStart w:id="755" w:name="_Toc90332066"/>
    <w:bookmarkStart w:id="756" w:name="_Toc90332322"/>
    <w:bookmarkStart w:id="757" w:name="_Toc90334696"/>
    <w:bookmarkStart w:id="758" w:name="_Toc90414844"/>
    <w:bookmarkStart w:id="759" w:name="_Toc90551003"/>
    <w:bookmarkStart w:id="760" w:name="_Toc90551074"/>
    <w:bookmarkStart w:id="761" w:name="_Toc90551194"/>
    <w:bookmarkStart w:id="762" w:name="_Toc90590546"/>
    <w:bookmarkStart w:id="763" w:name="_Toc90590591"/>
    <w:bookmarkStart w:id="764" w:name="_Toc90711535"/>
    <w:bookmarkStart w:id="765" w:name="_Toc90840441"/>
    <w:bookmarkStart w:id="766" w:name="_Toc90855510"/>
    <w:bookmarkStart w:id="767" w:name="_Toc90855577"/>
    <w:bookmarkStart w:id="768" w:name="_Toc90855795"/>
    <w:bookmarkStart w:id="769" w:name="_Toc90856412"/>
    <w:bookmarkStart w:id="770" w:name="_Toc90904829"/>
    <w:bookmarkStart w:id="771" w:name="_Toc90905815"/>
    <w:bookmarkStart w:id="772" w:name="_Toc91190295"/>
    <w:bookmarkStart w:id="773" w:name="_Toc91572709"/>
    <w:bookmarkStart w:id="774" w:name="_Toc91572777"/>
    <w:bookmarkStart w:id="775" w:name="_Toc91572858"/>
    <w:bookmarkStart w:id="776" w:name="_Toc91572924"/>
    <w:bookmarkStart w:id="777" w:name="_Toc91572990"/>
    <w:bookmarkStart w:id="778" w:name="_Toc91573056"/>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Pr>
        <w:pStyle w:val="style179"/>
        <w:keepNext/>
        <w:keepLines/>
        <w:numPr>
          <w:ilvl w:val="0"/>
          <w:numId w:val="23"/>
        </w:numPr>
        <w:ind w:firstLineChars="0"/>
        <w:outlineLvl w:val="1"/>
        <w:rPr>
          <w:rFonts w:ascii="Arial" w:cs="Arial" w:eastAsia="宋体" w:hAnsi="Arial"/>
          <w:b/>
          <w:bCs/>
          <w:vanish/>
          <w:sz w:val="22"/>
          <w:szCs w:val="24"/>
        </w:rPr>
      </w:pPr>
    </w:p>
    <w:bookmarkStart w:id="779" w:name="_Toc93944848"/>
    <w:bookmarkStart w:id="780" w:name="_Toc79939278"/>
    <w:p>
      <w:pPr>
        <w:pStyle w:val="style2"/>
        <w:rPr>
          <w:color w:val="1f4e79"/>
          <w:sz w:val="24"/>
          <w:szCs w:val="24"/>
        </w:rPr>
      </w:pPr>
      <w:r>
        <w:rPr>
          <w:color w:val="1f4e79"/>
          <w:sz w:val="24"/>
          <w:szCs w:val="24"/>
        </w:rPr>
        <w:t>7.1</w:t>
      </w:r>
      <w:r>
        <w:rPr>
          <w:color w:val="1f4e79"/>
          <w:sz w:val="24"/>
          <w:szCs w:val="24"/>
        </w:rPr>
        <w:tab/>
      </w:r>
      <w:r>
        <w:rPr>
          <w:color w:val="1f4e79"/>
          <w:sz w:val="24"/>
          <w:szCs w:val="24"/>
        </w:rPr>
        <w:tab/>
      </w:r>
      <w:r>
        <w:rPr>
          <w:color w:val="1f4e79"/>
          <w:sz w:val="24"/>
          <w:szCs w:val="24"/>
        </w:rPr>
        <w:t>项目实施方</w:t>
      </w:r>
      <w:bookmarkEnd w:id="779"/>
      <w:bookmarkEnd w:id="780"/>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借款方负责具体实施项目，监测项目进度，评价完成指标，履行项目法律文件中确定的包括项目行动计划中的相关承诺责任。这些责任包括借款方应维持环境与社会管理系统，监测行动计划的实施，发现问题，并及时有效地处理问题。借款方应重点做好以下相关工作：</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实施 项目行动计划中任何商定的环境与社会行动，并将环境与社会管理系统及其能力维持在与本报告评价结论相一致的水平。</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每半年提交包含环境与社会行动计划实施情况的进度报告，以证明继续遵守了适用的环境与社会管理机制。</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根据需要，对系统绩效进行定期监测、评价和审计。</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实施机构应定期审查申诉机制的绩效、程序、和投诉处理情况。具体申诉案例需要反映在进度报告中。</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在实施期间对适用的环境与社会管理系统进行任何更改之前，先与世行进行磋商。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hint="eastAsia"/>
          <w:snapToGrid w:val="false"/>
          <w:sz w:val="22"/>
          <w:szCs w:val="24"/>
          <w:lang w:eastAsia="zh-CN"/>
        </w:rPr>
        <w:t>广西壮族自治区</w:t>
      </w:r>
      <w:r>
        <w:rPr>
          <w:rFonts w:ascii="Arial" w:cs="Arial" w:eastAsia="宋体" w:hAnsi="Arial"/>
          <w:snapToGrid w:val="false"/>
          <w:sz w:val="22"/>
          <w:szCs w:val="24"/>
        </w:rPr>
        <w:t>项目办和贵州省项目办是省级总体管理机构；同时，各项目县乡村振兴局或农业农村局（县项目办）负责管理县级活动的总体实施。</w:t>
      </w:r>
      <w:r>
        <w:rPr>
          <w:rFonts w:ascii="Arial" w:cs="Arial" w:eastAsia="宋体" w:hAnsi="Arial"/>
          <w:sz w:val="22"/>
          <w:szCs w:val="24"/>
        </w:rPr>
        <w:t>各项目县活动的主要实施机构包括</w:t>
      </w:r>
      <w:r>
        <w:rPr>
          <w:rFonts w:ascii="Arial" w:cs="Arial" w:eastAsia="宋体" w:hAnsi="Arial"/>
          <w:snapToGrid w:val="false"/>
          <w:sz w:val="22"/>
          <w:szCs w:val="24"/>
        </w:rPr>
        <w:t>乡村振兴局、</w:t>
      </w:r>
      <w:r>
        <w:rPr>
          <w:rFonts w:ascii="Arial" w:cs="Arial" w:eastAsia="宋体" w:hAnsi="Arial"/>
          <w:sz w:val="22"/>
          <w:szCs w:val="24"/>
        </w:rPr>
        <w:t>农</w:t>
      </w:r>
      <w:r>
        <w:rPr>
          <w:rFonts w:ascii="Arial" w:cs="Arial" w:eastAsia="宋体" w:hAnsi="Arial" w:hint="eastAsia"/>
          <w:sz w:val="22"/>
          <w:szCs w:val="24"/>
          <w:lang w:eastAsia="zh-CN"/>
        </w:rPr>
        <w:t>业农</w:t>
      </w:r>
      <w:r>
        <w:rPr>
          <w:rFonts w:ascii="Arial" w:cs="Arial" w:eastAsia="宋体" w:hAnsi="Arial"/>
          <w:sz w:val="22"/>
          <w:szCs w:val="24"/>
        </w:rPr>
        <w:t>村局、生态环境局、住建局、交通局、水利局等，他们负责实施商定的环境与社会行动。县级</w:t>
      </w:r>
      <w:r>
        <w:rPr>
          <w:rFonts w:ascii="Arial" w:cs="Arial" w:eastAsia="宋体" w:hAnsi="Arial"/>
          <w:snapToGrid w:val="false"/>
          <w:sz w:val="22"/>
          <w:szCs w:val="24"/>
        </w:rPr>
        <w:t>实施机构应当指定专门部门和人员管理</w:t>
      </w:r>
      <w:r>
        <w:rPr>
          <w:rFonts w:ascii="Arial" w:cs="Arial" w:eastAsia="宋体" w:hAnsi="Arial"/>
          <w:sz w:val="22"/>
          <w:szCs w:val="24"/>
        </w:rPr>
        <w:t>环境与社会行动的实施、向县项目办报告，</w:t>
      </w:r>
      <w:r>
        <w:rPr>
          <w:rFonts w:ascii="Arial" w:cs="Arial" w:eastAsia="宋体" w:hAnsi="Arial"/>
          <w:snapToGrid w:val="false"/>
        </w:rPr>
        <w:t>并提供机构设置和相关资料，由省项目办和世行进行监督和监测。</w:t>
      </w:r>
    </w:p>
    <w:bookmarkStart w:id="781" w:name="_Toc93944849"/>
    <w:bookmarkStart w:id="782" w:name="_Toc79939279"/>
    <w:p>
      <w:pPr>
        <w:pStyle w:val="style2"/>
        <w:rPr>
          <w:color w:val="1f4e79"/>
          <w:sz w:val="24"/>
          <w:szCs w:val="24"/>
          <w:lang w:val="en-GB"/>
        </w:rPr>
      </w:pPr>
      <w:r>
        <w:rPr>
          <w:color w:val="1f4e79"/>
          <w:sz w:val="24"/>
          <w:szCs w:val="24"/>
        </w:rPr>
        <w:t>7.2</w:t>
      </w:r>
      <w:r>
        <w:rPr>
          <w:color w:val="1f4e79"/>
          <w:sz w:val="24"/>
          <w:szCs w:val="24"/>
        </w:rPr>
        <w:tab/>
      </w:r>
      <w:r>
        <w:rPr>
          <w:color w:val="1f4e79"/>
          <w:sz w:val="24"/>
          <w:szCs w:val="24"/>
        </w:rPr>
        <w:tab/>
      </w:r>
      <w:r>
        <w:rPr>
          <w:color w:val="1f4e79"/>
          <w:sz w:val="24"/>
          <w:szCs w:val="24"/>
        </w:rPr>
        <w:t>世行方面</w:t>
      </w:r>
      <w:bookmarkEnd w:id="781"/>
      <w:bookmarkEnd w:id="782"/>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提供实施支持，关注项目实施的环境与社会管理绩效与本报告要求的一致性，尤其是与项目行动计划要求的一致性。世行将监测借款人遵守环境与社会风险管理的承诺，包括加强机制和能力建设的行动等。世行将基于准备阶段确定的风险评价来定期评价整个项目，利用该风险评价响应及帮助借款方处理预知的、新的风险，并对风险评价提出改进建议。世行还会进行实地考察，与利益相关方一道为项目实施方提供适当的支持，审查项目审计报告、进度报告。世行项目团队定期用备忘录的形式向管理层报告项目实施情况，内容包括文件审查、与项目实施方及利益相关者协商情况、现场考察情况等。主要活动如下：</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核实任何商定行动的执行情况，包括任何商定的能力建设活动和任何指定的环境与社会影响缓解措施；</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进行定期监测，以确保借款人的环境与社会管理系统在整个实施期间的绩效可被世行接受；</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确定可能需要采取的任何额外管理措施，以解决执行中的绩效不佳或意外挑战；</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通过半年监测报告审查申诉机制的运行情况，确认该机制的有效运行；</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世行将定期进行现场考察，作为实施方自我监督的补充，还将提供双方同意的其他支持。</w:t>
      </w:r>
    </w:p>
    <w:p>
      <w:pPr>
        <w:pStyle w:val="style179"/>
        <w:numPr>
          <w:ilvl w:val="0"/>
          <w:numId w:val="28"/>
        </w:numPr>
        <w:ind w:left="851" w:hanging="851" w:firstLineChars="0"/>
        <w:rPr>
          <w:rFonts w:ascii="Arial" w:cs="Arial" w:eastAsia="宋体" w:hAnsi="Arial"/>
          <w:sz w:val="22"/>
          <w:szCs w:val="24"/>
        </w:rPr>
        <w:sectPr>
          <w:pgSz w:w="11906" w:h="16838" w:orient="portrait"/>
          <w:pgMar w:top="1134" w:right="1134" w:bottom="1134" w:left="1134" w:header="720" w:footer="720" w:gutter="0"/>
          <w:cols w:space="720" w:num="1"/>
          <w:docGrid w:linePitch="360" w:charSpace="0"/>
        </w:sectPr>
      </w:pPr>
    </w:p>
    <w:bookmarkStart w:id="783" w:name="_Toc93944850"/>
    <w:bookmarkStart w:id="784" w:name="_Toc79939280"/>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附件1：本项目PforR活动边界确定</w:t>
      </w:r>
      <w:bookmarkEnd w:id="783"/>
    </w:p>
    <w:p>
      <w:pPr>
        <w:pStyle w:val="style0"/>
        <w:rPr>
          <w:rFonts w:ascii="Arial" w:cs="Arial" w:eastAsia="宋体" w:hAnsi="Arial"/>
          <w:b/>
          <w:bCs/>
          <w:sz w:val="22"/>
          <w:szCs w:val="24"/>
        </w:rPr>
      </w:pPr>
      <w:r>
        <w:rPr>
          <w:rFonts w:ascii="Arial" w:cs="Arial" w:eastAsia="宋体" w:hAnsi="Arial"/>
          <w:b/>
          <w:bCs/>
          <w:sz w:val="22"/>
          <w:szCs w:val="24"/>
        </w:rPr>
        <w:t>A-1．广西壮族自治区PforR活动边界确定</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314"/>
        <w:gridCol w:w="1314"/>
        <w:gridCol w:w="1658"/>
        <w:gridCol w:w="4982"/>
        <w:gridCol w:w="3065"/>
        <w:gridCol w:w="2235"/>
      </w:tblGrid>
      <w:tr>
        <w:trPr>
          <w:trHeight w:val="20" w:hRule="atLeast"/>
          <w:tblHeader/>
        </w:trPr>
        <w:tc>
          <w:tcPr>
            <w:tcW w:w="451"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xml:space="preserve">结果领域 </w:t>
            </w:r>
          </w:p>
        </w:tc>
        <w:tc>
          <w:tcPr>
            <w:tcW w:w="1020" w:type="pct"/>
            <w:gridSpan w:val="2"/>
            <w:tcBorders/>
            <w:shd w:val="clear" w:color="000000" w:fill="e7e6e6"/>
          </w:tcPr>
          <w:p>
            <w:pPr>
              <w:pStyle w:val="style0"/>
              <w:widowControl/>
              <w:jc w:val="center"/>
              <w:rPr>
                <w:rFonts w:ascii="Arial" w:cs="Arial" w:eastAsia="宋体" w:hAnsi="Arial"/>
                <w:b/>
                <w:bCs/>
                <w:color w:val="000000"/>
                <w:kern w:val="0"/>
                <w:sz w:val="18"/>
                <w:szCs w:val="18"/>
              </w:rPr>
            </w:pPr>
            <w:r>
              <w:rPr>
                <w:rFonts w:ascii="Arial" w:cs="Arial" w:eastAsia="宋体" w:hAnsi="Arial"/>
                <w:b/>
                <w:bCs/>
                <w:color w:val="000000"/>
                <w:kern w:val="0"/>
                <w:sz w:val="18"/>
                <w:szCs w:val="18"/>
              </w:rPr>
              <w:t>典型活动类型</w:t>
            </w:r>
          </w:p>
        </w:tc>
        <w:tc>
          <w:tcPr>
            <w:tcW w:w="1710"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省级规划主要项目活动</w:t>
            </w:r>
          </w:p>
        </w:tc>
        <w:tc>
          <w:tcPr>
            <w:tcW w:w="1052"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拟纳入世行PforR范围的活动</w:t>
            </w:r>
          </w:p>
        </w:tc>
        <w:tc>
          <w:tcPr>
            <w:tcW w:w="768"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不纳入的原因</w:t>
            </w:r>
          </w:p>
        </w:tc>
      </w:tr>
      <w:tr>
        <w:tblPrEx/>
        <w:trPr>
          <w:trHeight w:val="20" w:hRule="atLeast"/>
        </w:trPr>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加强省级和县级政府的机构管理能力</w:t>
            </w: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1-6.加强管理系统和机制建设，促进绿色农业发展</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能力建设软课题：绿色农业规范和导则制定</w:t>
            </w:r>
          </w:p>
        </w:tc>
        <w:tc>
          <w:tcPr>
            <w:tcW w:w="1710" w:type="pct"/>
            <w:tcBorders/>
            <w:shd w:val="clear" w:color="auto" w:fill="auto"/>
          </w:tcPr>
          <w:p>
            <w:pPr>
              <w:pStyle w:val="style0"/>
              <w:widowControl/>
              <w:rPr>
                <w:rFonts w:ascii="Arial" w:cs="Arial" w:eastAsia="宋体" w:hAnsi="Arial"/>
                <w:color w:val="000000"/>
                <w:kern w:val="0"/>
                <w:sz w:val="18"/>
                <w:szCs w:val="18"/>
                <w:lang w:val="en-GB"/>
              </w:rPr>
            </w:pPr>
            <w:r>
              <w:rPr>
                <w:rFonts w:ascii="Arial" w:cs="Arial" w:eastAsia="宋体" w:hAnsi="Arial"/>
                <w:color w:val="000000"/>
                <w:kern w:val="0"/>
                <w:sz w:val="18"/>
                <w:szCs w:val="18"/>
              </w:rPr>
              <w:t>支持编制或修订绿色农业发展标准、规定、导则等，如完善粮食安全检验和质量风险监测体系、专业化社会化粮食产后服务体系等</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支持编制或修订绿色农业发展标准、规定、导则等，如完善粮食安全检验和质量风险监测体系、专业化社会化粮食产后服务体系等</w:t>
            </w:r>
          </w:p>
        </w:tc>
        <w:tc>
          <w:tcPr>
            <w:tcW w:w="768"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基层治理能力加强</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健全村级组织财务会计管理制度,引进人才，加强培训、岗位锻炼等。</w:t>
            </w:r>
          </w:p>
        </w:tc>
        <w:tc>
          <w:tcPr>
            <w:tcW w:w="105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民主法治示范村创建</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农民自我管理、自我教育、农村社会法治化管理。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2-5.提升绿色农业科技进步的创新机制 </w:t>
            </w:r>
          </w:p>
        </w:tc>
        <w:tc>
          <w:tcPr>
            <w:tcW w:w="569" w:type="pct"/>
            <w:tcBorders/>
            <w:shd w:val="clear" w:color="auto" w:fill="auto"/>
          </w:tcPr>
          <w:p>
            <w:pPr>
              <w:pStyle w:val="style0"/>
              <w:widowControl/>
              <w:jc w:val="left"/>
              <w:rPr>
                <w:rFonts w:ascii="Arial" w:cs="Arial" w:eastAsia="宋体" w:hAnsi="Arial"/>
                <w:kern w:val="0"/>
                <w:sz w:val="18"/>
                <w:szCs w:val="18"/>
              </w:rPr>
            </w:pPr>
            <w:r>
              <w:rPr>
                <w:rFonts w:ascii="Arial" w:cs="Arial" w:eastAsia="宋体" w:hAnsi="Arial"/>
                <w:kern w:val="0"/>
                <w:sz w:val="18"/>
                <w:szCs w:val="18"/>
              </w:rPr>
              <w:t>农业科技创新能力提升行动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健全基层农技推广体系；开展农业关键技术攻关与推广，工程技术研究中心、重点实验室等平台建设 ；构建机械化技术体系。</w:t>
            </w:r>
          </w:p>
        </w:tc>
        <w:tc>
          <w:tcPr>
            <w:tcW w:w="105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推动省级和县级绿色农业产业链发展 </w:t>
            </w: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3-1.加强农业资源的保护和利用</w:t>
            </w:r>
          </w:p>
        </w:tc>
        <w:tc>
          <w:tcPr>
            <w:tcW w:w="56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循环农业发展行动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工农复合型循环经济示范区；实施畜禽粪污资源化利用整县推进；推进秸秆、秸秆还田、禽畜粪污等大宗农业废弃物的综合利用；推进废旧农膜、农药包装物、灌溉器材等回收利用；建立农业循环经济评价指标体系和评价考核制度等</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农膜、农药和化肥包装废弃物等收集</w:t>
            </w:r>
            <w:r>
              <w:rPr>
                <w:rFonts w:ascii="Arial" w:cs="Arial" w:eastAsia="宋体" w:hAnsi="Arial"/>
                <w:color w:val="000000"/>
                <w:kern w:val="0"/>
                <w:sz w:val="18"/>
                <w:szCs w:val="18"/>
              </w:rPr>
              <w:br/>
            </w:r>
            <w:r>
              <w:rPr>
                <w:rFonts w:ascii="Arial" w:cs="Arial" w:eastAsia="宋体" w:hAnsi="Arial"/>
                <w:color w:val="000000"/>
                <w:kern w:val="0"/>
                <w:sz w:val="18"/>
                <w:szCs w:val="18"/>
              </w:rPr>
              <w:t>养殖业粪污处理与利用</w:t>
            </w:r>
            <w:r>
              <w:rPr>
                <w:rFonts w:ascii="Arial" w:cs="Arial" w:eastAsia="宋体" w:hAnsi="Arial"/>
                <w:color w:val="000000"/>
                <w:kern w:val="0"/>
                <w:sz w:val="18"/>
                <w:szCs w:val="18"/>
              </w:rPr>
              <w:br/>
            </w:r>
            <w:r>
              <w:rPr>
                <w:rFonts w:ascii="Arial" w:cs="Arial" w:eastAsia="宋体" w:hAnsi="Arial"/>
                <w:color w:val="000000"/>
                <w:kern w:val="0"/>
                <w:sz w:val="18"/>
                <w:szCs w:val="18"/>
              </w:rPr>
              <w:t>秸秆肥料化、饲料化、原料化等综合利用</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农村生活垃圾分类及资源化</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农村垃圾收集转运</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4-2.加强农业面源污染防控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耕地质量保护与提升行动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推广应用测土配方施肥、绿肥种植、增施有机肥、中低产田改良、酸化土改良、水肥一体化等技术，耕地质量平均提升0.5个等级(别)以上</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推进化肥减量增效、有机肥替代、</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化肥农药使用量零增长行动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推进化肥减量增效、有机肥替代、精准科学用药、病虫害绿色防控等。</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农药化肥减量，推进化肥减量增效、有机肥替代</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5-4.建设绿色低碳农业产业链</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产业兴村强县行动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培育和发展一批产业强、产品优、质量好、功能全、生态美的农业强村强镇</w:t>
            </w:r>
          </w:p>
        </w:tc>
        <w:tc>
          <w:tcPr>
            <w:tcW w:w="105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耕地保护与高标准农田建设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土地平整、土壤改良、推进高效节水灌溉面积、田间道路建设、农田防护与生态环境保持、农田输配电、改造中低产田、农村土地综合治理；建设高标准农田等</w:t>
            </w:r>
          </w:p>
        </w:tc>
        <w:tc>
          <w:tcPr>
            <w:tcW w:w="105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土地平整、土壤改良、</w:t>
            </w:r>
            <w:r>
              <w:rPr>
                <w:rFonts w:ascii="Arial" w:cs="Arial" w:eastAsia="宋体" w:hAnsi="Arial"/>
                <w:kern w:val="0"/>
                <w:sz w:val="18"/>
                <w:szCs w:val="18"/>
              </w:rPr>
              <w:t>灌溉排水</w:t>
            </w:r>
            <w:r>
              <w:rPr>
                <w:rFonts w:ascii="Arial" w:cs="Arial" w:eastAsia="宋体" w:hAnsi="Arial" w:hint="eastAsia"/>
                <w:kern w:val="0"/>
                <w:sz w:val="18"/>
                <w:szCs w:val="18"/>
              </w:rPr>
              <w:t>、</w:t>
            </w:r>
            <w:r>
              <w:rPr>
                <w:rFonts w:ascii="Arial" w:cs="Arial" w:eastAsia="宋体" w:hAnsi="Arial"/>
                <w:kern w:val="0"/>
                <w:sz w:val="18"/>
                <w:szCs w:val="18"/>
              </w:rPr>
              <w:t>田间道路</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农产品加工业储存设施建设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农产品加工专用原料基地、农产品加工产业园区等工程、农产品冷链物流体系建设等工程。</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农产品冷链设施建设</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粮食物流中心建设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建设广西(中国—东盟)粮食物流产业园、南宁国家粮食交易中心、广西国家粮食质量监测中心、柳州粮油食糖批发仓储物流贸易中心、贵港现代粮食物流中心和防城港(中国—东盟)粮油加工园区等。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6-7.规划和实施绿色农业发展</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规划编制</w:t>
            </w:r>
          </w:p>
        </w:tc>
        <w:tc>
          <w:tcPr>
            <w:tcW w:w="1710" w:type="pct"/>
            <w:tcBorders/>
            <w:shd w:val="clear" w:color="auto" w:fill="auto"/>
          </w:tcPr>
          <w:p>
            <w:pPr>
              <w:pStyle w:val="style0"/>
              <w:widowControl/>
              <w:rPr>
                <w:rFonts w:ascii="Arial" w:cs="Arial" w:eastAsia="宋体" w:hAnsi="Arial"/>
                <w:color w:val="000000"/>
                <w:kern w:val="0"/>
                <w:sz w:val="18"/>
                <w:szCs w:val="18"/>
              </w:rPr>
            </w:pPr>
            <w:r>
              <w:rPr>
                <w:rFonts w:ascii="Arial" w:cs="Arial" w:eastAsia="宋体" w:hAnsi="Arial"/>
                <w:color w:val="000000"/>
                <w:kern w:val="0"/>
                <w:sz w:val="18"/>
                <w:szCs w:val="18"/>
              </w:rPr>
              <w:t>编制一批“多规合一”村庄规划</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编制一批“多规合一”村庄规划</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农业示范单位培育</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培育和引进国家级农业产业化龙头企业、家庭农场和农民专业合作社。</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扶持小农生产行动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落实“三权分置”，强化对农户土地承包权的保护和对普通农户生产的金融服务,鼓励社会化服务组织为普通农户生产生活提供 “一站式”服务。</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农旅融合发展</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统筹"三区"建设，创建特色农产品优势区、示范区。休闲农业和乡村旅游精品、产业融合发展示范园创建。</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质量兴农</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优质高产高糖糖料蔗基地建设、标准化改造养殖池塘、标准化稻鱼综合种养</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7-3.加强农业生态保护与恢复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蓝色海湾整治工程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推动重要河口海湾综合整治,强化海岸带保护与修复。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重点流域环境综合整治工程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左右江等重点流域环境综合整治；养殖污染、生活污染、工业污染、农业面源污染治理和河道清理整治。 岩溶、石漠化治理，提升区域林草植被覆盖度 。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土壤污染防治工程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土壤环境质量总体基本保持稳定；农用地和建设用地土壤环境安全得到基本保障；土壤环境风险得到基本管控。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农村自然灾害监测预警体系建设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建设自然灾害综合风险数据库；建立重特大自然灾害风险评估机制；完善海洋气象、致洪暴雨、森林火险、交通运输、地震、农林业有害生物、陆生野生动物疫源疫病等监测应急管理系统。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农村防灾减灾救灾体系建设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完善自治区、市、县、乡、村五级灾害信息员队伍建设；新建和改扩建市县救灾物资储备仓库、乡镇救灾物资储备点、行政村设置救灾物资储备室等。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气象服务能力提升</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农村自动气象站加装双路北斗通信系统模块。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 改善乡村基础设施和公共服务</w:t>
            </w: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8-8.建设生机美丽的乡村</w:t>
            </w:r>
            <w:r>
              <w:rPr>
                <w:rFonts w:ascii="Arial" w:cs="Arial" w:eastAsia="宋体" w:hAnsi="Arial"/>
                <w:color w:val="000000"/>
                <w:kern w:val="0"/>
                <w:sz w:val="18"/>
                <w:szCs w:val="18"/>
              </w:rPr>
              <w:br/>
            </w:r>
            <w:r>
              <w:rPr>
                <w:rFonts w:ascii="Arial" w:cs="Arial" w:eastAsia="宋体" w:hAnsi="Arial"/>
                <w:color w:val="000000"/>
                <w:kern w:val="0"/>
                <w:sz w:val="18"/>
                <w:szCs w:val="18"/>
              </w:rPr>
              <w:br/>
            </w:r>
            <w:r>
              <w:rPr>
                <w:rFonts w:ascii="Arial" w:cs="Arial" w:eastAsia="宋体" w:hAnsi="Arial"/>
                <w:color w:val="000000"/>
                <w:kern w:val="0"/>
                <w:sz w:val="18"/>
                <w:szCs w:val="18"/>
              </w:rPr>
              <w:t xml:space="preserve">9-10.提升村容村貌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村屯整治，人居环境改善</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基本整治型村屯改造、设施完善、主干道硬化和公共服务设施建设。农村人居环境整治。</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农村生活垃圾治理</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建设500个以上农村收集转运处理设施项目、完成2个全国农村生活垃圾分类及资源化利用示范县。</w:t>
            </w:r>
          </w:p>
        </w:tc>
        <w:tc>
          <w:tcPr>
            <w:tcW w:w="105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农村生活垃圾收集与转运</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厕所改造</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完成农村户用厕所无害化改造、公共厕所建设或改造</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农村户厕改造</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完善农村污水及管网</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新建150个以上镇级污水处理设施；建设2个全国农村生活污水处理示范县；完成10个行政村生活污水处理项目和10个村清淤疏浚治理试点。</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农村污水处理</w:t>
            </w:r>
            <w:r>
              <w:rPr>
                <w:rFonts w:ascii="Arial" w:cs="Arial" w:eastAsia="宋体" w:hAnsi="Arial" w:hint="eastAsia"/>
                <w:color w:val="000000"/>
                <w:kern w:val="0"/>
                <w:sz w:val="18"/>
                <w:szCs w:val="18"/>
              </w:rPr>
              <w:t>设施</w:t>
            </w:r>
            <w:r>
              <w:rPr>
                <w:rFonts w:ascii="Arial" w:cs="Arial" w:eastAsia="宋体" w:hAnsi="Arial"/>
                <w:color w:val="000000"/>
                <w:kern w:val="0"/>
                <w:sz w:val="18"/>
                <w:szCs w:val="18"/>
              </w:rPr>
              <w:t>和配套管网建设</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10-11.提升农村水利网络基础设施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提升农业水利设施</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推进9条流域面积3000平方公里以上主要支流治理；流域面积200至3000平方公里中小河流治理；建设一批中小型水库(塘堰)和小型引调提水工程；力争完成8个重大水利工程建设 。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12-12.加强农村交通基础设施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农村公路建设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农村公路总里程突破10.5万公里,基本实现县县通高等级公路、乡乡通二级(或三级)路,100%建制村通硬化路。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建设完善农村交通物流设施</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在行政村和具备条件的自然村基本实现物流配送网点全覆盖；支持县级客运站和乡镇客运综合服务站建设和改造；创新农村客运和物流配送组织模式；建设和改善生鲜设施。</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数字乡村建设工程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编织广西农业信息网；市、县两级建设益农信息社运营中心建设；智慧农业技术与装备研发应用；开展农业物联网应用示范县和农业物联网应用示范基地建设。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13-13.建设现代农村能源系统</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农村电力供应</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实施“小康电”示范县农网改造升级项目。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秸秆资源化利用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在农村开展5个分布式能源系统示范项目,带动农作物秸秆能源化利用率达到15%；开展 “天然气下乡”试点。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秸秆资源化利用</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11-9.提升乡村生物栖息环境</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提升农业防疫能力</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动植物保护能力提升建设行动，形成布局合理、覆盖全区的监测预警体系，响应及时、控制有效的疫情灾害应急处置体系、农药风险监控体系和功能完备、部门联动的联防联控体系。</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生态林业建设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林业发展，创建现代特色林业核心示范区。推进森林生态标志产品建设和森林生态网上信息平台建设。开展智慧林业体系建设；实现林区网络和信息基础设施基本覆盖。</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湿地保护</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增加湿地面积，建成一批国家级、自治区级和县级湿地公园。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推进生物多样性保护</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开展生物多样性调查评估、濒危野生动植物抢救性保护、保护和改善濒危野生动物栖息地、生态环境恢复和人工拯救、松材线虫病防控防治等。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15.农村公共服务能力提升</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乡村教育质量提升行动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推进义务教育工程基础设施项目；建设280所县级普通高中；新建、改扩建600所幼儿园；逐步提高乡村教师生活补助标准；对乡村学校校长和教师培训；建设乡村教师周转宿舍等</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健康乡村行动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乡镇卫生院基础设施达到国家标准要求；实施基层医疗卫生机构能力提升行动、实施全民参保；实施订单定向乡村医生培养；加强在岗培训。社区居家养老服务设施基本覆盖2/3的农村社区；每个县(市、区)建成2—3个农村区域性养老服务中心。  </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人才支撑</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加强职业农民学院标准化、规范化建设；引进和培育人才；开展高素质农民培训、农民工培训等；加强公共就业服务机构、设施、平台等系统建设。</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开展绿色农业培训和人才培养</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为农民工提供免费就业和法律援助等服务</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加强金融支农力度</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建立健全实施乡村振兴战略财政投入保障机制。</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推进村镇银行设立及金融终端建设。</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开发创新小额贷款业务。</w:t>
            </w:r>
          </w:p>
        </w:tc>
        <w:tc>
          <w:tcPr>
            <w:tcW w:w="105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768"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bl>
    <w:p>
      <w:pPr>
        <w:pStyle w:val="style0"/>
        <w:rPr>
          <w:rFonts w:ascii="Arial" w:cs="Arial" w:eastAsia="宋体" w:hAnsi="Arial"/>
          <w:b/>
          <w:bCs/>
          <w:sz w:val="22"/>
          <w:szCs w:val="24"/>
          <w:lang w:val="en-GB"/>
        </w:rPr>
      </w:pPr>
    </w:p>
    <w:p>
      <w:pPr>
        <w:pStyle w:val="style0"/>
        <w:widowControl/>
        <w:jc w:val="left"/>
        <w:rPr>
          <w:rFonts w:ascii="Arial" w:cs="Arial" w:eastAsia="宋体" w:hAnsi="Arial"/>
          <w:b/>
          <w:bCs/>
          <w:sz w:val="22"/>
          <w:szCs w:val="24"/>
        </w:rPr>
      </w:pPr>
      <w:r>
        <w:rPr>
          <w:rFonts w:ascii="Arial" w:cs="Arial" w:eastAsia="宋体" w:hAnsi="Arial"/>
          <w:b/>
          <w:bCs/>
          <w:sz w:val="22"/>
          <w:szCs w:val="24"/>
        </w:rPr>
        <w:br w:type="page"/>
      </w:r>
    </w:p>
    <w:p>
      <w:pPr>
        <w:pStyle w:val="style0"/>
        <w:rPr>
          <w:rFonts w:ascii="Arial" w:cs="Arial" w:eastAsia="宋体" w:hAnsi="Arial"/>
          <w:b/>
          <w:bCs/>
          <w:sz w:val="22"/>
          <w:szCs w:val="24"/>
        </w:rPr>
      </w:pPr>
      <w:r>
        <w:rPr>
          <w:rFonts w:ascii="Arial" w:cs="Arial" w:eastAsia="宋体" w:hAnsi="Arial"/>
          <w:b/>
          <w:bCs/>
          <w:sz w:val="22"/>
          <w:szCs w:val="24"/>
        </w:rPr>
        <w:t>A-2．贵州省PforR活动边界确定</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87"/>
        <w:gridCol w:w="1564"/>
        <w:gridCol w:w="1653"/>
        <w:gridCol w:w="6009"/>
        <w:gridCol w:w="2857"/>
        <w:gridCol w:w="1417"/>
      </w:tblGrid>
      <w:tr>
        <w:trPr>
          <w:trHeight w:val="20" w:hRule="atLeast"/>
          <w:tblHeader/>
        </w:trPr>
        <w:tc>
          <w:tcPr>
            <w:tcW w:w="435"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xml:space="preserve">结果领域 </w:t>
            </w:r>
          </w:p>
        </w:tc>
        <w:tc>
          <w:tcPr>
            <w:tcW w:w="1088" w:type="pct"/>
            <w:gridSpan w:val="2"/>
            <w:tcBorders/>
            <w:shd w:val="clear" w:color="000000" w:fill="e7e6e6"/>
          </w:tcPr>
          <w:p>
            <w:pPr>
              <w:pStyle w:val="style0"/>
              <w:widowControl/>
              <w:jc w:val="center"/>
              <w:rPr>
                <w:rFonts w:ascii="Arial" w:cs="Arial" w:eastAsia="宋体" w:hAnsi="Arial"/>
                <w:b/>
                <w:bCs/>
                <w:color w:val="000000"/>
                <w:kern w:val="0"/>
                <w:sz w:val="18"/>
                <w:szCs w:val="18"/>
              </w:rPr>
            </w:pPr>
            <w:r>
              <w:rPr>
                <w:rFonts w:ascii="Arial" w:cs="Arial" w:eastAsia="宋体" w:hAnsi="Arial"/>
                <w:b/>
                <w:bCs/>
                <w:color w:val="000000"/>
                <w:kern w:val="0"/>
                <w:sz w:val="18"/>
                <w:szCs w:val="18"/>
              </w:rPr>
              <w:t>典型活动类型</w:t>
            </w:r>
          </w:p>
        </w:tc>
        <w:tc>
          <w:tcPr>
            <w:tcW w:w="2032"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省级规划主要项目活动</w:t>
            </w:r>
          </w:p>
        </w:tc>
        <w:tc>
          <w:tcPr>
            <w:tcW w:w="966"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拟纳入世行PforR范围的活动</w:t>
            </w:r>
          </w:p>
        </w:tc>
        <w:tc>
          <w:tcPr>
            <w:tcW w:w="479"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不纳入的原因</w:t>
            </w:r>
          </w:p>
        </w:tc>
      </w:tr>
      <w:tr>
        <w:tblPrEx/>
        <w:trPr>
          <w:trHeight w:val="20" w:hRule="atLeast"/>
        </w:trPr>
        <w:tc>
          <w:tcPr>
            <w:tcW w:w="435"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1.加强省级和县级政府的机构管理能力</w:t>
            </w: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1加强管理系统和机制建设，促进绿色农业发展</w:t>
            </w: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能力建设软课题:绿色农业规范和导则制定</w:t>
            </w:r>
          </w:p>
        </w:tc>
        <w:tc>
          <w:tcPr>
            <w:tcW w:w="2032" w:type="pct"/>
            <w:tcBorders/>
            <w:shd w:val="clear" w:color="auto" w:fill="auto"/>
          </w:tcPr>
          <w:p>
            <w:pPr>
              <w:pStyle w:val="style0"/>
              <w:widowControl/>
              <w:rPr>
                <w:rFonts w:ascii="Arial" w:cs="Arial" w:eastAsia="宋体" w:hAnsi="Arial"/>
                <w:color w:val="000000"/>
                <w:kern w:val="0"/>
                <w:sz w:val="18"/>
                <w:szCs w:val="18"/>
              </w:rPr>
            </w:pPr>
            <w:r>
              <w:rPr>
                <w:rFonts w:ascii="Arial" w:cs="Arial" w:eastAsia="宋体" w:hAnsi="Arial"/>
                <w:color w:val="000000"/>
                <w:kern w:val="0"/>
                <w:sz w:val="18"/>
                <w:szCs w:val="18"/>
              </w:rPr>
              <w:t>支持编制或修订绿色农业发展标准、规定、导则等，制定和修订一批生产标准、加工标准、流通标准和质量安全标准，按照标准组织农业生产加工。</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支持编制或修订绿色农业发展标准、规定、导则等，制定和修订一批生产标准、加工标准、流通标准和质量安全标准，按照标准组织农业生产加工。</w:t>
            </w:r>
          </w:p>
        </w:tc>
        <w:tc>
          <w:tcPr>
            <w:tcW w:w="479"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建立以绿色农业规划为基础的整合财政资金预算和支出报告系统</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建立以绿色农业规划为基础的整合财政资金预算和支出报告系统</w:t>
            </w:r>
          </w:p>
        </w:tc>
        <w:tc>
          <w:tcPr>
            <w:tcW w:w="479"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基础治理人才培养</w:t>
            </w:r>
          </w:p>
        </w:tc>
        <w:tc>
          <w:tcPr>
            <w:tcW w:w="2032" w:type="pct"/>
            <w:tcBorders/>
            <w:shd w:val="clear" w:color="auto" w:fill="auto"/>
          </w:tcPr>
          <w:p>
            <w:pPr>
              <w:pStyle w:val="style0"/>
              <w:widowControl/>
              <w:rPr>
                <w:rFonts w:ascii="Arial" w:cs="Arial" w:eastAsia="宋体" w:hAnsi="Arial"/>
                <w:color w:val="000000"/>
                <w:kern w:val="0"/>
                <w:sz w:val="18"/>
                <w:szCs w:val="18"/>
              </w:rPr>
            </w:pPr>
            <w:r>
              <w:rPr>
                <w:rFonts w:ascii="Arial" w:cs="Arial" w:eastAsia="宋体" w:hAnsi="Arial"/>
                <w:color w:val="000000"/>
                <w:kern w:val="0"/>
                <w:sz w:val="18"/>
                <w:szCs w:val="18"/>
              </w:rPr>
              <w:t>开展绿色人才培养，引进乡村振兴领军人才和创新创业人才。</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开展绿色人才培养，引进乡村振兴领军人才和创新创业人才。</w:t>
            </w:r>
          </w:p>
        </w:tc>
        <w:tc>
          <w:tcPr>
            <w:tcW w:w="479"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2提升绿色农业科技进步的创新机制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现代农技体系建设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建立健全基层农业技术推广服务体系。</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农业科技创新能力提升行动</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强化新品种、新技术、新工艺、新装备引进研发和推广应用。</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发展智慧农业</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物联网、大数据、区块链、人工智能等在农业领域的应用；农业大数据平台和应用系统建设；建设一批农业科技创新平台和示范园区。</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完善农业气象综合监测网络，提升农业气象灾害防范能力。</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2. 推动省级和县级绿色农业产业链发展 </w:t>
            </w: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3加强农业资源的保护和利用</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农村生活垃圾收运处置</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推进源头分类减量、资源化处理利用，有条件的地区推广城乡环卫一体化第三方治理。</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农村生活垃圾收集与转运</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农业废弃物资源化利用</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畜禽粪污资源化利用；实施秸秆综合利用和农膜、农药包装物回收行动；研发推广可降解农膜。</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农膜、农药和化肥包装废弃物等收集</w:t>
            </w:r>
            <w:r>
              <w:rPr>
                <w:rFonts w:ascii="Arial" w:cs="Arial" w:eastAsia="宋体" w:hAnsi="Arial"/>
                <w:color w:val="000000"/>
                <w:kern w:val="0"/>
                <w:sz w:val="18"/>
                <w:szCs w:val="18"/>
              </w:rPr>
              <w:br/>
            </w:r>
            <w:r>
              <w:rPr>
                <w:rFonts w:ascii="Arial" w:cs="Arial" w:eastAsia="宋体" w:hAnsi="Arial"/>
                <w:color w:val="000000"/>
                <w:kern w:val="0"/>
                <w:sz w:val="18"/>
                <w:szCs w:val="18"/>
              </w:rPr>
              <w:t>秸秆肥料化、饲料化、原料化等综合利用</w:t>
            </w:r>
            <w:r>
              <w:rPr>
                <w:rFonts w:ascii="Arial" w:cs="Arial" w:eastAsia="宋体" w:hAnsi="Arial"/>
                <w:color w:val="000000"/>
                <w:kern w:val="0"/>
                <w:sz w:val="18"/>
                <w:szCs w:val="18"/>
              </w:rPr>
              <w:br/>
            </w:r>
            <w:r>
              <w:rPr>
                <w:rFonts w:ascii="Arial" w:cs="Arial" w:eastAsia="宋体" w:hAnsi="Arial"/>
                <w:color w:val="000000"/>
                <w:kern w:val="0"/>
                <w:sz w:val="18"/>
                <w:szCs w:val="18"/>
              </w:rPr>
              <w:t>养殖业粪污处理与利用</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4加强农业面源污染防控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推广生物农药、天敌等绿色防控产品和技术；化肥减量增效；有机肥替代化肥等。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农药化肥减量，有机肥替代</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农业面源污染治理</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推广应用测土配方施肥、绿肥种植、增施有机肥、中低产田改良、酸化土改良、水肥一体化等技术，耕地质量平均提升0.5个等级(别)以上</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农药化肥减量，有机肥替代</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5.建设绿色低碳农业产业链</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耕地保护与建设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土地用途管制；划定和建设粮</w:t>
            </w:r>
            <w:r>
              <w:rPr>
                <w:rFonts w:ascii="Arial" w:cs="Arial" w:eastAsia="PingFang SC" w:hAnsi="Arial"/>
                <w:color w:val="000000"/>
                <w:kern w:val="0"/>
                <w:sz w:val="18"/>
                <w:szCs w:val="18"/>
              </w:rPr>
              <w:t>⻝</w:t>
            </w:r>
            <w:r>
              <w:rPr>
                <w:rFonts w:ascii="Arial" w:cs="Arial" w:eastAsia="宋体" w:hAnsi="Arial"/>
                <w:color w:val="000000"/>
                <w:kern w:val="0"/>
                <w:sz w:val="18"/>
                <w:szCs w:val="18"/>
              </w:rPr>
              <w:t>生产功能区、重要农产品生产保护区；农村土地整治、田间道路；建设250万亩高标准农田；健全耕地数量和质量监测监管机制等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农村土地整治、</w:t>
            </w:r>
            <w:r>
              <w:rPr>
                <w:rFonts w:ascii="Arial" w:cs="Arial" w:eastAsia="宋体" w:hAnsi="Arial"/>
                <w:kern w:val="0"/>
                <w:sz w:val="18"/>
                <w:szCs w:val="18"/>
              </w:rPr>
              <w:t>田间道路</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调整优化农业产业结构</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推进旱地基本农田高效经济作物种植；建设一批现代畜禽养殖示范县和示范乡。</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加强农业风险管理</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对产粮大县稻谷、小麦、玉米三大粮食作物实施保险支持。</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6构建现代乡村产业体系</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农业全产业链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现代农业产业园、农业产业强镇、优势特色产业集群建设。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农产品加工业</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支持农民合作社、家庭农场和中小微企业等发展产地初加工。</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6.规划和实施绿色农业发展</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规划编制</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推进"多规合一"实用性村庄规划编制。</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推进"多规合一"实用性村庄规划编制。</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农业示范单位培育</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培育省级以上农业</w:t>
            </w:r>
            <w:r>
              <w:rPr>
                <w:rFonts w:ascii="Arial" w:cs="Arial" w:eastAsia="PingFang SC" w:hAnsi="Arial"/>
                <w:color w:val="000000"/>
                <w:kern w:val="0"/>
                <w:sz w:val="18"/>
                <w:szCs w:val="18"/>
              </w:rPr>
              <w:t>⻰</w:t>
            </w:r>
            <w:r>
              <w:rPr>
                <w:rFonts w:ascii="Arial" w:cs="Arial" w:eastAsia="宋体" w:hAnsi="Arial"/>
                <w:color w:val="000000"/>
                <w:kern w:val="0"/>
                <w:sz w:val="18"/>
                <w:szCs w:val="18"/>
              </w:rPr>
              <w:t>头企业，省级家庭农场示范场，农</w:t>
            </w:r>
            <w:r>
              <w:rPr>
                <w:rFonts w:ascii="Arial" w:cs="Arial" w:eastAsia="PingFang SC" w:hAnsi="Arial"/>
                <w:color w:val="000000"/>
                <w:kern w:val="0"/>
                <w:sz w:val="18"/>
                <w:szCs w:val="18"/>
              </w:rPr>
              <w:t>⺠</w:t>
            </w:r>
            <w:r>
              <w:rPr>
                <w:rFonts w:ascii="Arial" w:cs="Arial" w:eastAsia="宋体" w:hAnsi="Arial"/>
                <w:color w:val="000000"/>
                <w:kern w:val="0"/>
                <w:sz w:val="18"/>
                <w:szCs w:val="18"/>
              </w:rPr>
              <w:t>专业合作社等。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拓宽农产品销售渠道</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农业生产与市场对接，发展订单农业；建设农产品销售公共服务平台等市场信息体系，冷链物流网络等。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支持冷链物流设施建设</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农旅融合发展</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建设休闲观光园区、康养基地、生态农庄、乡村</w:t>
            </w:r>
            <w:r>
              <w:rPr>
                <w:rFonts w:ascii="Arial" w:cs="Arial" w:eastAsia="PingFang SC" w:hAnsi="Arial"/>
                <w:color w:val="000000"/>
                <w:kern w:val="0"/>
                <w:sz w:val="18"/>
                <w:szCs w:val="18"/>
              </w:rPr>
              <w:t>⺠</w:t>
            </w:r>
            <w:r>
              <w:rPr>
                <w:rFonts w:ascii="Arial" w:cs="Arial" w:eastAsia="宋体" w:hAnsi="Arial"/>
                <w:color w:val="000000"/>
                <w:kern w:val="0"/>
                <w:sz w:val="18"/>
                <w:szCs w:val="18"/>
              </w:rPr>
              <w:t>宿等项目。</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质量兴农</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提高规模化水平，建设一批相对集中连片的特色产业生产基地；培育打造一批农产品品牌；促进标准化科学化养殖</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7.加强农业生态保护与恢复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农业防灾救灾 </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加强农村防灾减灾救灾能力建设，开展综合减灾示范创建。</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山水林田湖草系统治理</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有序推进耕地轮作休耕，实施退耕还林还草、退牧还草、石漠化及水土流失综合治理、地质灾害综合治理等工程。</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开展水资源消耗总量和强度双控行动，推进河湖水系连通和农村河塘清淤整治，全面推行河</w:t>
            </w:r>
            <w:r>
              <w:rPr>
                <w:rFonts w:ascii="Arial" w:cs="Arial" w:eastAsia="PingFang SC" w:hAnsi="Arial"/>
                <w:color w:val="000000"/>
                <w:kern w:val="0"/>
                <w:sz w:val="18"/>
                <w:szCs w:val="18"/>
              </w:rPr>
              <w:t>⻓</w:t>
            </w:r>
            <w:r>
              <w:rPr>
                <w:rFonts w:ascii="Arial" w:cs="Arial" w:eastAsia="宋体" w:hAnsi="Arial"/>
                <w:color w:val="000000"/>
                <w:kern w:val="0"/>
                <w:sz w:val="18"/>
                <w:szCs w:val="18"/>
              </w:rPr>
              <w:t>制、湖</w:t>
            </w:r>
            <w:r>
              <w:rPr>
                <w:rFonts w:ascii="Arial" w:cs="Arial" w:eastAsia="PingFang SC" w:hAnsi="Arial"/>
                <w:color w:val="000000"/>
                <w:kern w:val="0"/>
                <w:sz w:val="18"/>
                <w:szCs w:val="18"/>
              </w:rPr>
              <w:t>⻓</w:t>
            </w:r>
            <w:r>
              <w:rPr>
                <w:rFonts w:ascii="Arial" w:cs="Arial" w:eastAsia="宋体" w:hAnsi="Arial"/>
                <w:color w:val="000000"/>
                <w:kern w:val="0"/>
                <w:sz w:val="18"/>
                <w:szCs w:val="18"/>
              </w:rPr>
              <w:t xml:space="preserve">制。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PingFang SC" w:hAnsi="Arial"/>
                <w:color w:val="000000"/>
                <w:kern w:val="0"/>
                <w:sz w:val="18"/>
                <w:szCs w:val="18"/>
              </w:rPr>
              <w:t>⻓</w:t>
            </w:r>
            <w:r>
              <w:rPr>
                <w:rFonts w:ascii="Arial" w:cs="Arial" w:eastAsia="宋体" w:hAnsi="Arial"/>
                <w:color w:val="000000"/>
                <w:kern w:val="0"/>
                <w:sz w:val="18"/>
                <w:szCs w:val="18"/>
              </w:rPr>
              <w:t xml:space="preserve">江经济带生态修复、天然林保护、 防护林体系建设等重点生态工程。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全面停止天然林商品性采伐；实施重点生态区位人工商品林赎买改革试点工程。</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 改善乡村基础设施和公共服务</w:t>
            </w: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8.建设生机美丽的乡村</w:t>
            </w:r>
            <w:r>
              <w:rPr>
                <w:rFonts w:ascii="Arial" w:cs="Arial" w:eastAsia="宋体" w:hAnsi="Arial"/>
                <w:color w:val="000000"/>
                <w:kern w:val="0"/>
                <w:sz w:val="18"/>
                <w:szCs w:val="18"/>
              </w:rPr>
              <w:br/>
            </w:r>
            <w:r>
              <w:rPr>
                <w:rFonts w:ascii="Arial" w:cs="Arial" w:eastAsia="宋体" w:hAnsi="Arial"/>
                <w:color w:val="000000"/>
                <w:kern w:val="0"/>
                <w:sz w:val="18"/>
                <w:szCs w:val="18"/>
              </w:rPr>
              <w:br/>
            </w:r>
            <w:r>
              <w:rPr>
                <w:rFonts w:ascii="Arial" w:cs="Arial" w:eastAsia="宋体" w:hAnsi="Arial"/>
                <w:color w:val="000000"/>
                <w:kern w:val="0"/>
                <w:sz w:val="18"/>
                <w:szCs w:val="18"/>
              </w:rPr>
              <w:t xml:space="preserve">9提升村容村貌 </w:t>
            </w:r>
          </w:p>
          <w:p>
            <w:pPr>
              <w:pStyle w:val="style0"/>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“小康寨”建设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道路硬化、卫生净化、村庄亮化、环境美化、生活乐化；村庄清洁和绿化，开展美丽宜居乡村和美丽庭院示范创建活动。</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“小康房”建设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突出自然生态、历史文化资源特点，体现地域特色，彰显乡村</w:t>
            </w:r>
            <w:r>
              <w:rPr>
                <w:rFonts w:ascii="Arial" w:cs="Arial" w:eastAsia="PingFang SC" w:hAnsi="Arial"/>
                <w:color w:val="000000"/>
                <w:kern w:val="0"/>
                <w:sz w:val="18"/>
                <w:szCs w:val="18"/>
              </w:rPr>
              <w:t>⻛</w:t>
            </w:r>
            <w:r>
              <w:rPr>
                <w:rFonts w:ascii="Arial" w:cs="Arial" w:eastAsia="宋体" w:hAnsi="Arial"/>
                <w:color w:val="000000"/>
                <w:kern w:val="0"/>
                <w:sz w:val="18"/>
                <w:szCs w:val="18"/>
              </w:rPr>
              <w:t>貌。</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shd w:val="clear" w:color="auto" w:fill="auto"/>
          </w:tcPr>
          <w:p>
            <w:pPr>
              <w:pStyle w:val="style0"/>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厕所革命</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农村户用厕所无害化改造，同步实施粪污治理。</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农村户厕改造</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shd w:val="clear" w:color="auto" w:fill="auto"/>
          </w:tcPr>
          <w:p>
            <w:pPr>
              <w:pStyle w:val="style0"/>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农村生活污水</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农村生活污水治理。</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农村污水处理</w:t>
            </w:r>
            <w:r>
              <w:rPr>
                <w:rFonts w:ascii="Arial" w:cs="Arial" w:eastAsia="宋体" w:hAnsi="Arial" w:hint="eastAsia"/>
                <w:color w:val="000000"/>
                <w:kern w:val="0"/>
                <w:sz w:val="18"/>
                <w:szCs w:val="18"/>
              </w:rPr>
              <w:t>设施</w:t>
            </w:r>
            <w:r>
              <w:rPr>
                <w:rFonts w:ascii="Arial" w:cs="Arial" w:eastAsia="宋体" w:hAnsi="Arial"/>
                <w:color w:val="000000"/>
                <w:kern w:val="0"/>
                <w:sz w:val="18"/>
                <w:szCs w:val="18"/>
              </w:rPr>
              <w:t>和配套管网建设</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559"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建设农村收集转运处理设施项目。</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农村生活垃圾收集与转运</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10.提升农村水利网络基础设施 </w:t>
            </w: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“小康水”建设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城乡水务一体化、农村供水保障、提高农业灌溉能力、改善农村水环境。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水利基础设施建设，如完成现有病险水库除险加固、骨干水源工程、引提水工程、灌区续建配套和节水改造、河道治理等。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11.加强农村交通基础设施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“小康路”建设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优化加密农村公路网络，加强农村公路安全设施建设和营运管护。</w:t>
            </w:r>
          </w:p>
        </w:tc>
        <w:tc>
          <w:tcPr>
            <w:tcW w:w="966" w:type="pct"/>
            <w:tcBorders/>
            <w:shd w:val="clear" w:color="auto" w:fill="auto"/>
          </w:tcPr>
          <w:p>
            <w:pPr>
              <w:pStyle w:val="style0"/>
              <w:widowControl/>
              <w:jc w:val="left"/>
              <w:rPr>
                <w:rFonts w:ascii="Arial" w:cs="Arial" w:eastAsia="宋体" w:hAnsi="Arial"/>
                <w:color w:val="ff0000"/>
                <w:kern w:val="0"/>
                <w:sz w:val="18"/>
                <w:szCs w:val="18"/>
              </w:rPr>
            </w:pPr>
            <w:r>
              <w:rPr>
                <w:rFonts w:ascii="Arial" w:cs="Arial" w:eastAsia="宋体" w:hAnsi="Arial"/>
                <w:color w:val="ff0000"/>
                <w:kern w:val="0"/>
                <w:sz w:val="18"/>
                <w:szCs w:val="18"/>
              </w:rPr>
              <w:t>农田道路联通？</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“小康讯”建设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推进行政村通光纤建设。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12.建设现代农村能源系统</w:t>
            </w: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农村能源</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推动天然气、煤气设施向乡村延伸。</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农村电网改造升级，供电可靠率达99.8%，户均配变容量不低于两千伏安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13.提升乡村生物栖息环境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生物多样性</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生物多样性保护；有效防范外来生物入侵；保护古树名木等。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14.农村公共服务能力提升</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发展农村教育事业 </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新建和提升部分公办幼儿园，县域校长教师轮岗交流；发展乡村网络教育；建设涉农高校、涉农职业院校</w:t>
            </w:r>
            <w:r>
              <w:rPr>
                <w:rFonts w:ascii="Arial" w:cs="Arial" w:eastAsia="宋体" w:hAnsi="Arial" w:hint="eastAsia"/>
                <w:color w:val="000000"/>
                <w:kern w:val="0"/>
                <w:sz w:val="18"/>
                <w:szCs w:val="18"/>
              </w:rPr>
              <w:t>（含技工院校）</w:t>
            </w:r>
            <w:r>
              <w:rPr>
                <w:rFonts w:ascii="Arial" w:cs="Arial" w:eastAsia="宋体" w:hAnsi="Arial"/>
                <w:color w:val="000000"/>
                <w:kern w:val="0"/>
                <w:sz w:val="18"/>
                <w:szCs w:val="18"/>
              </w:rPr>
              <w:t>、涉农学科专业等。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健康乡村建设 </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乡镇卫生院提挡升级、加强医务人员培养、村卫生室规范化管理、提升服务水平、统一城乡居民基本医疗保险制度等。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完善农村社会保障体系</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基本实现城乡居</w:t>
            </w:r>
            <w:r>
              <w:rPr>
                <w:rFonts w:ascii="Arial" w:cs="Arial" w:eastAsia="PingFang SC" w:hAnsi="Arial"/>
                <w:color w:val="000000"/>
                <w:kern w:val="0"/>
                <w:sz w:val="18"/>
                <w:szCs w:val="18"/>
              </w:rPr>
              <w:t>⺠</w:t>
            </w:r>
            <w:r>
              <w:rPr>
                <w:rFonts w:ascii="Arial" w:cs="Arial" w:eastAsia="宋体" w:hAnsi="Arial"/>
                <w:color w:val="000000"/>
                <w:kern w:val="0"/>
                <w:sz w:val="18"/>
                <w:szCs w:val="18"/>
              </w:rPr>
              <w:t xml:space="preserve">基本养老保险法定人员全覆盖。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农村养老</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县乡村三级养老服务网络和设施建设。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农村物流体系</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提升农村寄递物流基础设施，支持冷链物流建设。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支持冷链物流建设</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人力支撑</w:t>
            </w:r>
          </w:p>
        </w:tc>
        <w:tc>
          <w:tcPr>
            <w:tcW w:w="203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持涉农院校开展新型职业农</w:t>
            </w:r>
            <w:r>
              <w:rPr>
                <w:rFonts w:ascii="Arial" w:cs="Arial" w:eastAsia="PingFang SC" w:hAnsi="Arial"/>
                <w:color w:val="000000"/>
                <w:kern w:val="0"/>
                <w:sz w:val="18"/>
                <w:szCs w:val="18"/>
              </w:rPr>
              <w:t>⺠</w:t>
            </w:r>
            <w:r>
              <w:rPr>
                <w:rFonts w:ascii="Arial" w:cs="Arial" w:eastAsia="宋体" w:hAnsi="Arial"/>
                <w:color w:val="000000"/>
                <w:kern w:val="0"/>
                <w:sz w:val="18"/>
                <w:szCs w:val="18"/>
              </w:rPr>
              <w:t>学历教育，加强基层农技推广服务体系建设，推进农村专业人才队伍建设</w:t>
            </w:r>
          </w:p>
        </w:tc>
        <w:tc>
          <w:tcPr>
            <w:tcW w:w="966" w:type="pct"/>
            <w:tcBorders/>
            <w:shd w:val="clear" w:color="auto" w:fill="auto"/>
          </w:tcPr>
          <w:p>
            <w:pPr>
              <w:pStyle w:val="style0"/>
              <w:widowControl/>
              <w:jc w:val="center"/>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吸引农</w:t>
            </w:r>
            <w:r>
              <w:rPr>
                <w:rFonts w:ascii="Arial" w:cs="Arial" w:eastAsia="PingFang SC" w:hAnsi="Arial"/>
                <w:color w:val="000000"/>
                <w:kern w:val="0"/>
                <w:sz w:val="18"/>
                <w:szCs w:val="18"/>
              </w:rPr>
              <w:t>⺠</w:t>
            </w:r>
            <w:r>
              <w:rPr>
                <w:rFonts w:ascii="Arial" w:cs="Arial" w:eastAsia="宋体" w:hAnsi="Arial"/>
                <w:color w:val="000000"/>
                <w:kern w:val="0"/>
                <w:sz w:val="18"/>
                <w:szCs w:val="18"/>
              </w:rPr>
              <w:t>工返乡创业、灵活就业</w:t>
            </w:r>
          </w:p>
        </w:tc>
        <w:tc>
          <w:tcPr>
            <w:tcW w:w="966" w:type="pct"/>
            <w:tcBorders/>
            <w:shd w:val="clear" w:color="auto" w:fill="auto"/>
          </w:tcPr>
          <w:p>
            <w:pPr>
              <w:pStyle w:val="style0"/>
              <w:widowControl/>
              <w:jc w:val="center"/>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高素质农民培训和农村劳动力职业技能培训</w:t>
            </w:r>
          </w:p>
        </w:tc>
        <w:tc>
          <w:tcPr>
            <w:tcW w:w="966" w:type="pct"/>
            <w:tcBorders/>
            <w:shd w:val="clear" w:color="auto" w:fill="auto"/>
          </w:tcPr>
          <w:p>
            <w:pPr>
              <w:pStyle w:val="style0"/>
              <w:widowControl/>
              <w:jc w:val="center"/>
              <w:rPr>
                <w:rFonts w:ascii="Arial" w:cs="Arial" w:eastAsia="宋体" w:hAnsi="Arial"/>
                <w:color w:val="000000"/>
                <w:kern w:val="0"/>
                <w:sz w:val="18"/>
                <w:szCs w:val="18"/>
              </w:rPr>
            </w:pPr>
            <w:r>
              <w:rPr>
                <w:rFonts w:ascii="Arial" w:cs="Arial" w:eastAsia="宋体" w:hAnsi="Arial"/>
                <w:color w:val="000000"/>
                <w:kern w:val="0"/>
                <w:sz w:val="18"/>
                <w:szCs w:val="18"/>
              </w:rPr>
              <w:t>高素质农民培训</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金融支农</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建立健全实施乡村振兴战略财政投入保障机制。</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成立省农业产业发展公司，推广PPP等合作模式，鼓励农</w:t>
            </w:r>
            <w:r>
              <w:rPr>
                <w:rFonts w:ascii="Arial" w:cs="Arial" w:eastAsia="PingFang SC" w:hAnsi="Arial"/>
                <w:color w:val="000000"/>
                <w:kern w:val="0"/>
                <w:sz w:val="18"/>
                <w:szCs w:val="18"/>
              </w:rPr>
              <w:t>⺠</w:t>
            </w:r>
            <w:r>
              <w:rPr>
                <w:rFonts w:ascii="Arial" w:cs="Arial" w:eastAsia="宋体" w:hAnsi="Arial"/>
                <w:color w:val="000000"/>
                <w:kern w:val="0"/>
                <w:sz w:val="18"/>
                <w:szCs w:val="18"/>
              </w:rPr>
              <w:t>对直接受益的乡村基础设施建设投工投劳等。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鼓励银行业金融机构建立服务乡村振兴的内设机构；推进农信社改制农商行；建设新型农业经营主体信用体系；培育和支持农业龙头企业上市挂牌和发行债券融资等。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bl>
    <w:p>
      <w:pPr>
        <w:pStyle w:val="style0"/>
        <w:jc w:val="left"/>
        <w:rPr>
          <w:rFonts w:ascii="Arial" w:cs="Arial" w:eastAsia="宋体" w:hAnsi="Arial"/>
          <w:sz w:val="20"/>
        </w:rPr>
      </w:pPr>
    </w:p>
    <w:p>
      <w:pPr>
        <w:pStyle w:val="style0"/>
        <w:jc w:val="left"/>
        <w:rPr>
          <w:rFonts w:ascii="Arial" w:cs="Arial" w:eastAsia="宋体" w:hAnsi="Arial"/>
          <w:sz w:val="20"/>
        </w:rPr>
        <w:sectPr>
          <w:pgSz w:w="16838" w:h="11906" w:orient="landscape"/>
          <w:pgMar w:top="1134" w:right="1134" w:bottom="1134" w:left="1134" w:header="720" w:footer="720" w:gutter="0"/>
          <w:cols w:space="720" w:num="1"/>
          <w:docGrid w:linePitch="360" w:charSpace="0"/>
        </w:sectPr>
      </w:pPr>
    </w:p>
    <w:bookmarkStart w:id="785" w:name="_Ref91096280"/>
    <w:bookmarkStart w:id="786" w:name="_Ref91096605"/>
    <w:bookmarkStart w:id="787" w:name="_Ref91099872"/>
    <w:bookmarkStart w:id="788" w:name="_Ref91099913"/>
    <w:bookmarkStart w:id="789" w:name="_Ref91101953"/>
    <w:bookmarkStart w:id="790" w:name="_Ref91101980"/>
    <w:bookmarkStart w:id="791" w:name="_Ref91102200"/>
    <w:bookmarkStart w:id="792" w:name="_Toc93944851"/>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附件2：本项目活动环境与社会</w:t>
      </w:r>
      <w:bookmarkEnd w:id="784"/>
      <w:r>
        <w:rPr>
          <w:rFonts w:ascii="Arial" w:cs="Arial" w:eastAsia="宋体" w:hAnsi="Arial"/>
          <w:color w:val="000000"/>
          <w:sz w:val="28"/>
          <w:szCs w:val="28"/>
        </w:rPr>
        <w:t>风险分析</w:t>
      </w:r>
      <w:bookmarkEnd w:id="785"/>
      <w:bookmarkEnd w:id="786"/>
      <w:bookmarkEnd w:id="787"/>
      <w:bookmarkEnd w:id="788"/>
      <w:bookmarkEnd w:id="789"/>
      <w:bookmarkEnd w:id="790"/>
      <w:bookmarkEnd w:id="791"/>
      <w:bookmarkEnd w:id="792"/>
    </w:p>
    <w:bookmarkStart w:id="793" w:name="_Toc79939281"/>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1034"/>
        <w:gridCol w:w="1632"/>
        <w:gridCol w:w="4006"/>
        <w:gridCol w:w="2669"/>
        <w:gridCol w:w="2076"/>
        <w:gridCol w:w="2228"/>
        <w:gridCol w:w="955"/>
      </w:tblGrid>
      <w:tr>
        <w:trPr>
          <w:trHeight w:val="20" w:hRule="atLeast"/>
          <w:tblHeader/>
        </w:trPr>
        <w:tc>
          <w:tcPr>
            <w:tcW w:w="354" w:type="pct"/>
            <w:tcBorders/>
            <w:shd w:val="clear" w:color="000000" w:fill="e7e6e6"/>
            <w:tcMar>
              <w:top w:w="15" w:type="dxa"/>
              <w:left w:w="15" w:type="dxa"/>
              <w:bottom w:w="0" w:type="dxa"/>
              <w:right w:w="15" w:type="dxa"/>
            </w:tcMar>
          </w:tcPr>
          <w:p>
            <w:pPr>
              <w:pStyle w:val="style0"/>
              <w:widowControl/>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结果领域</w:t>
            </w:r>
          </w:p>
        </w:tc>
        <w:tc>
          <w:tcPr>
            <w:tcW w:w="559"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典型活动</w:t>
            </w:r>
          </w:p>
        </w:tc>
        <w:tc>
          <w:tcPr>
            <w:tcW w:w="1372"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环境与社会效应风险</w:t>
            </w:r>
          </w:p>
        </w:tc>
        <w:tc>
          <w:tcPr>
            <w:tcW w:w="914"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环境与社会背景风险</w:t>
            </w:r>
          </w:p>
        </w:tc>
        <w:tc>
          <w:tcPr>
            <w:tcW w:w="711"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机构能力和复杂性风险</w:t>
            </w:r>
          </w:p>
        </w:tc>
        <w:tc>
          <w:tcPr>
            <w:tcW w:w="763"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政治和名誉风险</w:t>
            </w:r>
          </w:p>
        </w:tc>
        <w:tc>
          <w:tcPr>
            <w:tcW w:w="327" w:type="pct"/>
            <w:tcBorders/>
            <w:shd w:val="clear" w:color="000000" w:fill="e7e6e6"/>
            <w:tcMar>
              <w:top w:w="15" w:type="dxa"/>
              <w:left w:w="15" w:type="dxa"/>
              <w:bottom w:w="0" w:type="dxa"/>
              <w:right w:w="15" w:type="dxa"/>
            </w:tcMar>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综合影响等级</w:t>
            </w:r>
          </w:p>
        </w:tc>
      </w:tr>
      <w:tr>
        <w:tblPrEx/>
        <w:trPr>
          <w:trHeight w:val="20" w:hRule="atLeast"/>
        </w:trPr>
        <w:tc>
          <w:tcPr>
            <w:tcW w:w="354" w:type="pct"/>
            <w:vMerge w:val="restar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RA1 - 加强机构管理能力</w:t>
            </w: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建立健全绿色农业和乡村振兴相关规定、标准、导则等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实施研究活动本身不产生直接的负面环境与社会影响，仅</w:t>
            </w:r>
            <w:r>
              <w:rPr>
                <w:rFonts w:ascii="Arial" w:cs="Arial" w:eastAsia="宋体" w:hAnsi="Arial"/>
                <w:sz w:val="20"/>
                <w:szCs w:val="20"/>
              </w:rPr>
              <w:t>会涉及项目办和研究人员的健康与安全风险。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研究成果提出的规定、标准、导则等实施后，可能引发下游活动而产生间接的环境与社会影响，如种植业涉及的农药、化肥、农膜、秸秆等面源污染管理风险，养殖业涉及的畜禽粪污管理风险，农村基础设施建设涉及的占地、污水和垃圾管理风险等。</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研究活动没有实体工程施工，不触及环境与社会敏感地区。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研究成果的实施会涉及很广泛的范围，会存在少数民族村庄。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后续引发的农业农村发展活动都在农村地区现有农用地或建设用地开展，且中国具有严格的自然保护地和生态保护红线制度，因此基本不会涉及自然栖息地等环境敏感区。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会涉及发改、财政、农业农村、乡村振兴、住建、自然资源、生态环境、水利等多个部门，实施过程中需要部门间协调。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活动目的是为了推进绿色农业发展、促进乡村振兴，使当地居民从中受益，会受到公众的广泛支持，无声誉风险。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建立财政资金预算整合、支出和报告机制</w:t>
            </w:r>
          </w:p>
        </w:tc>
        <w:tc>
          <w:tcPr>
            <w:tcW w:w="1372"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sz w:val="20"/>
                <w:szCs w:val="20"/>
              </w:rPr>
            </w:pPr>
            <w:r>
              <w:rPr>
                <w:rFonts w:ascii="Arial" w:cs="Arial" w:eastAsia="宋体" w:hAnsi="Arial"/>
                <w:color w:val="000000"/>
                <w:sz w:val="20"/>
                <w:szCs w:val="20"/>
              </w:rPr>
              <w:t>实施研究活动本身不产生直接的负面环境与社会影响，仅</w:t>
            </w:r>
            <w:r>
              <w:rPr>
                <w:rFonts w:ascii="Arial" w:cs="Arial" w:eastAsia="宋体" w:hAnsi="Arial"/>
                <w:sz w:val="20"/>
                <w:szCs w:val="20"/>
              </w:rPr>
              <w:t>会涉及项目办和研究人员的健康与安全风险。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sz w:val="20"/>
                <w:szCs w:val="20"/>
              </w:rPr>
            </w:pPr>
            <w:r>
              <w:rPr>
                <w:rFonts w:ascii="Arial" w:cs="Arial" w:eastAsia="宋体" w:hAnsi="Arial"/>
                <w:color w:val="000000"/>
                <w:sz w:val="20"/>
                <w:szCs w:val="20"/>
              </w:rPr>
              <w:t>这些活动属于软件开发或人员培训活动，不会引发下游工程活动，没有明显的间接负面环境与社会影响，而且会</w:t>
            </w:r>
            <w:r>
              <w:rPr>
                <w:rFonts w:ascii="Arial" w:cs="Arial" w:eastAsia="宋体" w:hAnsi="Arial"/>
                <w:sz w:val="20"/>
                <w:szCs w:val="20"/>
              </w:rPr>
              <w:t>对后续环境管理和机构能力提升具有促进作用。</w:t>
            </w:r>
            <w:r>
              <w:rPr>
                <w:rFonts w:ascii="Arial" w:cs="Arial" w:eastAsia="宋体" w:hAnsi="Arial"/>
                <w:color w:val="000000"/>
                <w:sz w:val="20"/>
                <w:szCs w:val="20"/>
              </w:rPr>
              <w:t xml:space="preserve">     </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没有实体工程施工，不涉及环境与社会敏感地区。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711"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活动目的是为了提高绿色农业管理水平、培养农业人才，使当地居民从中受益，会受到公众的广泛支持，无声誉风险。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vMerge w:val="restar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建立农村基础设施与公共服务监测评价机制</w:t>
            </w:r>
          </w:p>
        </w:tc>
        <w:tc>
          <w:tcPr>
            <w:tcW w:w="1372"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91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11"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63"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327" w:type="pct"/>
            <w:vMerge w:val="continue"/>
            <w:tcBorders/>
            <w:tcMar/>
          </w:tcPr>
          <w:p>
            <w:pPr>
              <w:pStyle w:val="style0"/>
              <w:adjustRightInd w:val="false"/>
              <w:snapToGrid w:val="false"/>
              <w:jc w:val="left"/>
              <w:rPr>
                <w:rFonts w:ascii="Arial" w:cs="Arial" w:eastAsia="宋体" w:hAnsi="Arial"/>
                <w:color w:val="000000"/>
                <w:sz w:val="20"/>
                <w:szCs w:val="20"/>
              </w:rPr>
            </w:pP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制定农村地区绿色农技与人才培养框架或行动计划</w:t>
            </w:r>
          </w:p>
        </w:tc>
        <w:tc>
          <w:tcPr>
            <w:tcW w:w="1372"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91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11"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63"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327" w:type="pct"/>
            <w:vMerge w:val="continue"/>
            <w:tcBorders/>
            <w:tcMar/>
          </w:tcPr>
          <w:p>
            <w:pPr>
              <w:pStyle w:val="style0"/>
              <w:adjustRightInd w:val="false"/>
              <w:snapToGrid w:val="false"/>
              <w:jc w:val="left"/>
              <w:rPr>
                <w:rFonts w:ascii="Arial" w:cs="Arial" w:eastAsia="宋体" w:hAnsi="Arial"/>
                <w:color w:val="000000"/>
                <w:sz w:val="20"/>
                <w:szCs w:val="20"/>
              </w:rPr>
            </w:pPr>
          </w:p>
        </w:tc>
      </w:tr>
      <w:tr>
        <w:tblPrEx/>
        <w:trPr>
          <w:trHeight w:val="20" w:hRule="atLeast"/>
        </w:trPr>
        <w:tc>
          <w:tcPr>
            <w:tcW w:w="354" w:type="pct"/>
            <w:tcBorders/>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RA2 -绿色农业全产业链发展</w:t>
            </w: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加强农业资源保护和利用（发展滴灌提高用水效率、种子和品种改良等）</w:t>
            </w:r>
          </w:p>
        </w:tc>
        <w:tc>
          <w:tcPr>
            <w:tcW w:w="1372"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提高用水效率及改良种子和品种等手段或活动很少涉及用地要求和工程施工。</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提高用水效率会减少水资源消耗、降低面源污染影响。</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广西贵州的项目区存在少数民族村庄。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会涉及发改、财政、农业农村、乡村振兴、水利等多个部门，实施过程中需要部门间协调。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活动目的是为了改善农业灌溉设施和生产条件，使当地居民从中受益，会受到公众的广泛支持，无声誉风险。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restar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农业面源污染防治（农药化肥减量、废弃农用塑料回收、畜禽粪污处理和利用、秸秆回收等）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农药减量会保障土壤质量和食品安全、减轻面源污染，社会和环境效益较高。农药属于危险化学品，使用中需加强管理，并规范回收农药包装废弃物，防止对环境和健康造成风险。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 xml:space="preserve">化肥减量会改善土壤环境、减轻面源污染，环境效益较高；但施用过多会引发面源污染；县影响农户生计收入，如增加肥料成本，减少农户收成的，需安排恰当的措施，减缓农户损失，尤其对于弱势群体；会涉及工人与社区健康与安全、小规模的用工等 。 </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农膜和化肥包装废弃物回收活动的环境与社会风险很小，会涉及中等水平的劳工健康安全风险，建议为收集人员增加收入。</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畜禽粪污处理和利用活动可能产生污水影响环境，臭气影响工人和附近居民健康、病死动物致病菌风险；有机肥或农家肥质量不合格或施用过量都可能污染土壤环境。</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秸秆回收会降低焚烧造成的大气污染，并可作为饲料、基料、原料等回用，环境和社会风险不高。</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农耕地区广泛存在农药、化肥、农膜、畜禽粪污等引发的农业面源污染以及秸秆造成的大气污染问题，正在逐步治理当中；</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活动地点主要在农村地区，不涉及未经人类活动干扰的重要自然栖息地；但畜禽养殖场的位置可能邻近水源保护区、自然保护区等环境敏感区；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 xml:space="preserve">广西和贵州的项目区存在少数民族村庄； </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如备选子项目存在重大环境社会遗留问题，将排除在PforR项目范围外。</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会涉及发改、财政、农业农村、乡村振兴、生态环境等多个部门，实施过程中需要部门间协调。若任一部门在农业废物收集、运输、处置、利用等任一环节不能同步协调，则会导致整个体系无法有效运行。</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活动目的是为了治理农业面源污染、推进绿色农业发展，使当地居民从中受益，会受到公众的广泛支持，无声誉风险。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较高</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构建绿色低碳农业产业链（绿色农业价值链、产业聚群、循环经济、三品一标农产品）</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 xml:space="preserve">绿色农业产业发展可能涉及土地流转、中低等级的工人与社区健康与安全、雇佣小规模的用工等社会问题； </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绿色农业采用病虫害物理和生物防治、有机肥和绿肥替代化肥、秸秆还田等绿色实践会改善传统农业活动对环境的影响。但绿色农业产业聚群和三品一标的建设可能引发下游较大规模的农业生产和加工活动，从而产生广泛的间接环境影响。</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农耕地区广泛存在农药、化肥、农膜等引发的农业面源污染以及秸秆造成的大气污染问题，正在逐步治理当中；</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 xml:space="preserve">广西和贵州的项目区存在少数民族村庄。 </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会涉及发改、财政、农业农村、乡村振兴、生态环境等多个部门，实施过程中需要部门间协调。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活动目的是为了推进绿色农业发展、保护环境，使当地居民从中受益，会受到公众的广泛支持，无声誉风险。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发展绿色农业价值链基础设施（田间道路和农村道路、完善现有灌溉与排水系统、冷库）</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村道路、市场、仓库等基础设施建设涉及较大规模征地拆迁，不同地区的项目可能造成的移民影响程度不易掌控，且大规模的用地存在用地审批难的问题；同时涉及较大规模的施工现场管理、交通干扰、工人和社区安全问题；</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工程施工会产生短期的、有限的环境影响，如扬尘、噪声、固废、废水等，并存在生境干扰、水土流失的风险；设施运行会产生噪声、废水、固废等影响。</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广西贵州的项目区存在少数民族村庄；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通过节水改造等手段完善现有灌溉设施不会增加新的用水量，不会引发国际河流问题；</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如备选子项目存在环境社会遗留问题，将排除在PforR项目范围外。</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会涉及发改、财政、农业农村、乡村振兴、自然资源、交通、水利、住建、生态环境等多个部门，实施过程中需要部门间协调。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活动目的是为了改善农村基础设施和生产条件，使当地居民从中受益，会受到公众的广泛支持，无声誉风险。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lang w:val="en-GB"/>
              </w:rPr>
            </w:pPr>
            <w:r>
              <w:rPr>
                <w:rFonts w:ascii="Arial" w:cs="Arial" w:eastAsia="宋体" w:hAnsi="Arial"/>
                <w:color w:val="000000"/>
                <w:sz w:val="20"/>
                <w:szCs w:val="20"/>
              </w:rPr>
              <w:t>农村地区绿色农技与人才培养（培养农民合作社、农民用水协会、农资经销商、农业职业经理人等）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此类活动基本不产生负面环境与社会影响。仅在培训、考察等活动中涉及项目办以及培训机构人员的健康安全风险。</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没有实体工程施工，不涉及环境与社会敏感地区。</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会涉财政、教育、农业农村、乡村振兴等多个部门，实施过程中需要部门间协调。</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活动目的是为了提高农民知识水平、生产和经营能力，会受到公众的广泛支持，无声誉风险。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落实绿色农业规范和标准（有毒农药、污水排放、秸秆焚烧）</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落实绿色农业规范和标准会引发下游活动而产生间接的环境与社会影响，总体上会缓解面源污染，但仍会涉及农药、化肥、农膜、畜禽粪污等污染风险。</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规范和标准的实施会涉及范围广泛，会存在少数民族村庄。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后续引发的农业农村发展活动都在农村地区现有农用地或建设用地开展，且中国具有严格的自然保护地和生态保护红线制度，因此基本不会涉及自然栖息地等环境敏感区。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会涉及发改、财政、农业农村、乡村振兴、住建、自然资源、生态环境、水利等多个部门，实施过程中需要部门间协调。</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活动目的是为了推进绿色农业发展、促进乡村振兴，使当地居民从中受益，会受到公众的广泛支持，无声誉风险。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restar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RA3 - 改善农村生活垃圾和生活污水服务</w:t>
            </w: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制定多规合一村庄规划</w:t>
            </w:r>
          </w:p>
          <w:p>
            <w:pPr>
              <w:pStyle w:val="style0"/>
              <w:adjustRightInd w:val="false"/>
              <w:snapToGrid w:val="false"/>
              <w:jc w:val="left"/>
              <w:rPr>
                <w:rFonts w:ascii="Arial" w:cs="Arial" w:eastAsia="宋体" w:hAnsi="Arial"/>
                <w:color w:val="000000"/>
                <w:sz w:val="20"/>
                <w:szCs w:val="20"/>
              </w:rPr>
            </w:pP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规划编制活动本身不产生直接的负面环境与社会影响，仅</w:t>
            </w:r>
            <w:r>
              <w:rPr>
                <w:rFonts w:ascii="Arial" w:cs="Arial" w:eastAsia="宋体" w:hAnsi="Arial"/>
                <w:sz w:val="20"/>
                <w:szCs w:val="20"/>
              </w:rPr>
              <w:t>会涉及项目办和研究人员的健康与安全风险。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规划实施后可能引发下游广泛的农村基础设施建设活动，而产生间接的环境与社会影响。按国内要求，由于村庄规划范围较小，不需要开展规划环评，且下游活动类型、范围和规模相对简单，总体影响不会太大。</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规划编制活动本身没有实体工程施工，不触及环境与社会敏感地区。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规划实施会涉及很广泛的范围，会存在少数民族村庄。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后续引发的农村基础设施建设活动都在农村地区现有建设用地开展，且中国具有严格的自然保护地和生态保护红线制度，因此基本不会涉及自然栖息地等环境敏感区。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会涉及发改、财政、农业农村、乡村振兴、住建、自然资源、生态环境、交通、电力、水利等多个部门，实施过程中需要部门间协调。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活动目的是为了改善农村生活条件，使当地居民从中受益，会受到公众的广泛支持，无声誉风险。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改善农村生活环境（户厕改造；农村生活污水收集与处理；农村生活垃圾收集、分类和转运等）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污水处理设施可能涉及小规模临时用地和土地复耕、管线接户成本投入、中小规模用工，弱势群体利益、社区健康与安全风险；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垃圾转运站涉及小规模征地；建设和运行期间都涉及工人和社区居民的健康安全风险。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工程施工会产生短期的、有限的环境影响，如扬尘、噪声、固废、废水等，并存在生境干扰、水土流失的风险；设施运行会产生臭气、污泥、渗滤液、噪声、固废等，以及工人和附近居民的生活和健康可能因此受到影响。</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活动地点主要在农村地区，不涉及未经人类活动干扰的重要自然栖息地；但污水处理设施和垃圾转运站的位置可能邻近水源保护区、自然保护区等环境敏感区；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广西贵州的项目区存在少数民族村庄；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如备选子项目存在重大环境社会遗留问题，将排除在PforR项目范围外。</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生态环境、住建、综合执法、农业农村、自然资源、劳动、水利、乡村振兴等多个政府部门，实施过程中需要部门间做好协调。如果农业农村、生态环境、住建等部门不能同步协调户厕改造以及收集管网和污水处理</w:t>
            </w:r>
            <w:r>
              <w:rPr>
                <w:rFonts w:ascii="Arial" w:cs="Arial" w:eastAsia="宋体" w:hAnsi="Arial" w:hint="eastAsia"/>
                <w:color w:val="000000"/>
                <w:sz w:val="20"/>
                <w:szCs w:val="20"/>
              </w:rPr>
              <w:t>设施</w:t>
            </w:r>
            <w:r>
              <w:rPr>
                <w:rFonts w:ascii="Arial" w:cs="Arial" w:eastAsia="宋体" w:hAnsi="Arial"/>
                <w:color w:val="000000"/>
                <w:sz w:val="20"/>
                <w:szCs w:val="20"/>
              </w:rPr>
              <w:t>建设，则无法实现污水收集与处理。</w:t>
            </w:r>
          </w:p>
          <w:p>
            <w:pPr>
              <w:pStyle w:val="style179"/>
              <w:widowControl/>
              <w:adjustRightInd w:val="false"/>
              <w:snapToGrid w:val="false"/>
              <w:ind w:left="241" w:firstLine="0" w:firstLineChars="0"/>
              <w:jc w:val="left"/>
              <w:rPr>
                <w:rFonts w:ascii="Arial" w:cs="Arial" w:eastAsia="宋体" w:hAnsi="Arial"/>
                <w:color w:val="000000"/>
                <w:sz w:val="20"/>
                <w:szCs w:val="20"/>
              </w:rPr>
            </w:pP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活动目的是为了完善农村基础设施、治理农村环境污染、改善农村人居环境，使当地居民从中受益，会受到公众的广泛支持，无声誉风险。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较高</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针对污水与垃圾管理设施运行维护开展培训和能力建设</w:t>
            </w:r>
          </w:p>
        </w:tc>
        <w:tc>
          <w:tcPr>
            <w:tcW w:w="1372"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此类活动基本不产生负面环境与社会影响。仅在培训等活动中涉及项目办以及培训机构人员的健康安全风险。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没有实体工程施工，不涉及环境与社会敏感地区。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711"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会涉生态环境、住建、综合执法、农业农村、乡村振兴等多个部门，实施过程中需要部门间协调。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活动目的是为了提高设施运维水平、防止环境污染，会受到公众的广泛支持，无声誉风险。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p>
            <w:pPr>
              <w:pStyle w:val="style0"/>
              <w:adjustRightInd w:val="false"/>
              <w:snapToGrid w:val="false"/>
              <w:jc w:val="left"/>
              <w:rPr>
                <w:rFonts w:ascii="Arial" w:cs="Arial" w:eastAsia="宋体" w:hAnsi="Arial"/>
                <w:color w:val="000000"/>
                <w:sz w:val="20"/>
                <w:szCs w:val="20"/>
              </w:rPr>
            </w:pP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bl>
    <w:p>
      <w:pPr>
        <w:pStyle w:val="style0"/>
        <w:widowControl/>
        <w:jc w:val="left"/>
        <w:rPr>
          <w:rFonts w:ascii="Arial" w:cs="Arial" w:eastAsia="宋体" w:hAnsi="Arial"/>
          <w:b/>
          <w:bCs/>
          <w:kern w:val="44"/>
          <w:sz w:val="28"/>
          <w:szCs w:val="32"/>
        </w:rPr>
      </w:pPr>
      <w:r>
        <w:rPr>
          <w:rFonts w:ascii="Arial" w:cs="Arial" w:eastAsia="宋体" w:hAnsi="Arial"/>
          <w:sz w:val="28"/>
          <w:szCs w:val="32"/>
        </w:rPr>
        <w:t xml:space="preserve"> </w:t>
      </w:r>
      <w:r>
        <w:rPr>
          <w:rFonts w:ascii="Arial" w:cs="Arial" w:eastAsia="宋体" w:hAnsi="Arial"/>
          <w:sz w:val="28"/>
          <w:szCs w:val="32"/>
        </w:rPr>
        <w:br w:type="page"/>
      </w:r>
    </w:p>
    <w:bookmarkStart w:id="794" w:name="_Toc93944852"/>
    <w:bookmarkStart w:id="795" w:name="_Ref91099889"/>
    <w:bookmarkStart w:id="796" w:name="_Ref91096120"/>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附件3：环境与社会管理体系和世行政策对照分析</w:t>
      </w:r>
      <w:bookmarkEnd w:id="793"/>
      <w:bookmarkEnd w:id="794"/>
      <w:bookmarkEnd w:id="795"/>
      <w:bookmarkEnd w:id="796"/>
    </w:p>
    <w:tbl>
      <w:tblPr>
        <w:tblStyle w:val="style154"/>
        <w:tblW w:w="1402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413"/>
        <w:gridCol w:w="10489"/>
        <w:gridCol w:w="2127"/>
      </w:tblGrid>
      <w:tr>
        <w:trPr>
          <w:tblHeader/>
        </w:trPr>
        <w:tc>
          <w:tcPr>
            <w:tcW w:w="1413" w:type="dxa"/>
            <w:tcBorders/>
            <w:shd w:val="clear" w:color="auto" w:fill="e7e6e6"/>
          </w:tcPr>
          <w:p>
            <w:pPr>
              <w:pStyle w:val="style0"/>
              <w:jc w:val="center"/>
              <w:rPr>
                <w:rFonts w:ascii="Arial" w:cs="Arial" w:eastAsia="宋体" w:hAnsi="Arial"/>
                <w:b/>
                <w:bCs/>
                <w:sz w:val="20"/>
              </w:rPr>
            </w:pPr>
            <w:r>
              <w:rPr>
                <w:rFonts w:ascii="Arial" w:cs="Arial" w:eastAsia="宋体" w:hAnsi="Arial"/>
                <w:b/>
                <w:bCs/>
                <w:kern w:val="0"/>
                <w:sz w:val="20"/>
                <w:szCs w:val="20"/>
              </w:rPr>
              <w:t>PforR原则/关键要素</w:t>
            </w:r>
          </w:p>
        </w:tc>
        <w:tc>
          <w:tcPr>
            <w:tcW w:w="10489" w:type="dxa"/>
            <w:tcBorders/>
            <w:shd w:val="clear" w:color="auto" w:fill="e7e6e6"/>
          </w:tcPr>
          <w:p>
            <w:pPr>
              <w:pStyle w:val="style0"/>
              <w:jc w:val="center"/>
              <w:rPr>
                <w:rFonts w:ascii="Arial" w:cs="Arial" w:eastAsia="宋体" w:hAnsi="Arial"/>
                <w:b/>
                <w:bCs/>
                <w:sz w:val="20"/>
              </w:rPr>
            </w:pPr>
            <w:r>
              <w:rPr>
                <w:rFonts w:ascii="Arial" w:cs="Arial" w:eastAsia="宋体" w:hAnsi="Arial"/>
                <w:b/>
                <w:bCs/>
                <w:kern w:val="0"/>
                <w:sz w:val="20"/>
                <w:szCs w:val="20"/>
              </w:rPr>
              <w:t>中国环境与社会管理体系要求和实践</w:t>
            </w:r>
          </w:p>
        </w:tc>
        <w:tc>
          <w:tcPr>
            <w:tcW w:w="2127" w:type="dxa"/>
            <w:tcBorders/>
            <w:shd w:val="clear" w:color="auto" w:fill="e7e6e6"/>
          </w:tcPr>
          <w:p>
            <w:pPr>
              <w:pStyle w:val="style0"/>
              <w:jc w:val="center"/>
              <w:rPr>
                <w:rFonts w:ascii="Arial" w:cs="Arial" w:eastAsia="宋体" w:hAnsi="Arial"/>
                <w:b/>
                <w:bCs/>
                <w:sz w:val="20"/>
              </w:rPr>
            </w:pPr>
            <w:r>
              <w:rPr>
                <w:rFonts w:ascii="Arial" w:cs="Arial" w:eastAsia="宋体" w:hAnsi="Arial"/>
                <w:b/>
                <w:bCs/>
                <w:kern w:val="0"/>
                <w:sz w:val="20"/>
                <w:szCs w:val="20"/>
              </w:rPr>
              <w:t>一致性分析及建议</w:t>
            </w:r>
          </w:p>
        </w:tc>
      </w:tr>
      <w:tr>
        <w:tblPrEx/>
        <w:trPr/>
        <w:tc>
          <w:tcPr>
            <w:tcW w:w="14029" w:type="dxa"/>
            <w:gridSpan w:val="3"/>
            <w:tcBorders/>
            <w:shd w:val="clear" w:color="auto" w:fill="auto"/>
          </w:tcPr>
          <w:p>
            <w:pPr>
              <w:pStyle w:val="style0"/>
              <w:rPr>
                <w:rFonts w:ascii="Arial" w:cs="Arial" w:eastAsia="宋体" w:hAnsi="Arial"/>
                <w:sz w:val="20"/>
              </w:rPr>
            </w:pPr>
            <w:r>
              <w:rPr>
                <w:rFonts w:ascii="Arial" w:cs="Arial" w:eastAsia="宋体" w:hAnsi="Arial"/>
                <w:b/>
                <w:bCs/>
                <w:kern w:val="0"/>
                <w:sz w:val="20"/>
                <w:szCs w:val="20"/>
              </w:rPr>
              <w:t>原则1：在项目设计中促进环境与社会可持续性；避免、尽量减少或减轻不利影响，并推动与本项目的环境与社会影响相关的知情决策</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要素1</w:t>
            </w:r>
            <w:r>
              <w:rPr>
                <w:rFonts w:ascii="Arial" w:cs="Arial" w:eastAsia="宋体" w:hAnsi="Arial"/>
                <w:kern w:val="0"/>
                <w:sz w:val="20"/>
                <w:szCs w:val="20"/>
              </w:rPr>
              <w:t>：法律框架和管理机构能够充分地指导环境与社会评估。</w:t>
            </w:r>
          </w:p>
        </w:tc>
        <w:tc>
          <w:tcPr>
            <w:tcW w:w="10489"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kern w:val="0"/>
                <w:sz w:val="20"/>
                <w:szCs w:val="20"/>
              </w:rPr>
              <w:t>中国已经形成了一套完整的建设项目环境与社会影响评价法律框架，包括完善的法律法规、技术导则、标准、机制以及管理程序，已经逐步与世界水平接轨。尤其是在环境影响评估领域，中国已经建立的完善的环境影响评价体系，以《环境保护法》、《环境影响评价法》为基础，形成了一套完整的管理体系。社会评估方面，i)《国家发展改革委关于印发国家发展改革委重大固定资产投资项目社会稳定风险评估暂行办法的通知》（发改投资2012），在中国境内建设实施的固定资产投资项目，项目单位在组织开展重大项目前期工作时，应当对社会稳定风险进行调查分析，征询相关群众意见，查找并列出风险点、风险发生的可能性及影响程度，提出防范和化解风险的方案措施，提出采取相关措施后的社会稳定风险等级建议。ii)《关于建立健全重大决策事项社会稳定风险评估机制的指导意见（试行）》(中办发〔2012〕2号)，对需开展社会稳定风险评估的项目内容作了具体明确，凡是直接关系人民群众切身利益且涉及面广、容易引发社会稳定问题的重大决策事项，涉及征地拆迁、农民负担、国有企业改制、环境影响、社会保障、公益事业等方面的重大工程项目建设、重大政策制定以及其他对社会稳定有较大影响的重大决策事项。</w:t>
            </w:r>
          </w:p>
          <w:p>
            <w:pPr>
              <w:pStyle w:val="style0"/>
              <w:widowControl/>
              <w:jc w:val="left"/>
              <w:rPr>
                <w:rFonts w:ascii="Arial" w:cs="Arial" w:eastAsia="宋体" w:hAnsi="Arial"/>
                <w:kern w:val="0"/>
                <w:sz w:val="20"/>
                <w:szCs w:val="20"/>
              </w:rPr>
            </w:pPr>
          </w:p>
          <w:p>
            <w:pPr>
              <w:pStyle w:val="style0"/>
              <w:jc w:val="left"/>
              <w:rPr>
                <w:rFonts w:ascii="Arial" w:cs="Arial" w:eastAsia="宋体" w:hAnsi="Arial"/>
                <w:b/>
                <w:bCs/>
                <w:kern w:val="0"/>
                <w:sz w:val="20"/>
                <w:szCs w:val="20"/>
              </w:rPr>
            </w:pPr>
            <w:r>
              <w:rPr>
                <w:rFonts w:ascii="Arial" w:cs="Arial" w:eastAsia="宋体" w:hAnsi="Arial"/>
                <w:b/>
                <w:bCs/>
                <w:kern w:val="0"/>
                <w:sz w:val="20"/>
                <w:szCs w:val="20"/>
              </w:rPr>
              <w:t>评估认为，适用于本项目的环境与社会影响评价体系是充分的。具体法律法规通过以下原则及要素分析进行了梳理。</w:t>
            </w:r>
          </w:p>
          <w:p>
            <w:pPr>
              <w:pStyle w:val="style0"/>
              <w:jc w:val="left"/>
              <w:rPr>
                <w:rFonts w:ascii="Arial" w:cs="Arial" w:eastAsia="宋体" w:hAnsi="Arial"/>
                <w:sz w:val="20"/>
              </w:rPr>
            </w:pP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基本一致，</w:t>
            </w:r>
            <w:r>
              <w:rPr>
                <w:rFonts w:ascii="Arial" w:cs="Arial" w:eastAsia="宋体" w:hAnsi="Arial"/>
                <w:sz w:val="20"/>
              </w:rPr>
              <w:t>一些小型分散设施在项目准备阶段未开展社会风险或影响评估，也未制定相应的管理计划及监测计划</w:t>
            </w:r>
          </w:p>
          <w:p>
            <w:pPr>
              <w:pStyle w:val="style0"/>
              <w:jc w:val="left"/>
              <w:rPr>
                <w:rFonts w:ascii="Arial" w:cs="Arial" w:eastAsia="宋体" w:hAnsi="Arial"/>
                <w:sz w:val="20"/>
              </w:rPr>
            </w:pPr>
            <w:r>
              <w:rPr>
                <w:rFonts w:ascii="Arial" w:cs="Arial" w:eastAsia="宋体" w:hAnsi="Arial"/>
                <w:b/>
                <w:bCs/>
                <w:sz w:val="20"/>
              </w:rPr>
              <w:t>建议</w:t>
            </w:r>
            <w:r>
              <w:rPr>
                <w:rFonts w:ascii="Arial" w:cs="Arial" w:eastAsia="宋体" w:hAnsi="Arial"/>
                <w:sz w:val="20"/>
              </w:rPr>
              <w:t>：对于小型且数量少的投资项目，进行社会影响和风险进行评估并制定管理计划。</w:t>
            </w:r>
          </w:p>
        </w:tc>
      </w:tr>
      <w:tr>
        <w:tblPrEx/>
        <w:trPr/>
        <w:tc>
          <w:tcPr>
            <w:tcW w:w="1413"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b/>
                <w:bCs/>
                <w:kern w:val="0"/>
                <w:sz w:val="20"/>
                <w:szCs w:val="20"/>
              </w:rPr>
              <w:t>要素2</w:t>
            </w:r>
            <w:r>
              <w:rPr>
                <w:rFonts w:ascii="Arial" w:cs="Arial" w:eastAsia="宋体" w:hAnsi="Arial"/>
                <w:kern w:val="0"/>
                <w:sz w:val="20"/>
                <w:szCs w:val="20"/>
              </w:rPr>
              <w:t>：环境与社会影响评价的良好实践，包括如下元素：(i) 早期影响筛查；(ii) 考虑战略、技术和场地备选方案（包括无项目方案）；(iii) 诱发、累积和跨境环境影响评价；(iv) 制定措施避免、减少和减缓环境影响；(v) 明确实施减缓措施的机构职责和资源预算；(vi) 通过公众参与、信息发布和投诉机制，听取公众意见。</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jc w:val="left"/>
              <w:rPr>
                <w:rFonts w:ascii="Arial" w:cs="Arial" w:eastAsia="宋体" w:hAnsi="Arial"/>
                <w:sz w:val="20"/>
              </w:rPr>
            </w:pPr>
          </w:p>
        </w:tc>
        <w:tc>
          <w:tcPr>
            <w:tcW w:w="10489"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b/>
                <w:bCs/>
                <w:kern w:val="0"/>
                <w:sz w:val="20"/>
                <w:szCs w:val="20"/>
              </w:rPr>
              <w:t>《环境影响评价法》</w:t>
            </w:r>
            <w:r>
              <w:rPr>
                <w:rFonts w:ascii="Arial" w:cs="Arial" w:eastAsia="宋体" w:hAnsi="Arial"/>
                <w:sz w:val="20"/>
                <w:szCs w:val="20"/>
              </w:rPr>
              <w:t>对规划和建设项目的环境影响评价提出了法定要求，要求对可能造成的环境影响进行分析、预测和评估，提出预防或者减轻不良环境影响的对策和措施，并进行跟踪监测。还提出了环境影响评价分类管理、分级审批、环评文件未经审批不得开工建设等基本规定，并鼓励有关单位、专家和公众以适当方式参与环境影响评价。</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《建设项目环境影响评价分类管理名录》</w:t>
            </w:r>
            <w:r>
              <w:rPr>
                <w:rFonts w:ascii="Arial" w:cs="Arial" w:eastAsia="宋体" w:hAnsi="Arial"/>
                <w:kern w:val="0"/>
                <w:sz w:val="20"/>
                <w:szCs w:val="20"/>
              </w:rPr>
              <w:t>规定了55 个行业（173类项目）的具体环境影响评价分类指南。该名录综合考虑项目类型、规模、所在地区的环境敏感性，提出了划分重大影响、中等影响和很小影响的划分标准，分别编制环境影响报告书、报告表或填报登记表。</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《环境影响评价技术导则—总纲》</w:t>
            </w:r>
            <w:r>
              <w:rPr>
                <w:rFonts w:ascii="Arial" w:cs="Arial" w:eastAsia="宋体" w:hAnsi="Arial"/>
                <w:sz w:val="20"/>
                <w:szCs w:val="20"/>
              </w:rPr>
              <w:t>对环评文件编制提出了总体要求，包括进行建设方案环境比选；分析有利与不利、长期与短期、直接与间接、累积影响等；制定环境保护措施并论证可行性；制定投资估算、环境管理与监测计划等。</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《环境影响评价公众参与办法》</w:t>
            </w:r>
            <w:r>
              <w:rPr>
                <w:rFonts w:ascii="Arial" w:cs="Arial" w:eastAsia="宋体" w:hAnsi="Arial"/>
                <w:kern w:val="0"/>
                <w:sz w:val="20"/>
                <w:szCs w:val="20"/>
              </w:rPr>
              <w:t>要求可能造成不良环境影响并直接涉及公众环境权益的专项规划环境影响评价开展公众参与，以及依法应当编制环境影响报告书的建设项目环境影响评价应开展公众参与。</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《关于强化建设项目环境影响评价事中事后监管的实施意见》</w:t>
            </w:r>
            <w:r>
              <w:rPr>
                <w:rFonts w:ascii="Arial" w:cs="Arial" w:eastAsia="宋体" w:hAnsi="Arial"/>
                <w:kern w:val="0"/>
                <w:sz w:val="20"/>
                <w:szCs w:val="20"/>
              </w:rPr>
              <w:t>要求强化环评事中事后监管，改变“重审批、轻监管”、“重事前、轻事中事后”现象，切实保障环评制度效力。</w:t>
            </w:r>
          </w:p>
          <w:p>
            <w:pPr>
              <w:pStyle w:val="style0"/>
              <w:autoSpaceDE w:val="false"/>
              <w:autoSpaceDN w:val="false"/>
              <w:adjustRightInd w:val="false"/>
              <w:snapToGrid w:val="false"/>
              <w:jc w:val="left"/>
              <w:rPr>
                <w:rFonts w:ascii="Arial" w:cs="Arial" w:eastAsia="宋体" w:hAnsi="Arial"/>
                <w:sz w:val="20"/>
                <w:szCs w:val="21"/>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中国环境影响评价体系要求在项目设计和环境评价初期开展环境影响筛查，根据环境影响程度进行环评分类（环境影响报告书、报告表、登记表、豁免环评）管理。环评过程中一般都要开展替代方案比选、影响预测（包括有利与不利、长期与短期、直接与间接、累积性的影响）、环保措施、实施机构和职责、环境管理与监测计划、公众参与和信息披露等工作。</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中国具有健全的环境保护实施机制和生态环境部门牵头的环境管理机构设置。近年来中国加大环境管理改革力度，从只重环评审批，到加强事中事后监管，逐步实现环境影响全过程管理。通过环评文件衔接排污许可、环评告知承诺审批、项目竣工环保自主验收、监督性监测结合企业自行监测、双随机一公开等制度，不断提高项目业主的环保自觉性和责任感。</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在实际调查中发现，大中型建设项目的环境管理比较完善，但农村污水处理设施、垃圾中转站等小型项目存在运行维护资金和能力不足、污染物处理设施不到位、污染物监测不充分等问题。</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社会方面，国家关于项目筛选的法律法规有</w:t>
            </w:r>
            <w:r>
              <w:rPr>
                <w:rFonts w:ascii="Arial" w:cs="Arial" w:eastAsia="宋体" w:hAnsi="Arial"/>
                <w:b/>
                <w:bCs/>
                <w:kern w:val="0"/>
                <w:sz w:val="20"/>
                <w:szCs w:val="20"/>
              </w:rPr>
              <w:t>《建设项目用地预审管理办法》（2017.1.1），《文物保护法》（2017年修订），《土地管理法》（2020.1.1），《地质灾害防治条例》（2004.3.1）,《国家发展改革委关于印发国家发展改革委重大固定资产投资项目社会稳定风险评估暂行办法的通知》（发改投资2012）。</w:t>
            </w:r>
            <w:r>
              <w:rPr>
                <w:rFonts w:ascii="Arial" w:cs="Arial" w:eastAsia="宋体" w:hAnsi="Arial"/>
                <w:kern w:val="0"/>
                <w:sz w:val="20"/>
                <w:szCs w:val="20"/>
              </w:rPr>
              <w:br/>
            </w:r>
            <w:r>
              <w:rPr>
                <w:rFonts w:ascii="Arial" w:cs="Arial" w:eastAsia="宋体" w:hAnsi="Arial"/>
                <w:b/>
                <w:bCs/>
                <w:kern w:val="0"/>
                <w:sz w:val="20"/>
                <w:szCs w:val="20"/>
              </w:rPr>
              <w:t>i)《建设项目用地预审管理办法》</w:t>
            </w:r>
            <w:r>
              <w:rPr>
                <w:rFonts w:ascii="Arial" w:cs="Arial" w:eastAsia="宋体" w:hAnsi="Arial"/>
                <w:kern w:val="0"/>
                <w:sz w:val="20"/>
                <w:szCs w:val="20"/>
              </w:rPr>
              <w:t>要求在审批项目可行性研究报告或审核项目建议书前，对拟提供给项目的土地面积和类型进行鉴别，避免项目征用基本农田、自然保护区等土地；</w:t>
            </w:r>
            <w:r>
              <w:rPr>
                <w:rFonts w:ascii="Arial" w:cs="Arial" w:eastAsia="宋体" w:hAnsi="Arial"/>
                <w:kern w:val="0"/>
                <w:sz w:val="20"/>
                <w:szCs w:val="20"/>
              </w:rPr>
              <w:br/>
            </w:r>
            <w:r>
              <w:rPr>
                <w:rFonts w:ascii="Arial" w:cs="Arial" w:eastAsia="宋体" w:hAnsi="Arial"/>
                <w:b/>
                <w:bCs/>
                <w:kern w:val="0"/>
                <w:sz w:val="20"/>
                <w:szCs w:val="20"/>
              </w:rPr>
              <w:t>ii)《文物保护法》20条：</w:t>
            </w:r>
            <w:r>
              <w:rPr>
                <w:rFonts w:ascii="Arial" w:cs="Arial" w:eastAsia="宋体" w:hAnsi="Arial"/>
                <w:kern w:val="0"/>
                <w:sz w:val="20"/>
                <w:szCs w:val="20"/>
              </w:rPr>
              <w:t>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w:t>
            </w:r>
            <w:r>
              <w:rPr>
                <w:rFonts w:ascii="Arial" w:cs="Arial" w:eastAsia="宋体" w:hAnsi="Arial"/>
                <w:kern w:val="0"/>
                <w:sz w:val="20"/>
                <w:szCs w:val="20"/>
              </w:rPr>
              <w:br/>
            </w:r>
            <w:r>
              <w:rPr>
                <w:rFonts w:ascii="Arial" w:cs="Arial" w:eastAsia="宋体" w:hAnsi="Arial"/>
                <w:b/>
                <w:bCs/>
                <w:kern w:val="0"/>
                <w:sz w:val="20"/>
                <w:szCs w:val="20"/>
              </w:rPr>
              <w:t>iii)《地质灾害防治条例》第13条</w:t>
            </w:r>
            <w:r>
              <w:rPr>
                <w:rFonts w:ascii="Arial" w:cs="Arial" w:eastAsia="宋体" w:hAnsi="Arial"/>
                <w:kern w:val="0"/>
                <w:sz w:val="20"/>
                <w:szCs w:val="20"/>
              </w:rPr>
              <w:t>，制定和实施土地利用总体规划等重大建设工程项目规划，应当充分考虑地质灾害防治要求，避免和减轻地质灾害造成的损失。编制城市总体规划、村庄和集镇规划，应当将地质灾害防治规划作为其组成部分。</w:t>
            </w:r>
            <w:r>
              <w:rPr>
                <w:rFonts w:ascii="Arial" w:cs="Arial" w:eastAsia="宋体" w:hAnsi="Arial"/>
                <w:kern w:val="0"/>
                <w:sz w:val="20"/>
                <w:szCs w:val="20"/>
              </w:rPr>
              <w:br/>
            </w:r>
            <w:r>
              <w:rPr>
                <w:rFonts w:ascii="Arial" w:cs="Arial" w:eastAsia="宋体" w:hAnsi="Arial"/>
                <w:b/>
                <w:bCs/>
                <w:kern w:val="0"/>
                <w:sz w:val="20"/>
                <w:szCs w:val="20"/>
              </w:rPr>
              <w:t>iv)《土地管理法》第47条</w:t>
            </w:r>
            <w:r>
              <w:rPr>
                <w:rFonts w:ascii="Arial" w:cs="Arial" w:eastAsia="宋体" w:hAnsi="Arial"/>
                <w:kern w:val="0"/>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r>
              <w:rPr>
                <w:rFonts w:ascii="Arial" w:cs="Arial" w:eastAsia="宋体" w:hAnsi="Arial"/>
                <w:kern w:val="0"/>
                <w:sz w:val="20"/>
                <w:szCs w:val="20"/>
              </w:rPr>
              <w:br/>
            </w:r>
            <w:r>
              <w:rPr>
                <w:rFonts w:ascii="Arial" w:cs="Arial" w:eastAsia="宋体" w:hAnsi="Arial"/>
                <w:b/>
                <w:bCs/>
                <w:kern w:val="0"/>
                <w:sz w:val="20"/>
                <w:szCs w:val="20"/>
              </w:rPr>
              <w:t>v)《土地管理法实施条例》第25条，</w:t>
            </w:r>
            <w:r>
              <w:rPr>
                <w:rFonts w:ascii="Arial" w:cs="Arial" w:eastAsia="宋体" w:hAnsi="Arial"/>
                <w:kern w:val="0"/>
                <w:sz w:val="20"/>
                <w:szCs w:val="20"/>
              </w:rPr>
              <w:t>市、县人民政府土地行政主管部门根据经批准的征收土地方案，会同有关部门拟订征地补偿、安置方案，在被征收土地所在地的乡（镇）、村予以公告，听取被征收土地的农村集体经济组织和农民的意见。征收土地的各项费用应当自征地补偿、安置方案批准之日起3个月内全额支付。</w:t>
            </w:r>
          </w:p>
          <w:p>
            <w:pPr>
              <w:pStyle w:val="style0"/>
              <w:jc w:val="left"/>
              <w:rPr>
                <w:rFonts w:ascii="Arial" w:cs="Arial" w:eastAsia="宋体" w:hAnsi="Arial"/>
                <w:kern w:val="0"/>
                <w:sz w:val="20"/>
                <w:szCs w:val="20"/>
              </w:rPr>
            </w:pPr>
            <w:r>
              <w:rPr>
                <w:rFonts w:ascii="Arial" w:cs="Arial" w:eastAsia="宋体" w:hAnsi="Arial"/>
                <w:b/>
                <w:bCs/>
                <w:kern w:val="0"/>
                <w:sz w:val="20"/>
                <w:szCs w:val="20"/>
              </w:rPr>
              <w:t>vi)《国家发展改革委关于印发国家发展改革委重大固定资产投资项目社会稳定风险评估暂行办法的通知》第3条，</w:t>
            </w:r>
            <w:r>
              <w:rPr>
                <w:rFonts w:ascii="Arial" w:cs="Arial" w:eastAsia="宋体" w:hAnsi="Arial"/>
                <w:kern w:val="0"/>
                <w:sz w:val="20"/>
                <w:szCs w:val="20"/>
              </w:rPr>
              <w:t>项目可行性研究阶段，实施单位（委托专业机构）开展社会风险评价，进行影响识别、公众咨询、提出减缓措施并编制《项目社会稳定性风险评价》。</w:t>
            </w:r>
          </w:p>
          <w:p>
            <w:pPr>
              <w:pStyle w:val="style0"/>
              <w:jc w:val="left"/>
              <w:rPr>
                <w:rFonts w:ascii="Arial" w:cs="Arial" w:eastAsia="宋体" w:hAnsi="Arial"/>
                <w:sz w:val="20"/>
              </w:rPr>
            </w:pPr>
            <w:r>
              <w:rPr>
                <w:rFonts w:ascii="Arial" w:cs="Arial" w:eastAsia="宋体" w:hAnsi="Arial"/>
                <w:b/>
                <w:bCs/>
                <w:sz w:val="20"/>
              </w:rPr>
              <w:t>vii)《关于建立重大决策事项社会稳定风险评估机制指导意见（试行）》：</w:t>
            </w:r>
            <w:r>
              <w:rPr>
                <w:rFonts w:ascii="Arial" w:cs="Arial" w:eastAsia="宋体" w:hAnsi="Arial"/>
                <w:sz w:val="20"/>
              </w:rPr>
              <w:t>评估范围。凡是直接关系人民群众切身利益且涉及面广、容易引发社会稳定问题的重大决策事项，包括涉及征地拆迁、农民负担、国有企业改制、环境影响、社会保障、公益事业等方面的重大工程项目建设、重大政策制定以及其他对社会稳定有较大影响的重大决策事项，党政机关作出决策前都要进行社会稳定风险评估。需要评估的具体决策事项由各地区各有关部门根据上述规定和实际情况确定。重大工程项目建设需要进行社会稳定风险评估的，应当把社会稳定风险评估作为工程项目可行性研究的重要内容，不再另行评估。（五）评估主体。重大决策社会稳定风险评估工作由评估主体组织实施。地方党委和政府作出决策的，由党委和政府指定的部门作为评估主体。党委和政府有关部门作出决策的，由该部门或者牵头部门商其他有关部门指定的机构作为评估主体。需要多级党政机关作出决策的，由初次决策的机关指定评估主体，不重复评估。根据工作需要，评估主体可以组成由政法、综治、维稳、法制、信访等有关部门，有关社会组织、专业机构、专家学者，以及决策所涉及群众代表等参加的评估小区进行评估。评估报告应当包括评估事项和评估过程，各方意见及其采纳情况，决策可能引发的社会稳定风险，风险评估结论和对策建议，风险防范和化解措施以及应急处置预案等内容。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评估报告由评估主体主要负责人签字后报送决策机关，需要多级党政机关决策的要逐级上报，并抄送决策实施部门和政法、综治、维稳、法制、信访等有关部门</w:t>
            </w:r>
          </w:p>
        </w:tc>
        <w:tc>
          <w:tcPr>
            <w:tcW w:w="2127" w:type="dxa"/>
            <w:tcBorders/>
            <w:shd w:val="clear" w:color="auto" w:fill="auto"/>
          </w:tcPr>
          <w:p>
            <w:pPr>
              <w:pStyle w:val="style4115"/>
              <w:tabs>
                <w:tab w:val="clear" w:pos="540"/>
              </w:tabs>
              <w:snapToGrid w:val="false"/>
              <w:spacing w:before="0" w:after="120" w:afterLines="50"/>
              <w:jc w:val="left"/>
              <w:rPr>
                <w:rFonts w:ascii="Arial" w:cs="Arial" w:eastAsia="宋体" w:hAnsi="Arial"/>
                <w:sz w:val="20"/>
                <w:szCs w:val="20"/>
                <w:lang w:eastAsia="zh-CN"/>
              </w:rPr>
            </w:pPr>
            <w:r>
              <w:rPr>
                <w:rFonts w:ascii="Arial" w:cs="Arial" w:eastAsia="宋体" w:hAnsi="Arial"/>
                <w:kern w:val="0"/>
                <w:sz w:val="20"/>
                <w:szCs w:val="20"/>
                <w:lang w:eastAsia="zh-CN"/>
              </w:rPr>
              <w:t>基本一致，</w:t>
            </w:r>
            <w:r>
              <w:rPr>
                <w:rFonts w:ascii="Arial" w:cs="Arial" w:eastAsia="宋体" w:hAnsi="Arial"/>
                <w:sz w:val="20"/>
                <w:szCs w:val="20"/>
                <w:lang w:eastAsia="zh-CN"/>
              </w:rPr>
              <w:t>社会法律法规中对公众参与、信息发布、投诉机制运行情况等进行记录的规定不够具体。另外，小型设施的环境管理还需要加强。</w:t>
            </w:r>
          </w:p>
          <w:p>
            <w:pPr>
              <w:pStyle w:val="style4115"/>
              <w:tabs>
                <w:tab w:val="clear" w:pos="540"/>
              </w:tabs>
              <w:snapToGrid w:val="false"/>
              <w:spacing w:before="120" w:beforeLines="50" w:after="120" w:afterLines="50"/>
              <w:jc w:val="left"/>
              <w:rPr>
                <w:rFonts w:ascii="Arial" w:cs="Arial" w:eastAsia="宋体" w:hAnsi="Arial"/>
                <w:sz w:val="20"/>
                <w:lang w:eastAsia="zh-CN"/>
              </w:rPr>
            </w:pPr>
            <w:r>
              <w:rPr>
                <w:rFonts w:ascii="Arial" w:cs="Arial" w:eastAsia="宋体" w:hAnsi="Arial"/>
                <w:b/>
                <w:bCs/>
                <w:sz w:val="20"/>
                <w:szCs w:val="20"/>
                <w:lang w:eastAsia="zh-CN"/>
              </w:rPr>
              <w:t>建议：</w:t>
            </w:r>
            <w:r>
              <w:rPr>
                <w:rFonts w:ascii="Arial" w:cs="Arial" w:eastAsia="宋体" w:hAnsi="Arial"/>
                <w:sz w:val="20"/>
                <w:szCs w:val="20"/>
                <w:lang w:eastAsia="zh-CN"/>
              </w:rPr>
              <w:t>在项目管理文件（如合同、协议等）中明确文档管理的要求，包括（但不限于）做好对公众参与、信息发布过程和结果记录，对申诉机制的运行情况进行记录等。为小型设施运行维护人员提供培训。</w:t>
            </w:r>
          </w:p>
        </w:tc>
      </w:tr>
      <w:tr>
        <w:tblPrEx/>
        <w:trPr/>
        <w:tc>
          <w:tcPr>
            <w:tcW w:w="14029" w:type="dxa"/>
            <w:gridSpan w:val="3"/>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原则2 ：环境与社会管理体系能够避免、减少或减缓本项目活动对自然栖息地、文物资源的影响。</w:t>
            </w:r>
          </w:p>
        </w:tc>
      </w:tr>
      <w:tr>
        <w:tblPrEx/>
        <w:trPr/>
        <w:tc>
          <w:tcPr>
            <w:tcW w:w="1413"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b/>
                <w:bCs/>
                <w:kern w:val="0"/>
                <w:sz w:val="20"/>
                <w:szCs w:val="20"/>
              </w:rPr>
              <w:t>要素3</w:t>
            </w:r>
            <w:r>
              <w:rPr>
                <w:rFonts w:ascii="Arial" w:cs="Arial" w:eastAsia="宋体" w:hAnsi="Arial"/>
                <w:kern w:val="0"/>
                <w:sz w:val="20"/>
                <w:szCs w:val="20"/>
              </w:rPr>
              <w:t>：包括适当的措施在项目准备早期识别和筛查对重要生物多样性和文物资源的潜在影响。</w:t>
            </w:r>
          </w:p>
          <w:p>
            <w:pPr>
              <w:pStyle w:val="style0"/>
              <w:jc w:val="left"/>
              <w:rPr>
                <w:rFonts w:ascii="Arial" w:cs="Arial" w:eastAsia="宋体" w:hAnsi="Arial"/>
                <w:sz w:val="20"/>
              </w:rPr>
            </w:pPr>
          </w:p>
        </w:tc>
        <w:tc>
          <w:tcPr>
            <w:tcW w:w="10489" w:type="dxa"/>
            <w:vMerge w:val="restart"/>
            <w:tcBorders/>
            <w:shd w:val="clear" w:color="auto" w:fill="auto"/>
          </w:tcPr>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《森林法》</w:t>
            </w:r>
            <w:r>
              <w:rPr>
                <w:rFonts w:ascii="Arial" w:cs="Arial" w:eastAsia="宋体" w:hAnsi="Arial"/>
                <w:sz w:val="20"/>
                <w:szCs w:val="20"/>
                <w:lang w:val="en-GB"/>
              </w:rPr>
              <w:t>(2019年修订) 在不同自然地带的典型森林生态地区、珍贵动物和植物生长繁殖的林区、天然热带雨林区和具有特殊保护价值的其他天然林区，建立以国家公园为主体的自然保护地体系。实行天然林全面保护制度，</w:t>
            </w:r>
            <w:r>
              <w:rPr>
                <w:rFonts w:ascii="Arial" w:cs="Arial" w:eastAsia="宋体" w:hAnsi="Arial"/>
                <w:sz w:val="20"/>
                <w:szCs w:val="20"/>
              </w:rPr>
              <w:t>严格限制天然林采伐</w:t>
            </w:r>
            <w:r>
              <w:rPr>
                <w:rFonts w:ascii="Arial" w:cs="Arial" w:eastAsia="宋体" w:hAnsi="Arial"/>
                <w:sz w:val="20"/>
                <w:szCs w:val="20"/>
                <w:lang w:val="en-GB"/>
              </w:rPr>
              <w:t>，加强天然林管护能力建设，保护和修复天然林资源，逐步提高天然林生态功能。支持生态脆弱地区森林资源的保护修复。</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sz w:val="20"/>
                <w:szCs w:val="20"/>
              </w:rPr>
              <w:t>《野生动物保护法》</w:t>
            </w:r>
            <w:r>
              <w:rPr>
                <w:rFonts w:ascii="Arial" w:cs="Arial" w:eastAsia="宋体" w:hAnsi="Arial"/>
                <w:bCs/>
                <w:sz w:val="20"/>
                <w:szCs w:val="20"/>
              </w:rPr>
              <w:t>和《</w:t>
            </w:r>
            <w:r>
              <w:rPr>
                <w:rFonts w:ascii="Arial" w:cs="Arial" w:eastAsia="宋体" w:hAnsi="Arial"/>
                <w:b/>
                <w:bCs/>
                <w:sz w:val="20"/>
                <w:szCs w:val="20"/>
              </w:rPr>
              <w:t>野生植物保护条例》</w:t>
            </w:r>
            <w:r>
              <w:rPr>
                <w:rFonts w:ascii="Arial" w:cs="Arial" w:eastAsia="宋体" w:hAnsi="Arial"/>
                <w:bCs/>
                <w:sz w:val="20"/>
                <w:szCs w:val="20"/>
              </w:rPr>
              <w:t>规定了对</w:t>
            </w:r>
            <w:r>
              <w:rPr>
                <w:rFonts w:ascii="Arial" w:cs="Arial" w:eastAsia="宋体" w:hAnsi="Arial"/>
                <w:sz w:val="20"/>
                <w:szCs w:val="20"/>
              </w:rPr>
              <w:t>野生动物及其自然栖息地、野生植物及其生长环境的保护要求。建设项目对野生动植物及栖息地的影响及减缓措施，是环评文件的重点关注内容。</w:t>
            </w:r>
            <w:r>
              <w:rPr>
                <w:rFonts w:ascii="Arial" w:cs="Arial" w:eastAsia="宋体" w:hAnsi="Arial"/>
                <w:b/>
                <w:bCs/>
                <w:sz w:val="20"/>
                <w:szCs w:val="20"/>
              </w:rPr>
              <w:t>《环评导则-生态影响》</w:t>
            </w:r>
            <w:r>
              <w:rPr>
                <w:rFonts w:ascii="Arial" w:cs="Arial" w:eastAsia="宋体" w:hAnsi="Arial"/>
                <w:sz w:val="20"/>
                <w:szCs w:val="20"/>
              </w:rPr>
              <w:t>明确要求环评文件关注生态不利影响和有利影响，直接、间接和累积影响，按避免、减缓、补偿的次序来制定减缓措施。</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sz w:val="20"/>
                <w:szCs w:val="20"/>
              </w:rPr>
              <w:t>《自然保护区条例》</w:t>
            </w:r>
            <w:r>
              <w:rPr>
                <w:rFonts w:ascii="Arial" w:cs="Arial" w:eastAsia="宋体" w:hAnsi="Arial"/>
                <w:sz w:val="20"/>
                <w:szCs w:val="20"/>
              </w:rPr>
              <w:t>对重要的栖息地，设立自然保护区。禁止在自然保护区内进行砍伐、放牧、狩猎、捕捞、采药、开垦、烧荒、开矿、采石、挖沙等活动。在自然保护区的核心区和缓冲区内，不得建设任何生产设施，实验区内不得建设污染环境、破坏资源或者景观的生产设施。</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《关于建立以国家公园为主体的自然保护地体系的指导意见</w:t>
            </w:r>
            <w:r>
              <w:rPr>
                <w:rFonts w:ascii="Arial" w:cs="Arial" w:eastAsia="宋体" w:hAnsi="Arial"/>
                <w:sz w:val="20"/>
                <w:szCs w:val="20"/>
              </w:rPr>
              <w:t>》的总体目标是建成中国特色的以国家公园为主体的自然保护地体系。按照自然生态系统原真性、整体性、系统性及其内在规律，依据管理目标与效能并借鉴国际经验，将自然保护地按生态价值和保护强度高低依次分为3类，即国家公园、自然保护区、自然公园。</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《关于加强资源环境生态红线管控的指导意见》</w:t>
            </w:r>
            <w:r>
              <w:rPr>
                <w:rFonts w:ascii="Arial" w:cs="Arial" w:eastAsia="宋体" w:hAnsi="Arial"/>
                <w:sz w:val="20"/>
                <w:szCs w:val="20"/>
              </w:rPr>
              <w:t>根据涵养水源、保持水土、防风固沙、调蓄洪水、保护生物多样性，以及保持自然本底、保障生态系统完整和稳定性等要求，兼顾经济社会发展需要，划定并严守生态保护红线。截至2020年底，全国各省市均已完成了生态保护红线的划定。</w:t>
            </w:r>
          </w:p>
          <w:p>
            <w:pPr>
              <w:pStyle w:val="style0"/>
              <w:adjustRightInd w:val="false"/>
              <w:snapToGrid w:val="false"/>
              <w:jc w:val="left"/>
              <w:rPr>
                <w:rFonts w:ascii="Arial" w:cs="Arial" w:eastAsia="宋体" w:hAnsi="Arial"/>
                <w:kern w:val="0"/>
                <w:sz w:val="20"/>
                <w:szCs w:val="20"/>
              </w:rPr>
            </w:pPr>
          </w:p>
          <w:p>
            <w:pPr>
              <w:pStyle w:val="style0"/>
              <w:adjustRightInd w:val="false"/>
              <w:snapToGrid w:val="false"/>
              <w:jc w:val="left"/>
              <w:rPr>
                <w:rFonts w:ascii="Arial" w:cs="Arial" w:eastAsia="宋体" w:hAnsi="Arial"/>
                <w:kern w:val="0"/>
                <w:sz w:val="20"/>
                <w:szCs w:val="20"/>
              </w:rPr>
            </w:pPr>
            <w:r>
              <w:rPr>
                <w:rFonts w:ascii="Arial" w:cs="Arial" w:eastAsia="宋体" w:hAnsi="Arial"/>
                <w:kern w:val="0"/>
                <w:sz w:val="20"/>
                <w:szCs w:val="20"/>
              </w:rPr>
              <w:t>生态环境要素（包括野生动植物、重要栖息地、生物多样性）属于国内环评工作中要求识别的环境保护目标，是建设项目环评文件的重要内容。从2015年开始，中国又大规模推行生态保护红线划定工作，目前各省均已完成辖区内的生态保护红线划定，为建设项目选址和自然栖息地保护提供了有力保证。</w:t>
            </w:r>
          </w:p>
          <w:p>
            <w:pPr>
              <w:pStyle w:val="style0"/>
              <w:adjustRightInd w:val="false"/>
              <w:snapToGrid w:val="false"/>
              <w:jc w:val="left"/>
              <w:rPr>
                <w:rFonts w:ascii="Arial" w:cs="Arial" w:eastAsia="宋体" w:hAnsi="Arial"/>
                <w:kern w:val="0"/>
                <w:sz w:val="20"/>
                <w:szCs w:val="20"/>
              </w:rPr>
            </w:pPr>
          </w:p>
          <w:p>
            <w:pPr>
              <w:pStyle w:val="style0"/>
              <w:adjustRightInd w:val="false"/>
              <w:snapToGrid w:val="false"/>
              <w:jc w:val="left"/>
              <w:rPr>
                <w:rFonts w:ascii="Arial" w:cs="Arial" w:eastAsia="宋体" w:hAnsi="Arial"/>
                <w:kern w:val="0"/>
                <w:sz w:val="20"/>
                <w:szCs w:val="20"/>
              </w:rPr>
            </w:pPr>
            <w:r>
              <w:rPr>
                <w:rFonts w:ascii="Arial" w:cs="Arial" w:eastAsia="宋体" w:hAnsi="Arial"/>
                <w:sz w:val="20"/>
                <w:szCs w:val="24"/>
              </w:rPr>
              <w:t>在实际执行中，环评工作会通过当地"三线一单"方案识别项目选址与生态保护红线的关系，并经自然资源、生态环境等行业主管部门的审批。因此建设项目可能涉及的自然栖息地都会在项目准备期间得以尽早识别和避让。本项目位于农村地区，利用原有农业用地开展农业生产活动，或利用建设用地开展小型基础设施建设，不会占用重要自然栖息地；同时，本项目环境排除原则也会将任何可能影响重要自然栖息地的活动都排除在</w:t>
            </w:r>
            <w:r>
              <w:rPr>
                <w:rFonts w:ascii="Arial" w:cs="Arial" w:eastAsia="宋体" w:hAnsi="Arial"/>
                <w:sz w:val="20"/>
                <w:szCs w:val="24"/>
                <w:lang w:val="en-GB"/>
              </w:rPr>
              <w:t>PforR范围以外。</w:t>
            </w:r>
          </w:p>
        </w:tc>
        <w:tc>
          <w:tcPr>
            <w:tcW w:w="2127" w:type="dxa"/>
            <w:vMerge w:val="restart"/>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一致</w:t>
            </w:r>
          </w:p>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要素4</w:t>
            </w:r>
            <w:r>
              <w:rPr>
                <w:rFonts w:ascii="Arial" w:cs="Arial" w:eastAsia="宋体" w:hAnsi="Arial"/>
                <w:kern w:val="0"/>
                <w:sz w:val="20"/>
                <w:szCs w:val="20"/>
              </w:rPr>
              <w:t>：支持、促进自然栖息地的保护、维护和恢复；避免引起重要栖息地的转化或退化；如技术上不可避免引起自然栖息地的退化，则实施相应的补偿措施。</w:t>
            </w:r>
          </w:p>
        </w:tc>
        <w:tc>
          <w:tcPr>
            <w:tcW w:w="10489" w:type="dxa"/>
            <w:vMerge w:val="continue"/>
            <w:tcBorders/>
            <w:shd w:val="clear" w:color="auto" w:fill="auto"/>
          </w:tcPr>
          <w:p>
            <w:pPr>
              <w:pStyle w:val="style0"/>
              <w:jc w:val="left"/>
              <w:rPr>
                <w:rFonts w:ascii="Arial" w:cs="Arial" w:eastAsia="宋体" w:hAnsi="Arial"/>
                <w:sz w:val="20"/>
              </w:rPr>
            </w:pPr>
          </w:p>
        </w:tc>
        <w:tc>
          <w:tcPr>
            <w:tcW w:w="2127" w:type="dxa"/>
            <w:vMerge w:val="continue"/>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要素5</w:t>
            </w:r>
            <w:r>
              <w:rPr>
                <w:rFonts w:ascii="Arial" w:cs="Arial" w:eastAsia="宋体" w:hAnsi="Arial"/>
                <w:kern w:val="0"/>
                <w:sz w:val="20"/>
                <w:szCs w:val="20"/>
              </w:rPr>
              <w:t>：充分考虑对文物资源的潜在影响，实施适当的措施避开、减少或减缓对文物的影响</w:t>
            </w:r>
          </w:p>
        </w:tc>
        <w:tc>
          <w:tcPr>
            <w:tcW w:w="10489"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有关法规包括《文物保护法》（2017年修订版）《文物保护法实施条例》（2017年修订版）</w:t>
            </w:r>
            <w:r>
              <w:rPr>
                <w:rFonts w:ascii="Arial" w:cs="Arial" w:eastAsia="宋体" w:hAnsi="Arial"/>
                <w:kern w:val="0"/>
                <w:sz w:val="20"/>
                <w:szCs w:val="20"/>
              </w:rPr>
              <w:br/>
            </w:r>
            <w:r>
              <w:rPr>
                <w:rFonts w:ascii="Arial" w:cs="Arial" w:eastAsia="宋体" w:hAnsi="Arial"/>
                <w:b/>
                <w:bCs/>
                <w:kern w:val="0"/>
                <w:sz w:val="20"/>
                <w:szCs w:val="20"/>
              </w:rPr>
              <w:t>i</w:t>
            </w:r>
            <w:r>
              <w:rPr>
                <w:rFonts w:ascii="Arial" w:cs="Arial" w:eastAsia="宋体" w:hAnsi="Arial"/>
                <w:b/>
                <w:bCs/>
                <w:kern w:val="0"/>
                <w:sz w:val="20"/>
                <w:szCs w:val="20"/>
                <w:lang w:val="en-GB"/>
              </w:rPr>
              <w:t>)</w:t>
            </w:r>
            <w:r>
              <w:rPr>
                <w:rFonts w:ascii="Arial" w:cs="Arial" w:eastAsia="宋体" w:hAnsi="Arial"/>
                <w:b/>
                <w:bCs/>
                <w:kern w:val="0"/>
                <w:sz w:val="20"/>
                <w:szCs w:val="20"/>
              </w:rPr>
              <w:t>《文物保护法》17条：</w:t>
            </w:r>
            <w:r>
              <w:rPr>
                <w:rFonts w:ascii="Arial" w:cs="Arial" w:eastAsia="宋体" w:hAnsi="Arial"/>
                <w:kern w:val="0"/>
                <w:sz w:val="20"/>
                <w:szCs w:val="20"/>
              </w:rPr>
              <w:t>文物保护单位的保护范围内不得进行其他建设工程或者爆破、钻探、挖掘等作业。因特殊情况需要在文物保护单位的保护范围内进行其他建设工程或者爆破、钻探、挖掘等作业的，必须保证文物保护单位的安全，并经核定公布该文物保护单位的人民政府批准；20条：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31条：凡因进行基本建设和生产建设需要的考古调查、勘探、发掘，所需费用由建设单位列入建设工程预算。</w:t>
            </w:r>
            <w:r>
              <w:rPr>
                <w:rFonts w:ascii="Arial" w:cs="Arial" w:eastAsia="宋体" w:hAnsi="Arial"/>
                <w:kern w:val="0"/>
                <w:sz w:val="20"/>
                <w:szCs w:val="20"/>
              </w:rPr>
              <w:br/>
            </w:r>
            <w:r>
              <w:rPr>
                <w:rFonts w:ascii="Arial" w:cs="Arial" w:eastAsia="宋体" w:hAnsi="Arial"/>
                <w:b/>
                <w:bCs/>
                <w:kern w:val="0"/>
                <w:sz w:val="20"/>
                <w:szCs w:val="20"/>
              </w:rPr>
              <w:t>ii)《文物保护法实施条例》25条：</w:t>
            </w:r>
            <w:r>
              <w:rPr>
                <w:rFonts w:ascii="Arial" w:cs="Arial" w:eastAsia="宋体" w:hAnsi="Arial"/>
                <w:kern w:val="0"/>
                <w:sz w:val="20"/>
                <w:szCs w:val="20"/>
              </w:rPr>
              <w:t>考古调查、勘探、发掘所需经费的范围和标准，按照国家有关规定执行。</w:t>
            </w:r>
          </w:p>
        </w:tc>
        <w:tc>
          <w:tcPr>
            <w:tcW w:w="2127" w:type="dxa"/>
            <w:tcBorders/>
            <w:shd w:val="clear" w:color="auto" w:fill="auto"/>
          </w:tcPr>
          <w:p>
            <w:pPr>
              <w:pStyle w:val="style0"/>
              <w:jc w:val="left"/>
              <w:rPr>
                <w:rFonts w:ascii="Arial" w:cs="Arial" w:eastAsia="宋体" w:hAnsi="Arial"/>
                <w:sz w:val="20"/>
              </w:rPr>
            </w:pPr>
          </w:p>
        </w:tc>
      </w:tr>
      <w:tr>
        <w:tblPrEx/>
        <w:trPr/>
        <w:tc>
          <w:tcPr>
            <w:tcW w:w="14029" w:type="dxa"/>
            <w:gridSpan w:val="3"/>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原则3：环境与社会管理制度在下列活动中保护公众和工人安全，包括：(i) 项目中设施的建设和运行；(ii) 暴露于有毒化学品、危险废物或其他危险物品；(iii)  在自然灾害易发地区建设或恢复基础设施。</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要素6</w:t>
            </w:r>
            <w:r>
              <w:rPr>
                <w:rFonts w:ascii="Arial" w:cs="Arial" w:eastAsia="宋体" w:hAnsi="Arial"/>
                <w:kern w:val="0"/>
                <w:sz w:val="20"/>
                <w:szCs w:val="20"/>
              </w:rPr>
              <w:t>：通过项目设施安全设计、施工和运营，或在开展项目活动中采取安全措施、安全检查和必要的补救措施保证社区、个人和工人的安全。</w:t>
            </w:r>
          </w:p>
        </w:tc>
        <w:tc>
          <w:tcPr>
            <w:tcW w:w="10489" w:type="dxa"/>
            <w:tcBorders/>
            <w:shd w:val="clear" w:color="auto" w:fill="auto"/>
          </w:tcPr>
          <w:p>
            <w:pPr>
              <w:pStyle w:val="style0"/>
              <w:jc w:val="left"/>
              <w:rPr>
                <w:rFonts w:ascii="Arial" w:cs="Arial" w:eastAsia="宋体" w:hAnsi="Arial"/>
                <w:kern w:val="0"/>
                <w:sz w:val="20"/>
                <w:szCs w:val="20"/>
              </w:rPr>
            </w:pPr>
            <w:r>
              <w:rPr>
                <w:rFonts w:ascii="Arial" w:cs="Arial" w:eastAsia="宋体" w:hAnsi="Arial"/>
                <w:b/>
                <w:bCs/>
                <w:kern w:val="0"/>
                <w:sz w:val="20"/>
                <w:szCs w:val="20"/>
              </w:rPr>
              <w:t>适用的法律有《劳动法》（2018.12.29修订版）、《安全生产法》（2020.11.25修订版）,</w:t>
            </w:r>
            <w:r>
              <w:rPr>
                <w:rFonts w:ascii="Arial" w:cs="Arial" w:eastAsia="宋体" w:hAnsi="Arial" w:hint="eastAsia"/>
                <w:b/>
                <w:bCs/>
                <w:kern w:val="0"/>
                <w:sz w:val="20"/>
                <w:szCs w:val="20"/>
              </w:rPr>
              <w:t>《</w:t>
            </w:r>
            <w:r>
              <w:rPr>
                <w:rFonts w:ascii="Arial" w:cs="Arial" w:eastAsia="宋体" w:hAnsi="Arial"/>
                <w:b/>
                <w:bCs/>
                <w:kern w:val="0"/>
                <w:sz w:val="20"/>
                <w:szCs w:val="20"/>
              </w:rPr>
              <w:t>职业病防治法</w:t>
            </w:r>
            <w:r>
              <w:rPr>
                <w:rFonts w:ascii="Arial" w:cs="Arial" w:eastAsia="宋体" w:hAnsi="Arial" w:hint="eastAsia"/>
                <w:b/>
                <w:bCs/>
                <w:kern w:val="0"/>
                <w:sz w:val="20"/>
                <w:szCs w:val="20"/>
              </w:rPr>
              <w:t>》</w:t>
            </w:r>
            <w:r>
              <w:rPr>
                <w:rFonts w:ascii="Arial" w:cs="Arial" w:eastAsia="宋体" w:hAnsi="Arial"/>
                <w:b/>
                <w:bCs/>
                <w:kern w:val="0"/>
                <w:sz w:val="20"/>
                <w:szCs w:val="20"/>
              </w:rPr>
              <w:t>（2018.12.29修订版）、《职业健康安全管理体系 要求及使用指南》（2020.3.6）。</w:t>
            </w:r>
            <w:r>
              <w:rPr>
                <w:rFonts w:ascii="Arial" w:cs="Arial" w:eastAsia="宋体" w:hAnsi="Arial"/>
                <w:kern w:val="0"/>
                <w:sz w:val="20"/>
                <w:szCs w:val="20"/>
              </w:rPr>
              <w:br/>
            </w:r>
            <w:r>
              <w:rPr>
                <w:rFonts w:ascii="Arial" w:cs="Arial" w:eastAsia="宋体" w:hAnsi="Arial"/>
                <w:b/>
                <w:bCs/>
                <w:kern w:val="0"/>
                <w:sz w:val="20"/>
                <w:szCs w:val="20"/>
              </w:rPr>
              <w:t>i)《劳动法》第53条：</w:t>
            </w:r>
            <w:r>
              <w:rPr>
                <w:rFonts w:ascii="Arial" w:cs="Arial" w:eastAsia="宋体" w:hAnsi="Arial"/>
                <w:kern w:val="0"/>
                <w:sz w:val="20"/>
                <w:szCs w:val="20"/>
              </w:rPr>
              <w:t>劳动安全卫生设施必须符合国家规定的标准。新建、改建、扩建工程的劳动安全卫生设施必须与主体工程同时设计、同时施工、同时投入生产和使用。</w:t>
            </w:r>
            <w:r>
              <w:rPr>
                <w:rFonts w:ascii="Arial" w:cs="Arial" w:eastAsia="宋体" w:hAnsi="Arial"/>
                <w:b/>
                <w:bCs/>
                <w:kern w:val="0"/>
                <w:sz w:val="20"/>
                <w:szCs w:val="20"/>
              </w:rPr>
              <w:t>第54条：</w:t>
            </w:r>
            <w:r>
              <w:rPr>
                <w:rFonts w:ascii="Arial" w:cs="Arial" w:eastAsia="宋体" w:hAnsi="Arial"/>
                <w:kern w:val="0"/>
                <w:sz w:val="20"/>
                <w:szCs w:val="20"/>
              </w:rPr>
              <w:t>用人单位必须为劳动者提供符合国家规定的劳动安全卫生条件和必要的劳动防护用品，对从事有职业危害作业的劳动者应当定期进行健康检查。</w:t>
            </w:r>
            <w:r>
              <w:rPr>
                <w:rFonts w:ascii="Arial" w:cs="Arial" w:eastAsia="宋体" w:hAnsi="Arial"/>
                <w:b/>
                <w:bCs/>
                <w:kern w:val="0"/>
                <w:sz w:val="20"/>
                <w:szCs w:val="20"/>
              </w:rPr>
              <w:t>第57条：</w:t>
            </w:r>
            <w:r>
              <w:rPr>
                <w:rFonts w:ascii="Arial" w:cs="Arial" w:eastAsia="宋体" w:hAnsi="Arial"/>
                <w:kern w:val="0"/>
                <w:sz w:val="20"/>
                <w:szCs w:val="20"/>
              </w:rPr>
              <w:t>国家建立伤亡事故和职业病统计报告和处理制度。</w:t>
            </w:r>
            <w:r>
              <w:rPr>
                <w:rFonts w:ascii="Arial" w:cs="Arial" w:eastAsia="宋体" w:hAnsi="Arial"/>
                <w:b/>
                <w:bCs/>
                <w:kern w:val="0"/>
                <w:sz w:val="20"/>
                <w:szCs w:val="20"/>
              </w:rPr>
              <w:t>第61条：</w:t>
            </w:r>
            <w:r>
              <w:rPr>
                <w:rFonts w:ascii="Arial" w:cs="Arial" w:eastAsia="宋体" w:hAnsi="Arial"/>
                <w:kern w:val="0"/>
                <w:sz w:val="20"/>
                <w:szCs w:val="20"/>
              </w:rPr>
              <w:t>不得安排女职工在怀孕期间从事国家规定的第三级体力劳动强度的劳动和孕期禁忌从事的劳动。对怀孕七个月以上的女职工，不得安排其延长工作时间和夜班劳动。</w:t>
            </w:r>
            <w:r>
              <w:rPr>
                <w:rFonts w:ascii="Arial" w:cs="Arial" w:eastAsia="宋体" w:hAnsi="Arial"/>
                <w:kern w:val="0"/>
                <w:sz w:val="20"/>
                <w:szCs w:val="20"/>
              </w:rPr>
              <w:br/>
            </w:r>
            <w:r>
              <w:rPr>
                <w:rFonts w:ascii="Arial" w:cs="Arial" w:eastAsia="宋体" w:hAnsi="Arial"/>
                <w:b/>
                <w:bCs/>
                <w:kern w:val="0"/>
                <w:sz w:val="20"/>
                <w:szCs w:val="20"/>
              </w:rPr>
              <w:t>ii)《安全生产法》第21条，</w:t>
            </w:r>
            <w:r>
              <w:rPr>
                <w:rFonts w:ascii="Arial" w:cs="Arial" w:eastAsia="宋体" w:hAnsi="Arial"/>
                <w:kern w:val="0"/>
                <w:sz w:val="20"/>
                <w:szCs w:val="20"/>
              </w:rPr>
              <w:t>生产经营单位的主要负责人应负责建立、健全本单位安全生产责任制，组织制定本单位安全生产规章制度和操作规程，组织制定并实施本单位安全生产教育和培训计划，督促、检查本单位的安全生产工作，及时消除生产安全事故隐患，组织制定并实施本单位的生产安全事故应急救援预案，及时、如实报告生产安全事故。</w:t>
            </w:r>
            <w:r>
              <w:rPr>
                <w:rFonts w:ascii="Arial" w:cs="Arial" w:eastAsia="宋体" w:hAnsi="Arial"/>
                <w:b/>
                <w:bCs/>
                <w:kern w:val="0"/>
                <w:sz w:val="20"/>
                <w:szCs w:val="20"/>
              </w:rPr>
              <w:t>第73条,</w:t>
            </w:r>
            <w:r>
              <w:rPr>
                <w:rFonts w:ascii="Arial" w:cs="Arial" w:eastAsia="宋体" w:hAnsi="Arial"/>
                <w:kern w:val="0"/>
                <w:sz w:val="20"/>
                <w:szCs w:val="20"/>
              </w:rPr>
              <w:t>负有安全生产监督管理职责的部门应当建立举报制度，公开举报电话、信箱或者电子邮件地址，受理有关安全生产的举报；</w:t>
            </w:r>
            <w:r>
              <w:rPr>
                <w:rFonts w:ascii="Arial" w:cs="Arial" w:eastAsia="宋体" w:hAnsi="Arial"/>
                <w:b/>
                <w:bCs/>
                <w:kern w:val="0"/>
                <w:sz w:val="20"/>
                <w:szCs w:val="20"/>
              </w:rPr>
              <w:t>第74条,</w:t>
            </w:r>
            <w:r>
              <w:rPr>
                <w:rFonts w:ascii="Arial" w:cs="Arial" w:eastAsia="宋体" w:hAnsi="Arial"/>
                <w:kern w:val="0"/>
                <w:sz w:val="20"/>
                <w:szCs w:val="20"/>
              </w:rPr>
              <w:t>任何单位或者个人对事故隐患或者安全生产违法行为，均有权向负有安全生产监督管理职责的部门报告或者举报。</w:t>
            </w:r>
            <w:r>
              <w:rPr>
                <w:rFonts w:ascii="Arial" w:cs="Arial" w:eastAsia="宋体" w:hAnsi="Arial"/>
                <w:b/>
                <w:bCs/>
                <w:kern w:val="0"/>
                <w:sz w:val="20"/>
                <w:szCs w:val="20"/>
              </w:rPr>
              <w:t>第72条,</w:t>
            </w:r>
            <w:r>
              <w:rPr>
                <w:rFonts w:ascii="Arial" w:cs="Arial" w:eastAsia="宋体" w:hAnsi="Arial"/>
                <w:kern w:val="0"/>
                <w:sz w:val="20"/>
                <w:szCs w:val="20"/>
              </w:rPr>
              <w:t>居民委员会、村民委员会发现其所在区域内的生产经营单位存在事故隐患或者安全生产违法行为时，应当向当地人民政府或者有关部门报告。</w:t>
            </w:r>
            <w:r>
              <w:rPr>
                <w:rFonts w:ascii="Arial" w:cs="Arial" w:eastAsia="宋体" w:hAnsi="Arial"/>
                <w:kern w:val="0"/>
                <w:sz w:val="20"/>
                <w:szCs w:val="20"/>
              </w:rPr>
              <w:br/>
            </w:r>
            <w:r>
              <w:rPr>
                <w:rFonts w:ascii="Arial" w:cs="Arial" w:eastAsia="宋体" w:hAnsi="Arial"/>
                <w:b/>
                <w:bCs/>
                <w:kern w:val="0"/>
                <w:sz w:val="20"/>
                <w:szCs w:val="20"/>
              </w:rPr>
              <w:t>iii)《职业病防治法》（2018修正）第4条，</w:t>
            </w:r>
            <w:r>
              <w:rPr>
                <w:rFonts w:ascii="Arial" w:cs="Arial" w:eastAsia="宋体" w:hAnsi="Arial"/>
                <w:kern w:val="0"/>
                <w:sz w:val="20"/>
                <w:szCs w:val="20"/>
              </w:rPr>
              <w:t>劳动者依法享有职业卫生保护的权利。 用人单位应当为劳动者创造符合国家职业卫生标准和卫生要求的工作环境和条件，并采取措施保障劳动者获得职业卫生保护。 工会组织依法对职业病防治工作进行监督，维护劳动者的合法权益。用人单位制定或者修改有关职业病防治的规章制度，应当听取工会组织的意见。</w:t>
            </w:r>
            <w:r>
              <w:rPr>
                <w:rFonts w:ascii="Arial" w:cs="Arial" w:eastAsia="宋体" w:hAnsi="Arial"/>
                <w:b/>
                <w:bCs/>
                <w:kern w:val="0"/>
                <w:sz w:val="20"/>
                <w:szCs w:val="20"/>
              </w:rPr>
              <w:t>第5条，</w:t>
            </w:r>
            <w:r>
              <w:rPr>
                <w:rFonts w:ascii="Arial" w:cs="Arial" w:eastAsia="宋体" w:hAnsi="Arial"/>
                <w:kern w:val="0"/>
                <w:sz w:val="20"/>
                <w:szCs w:val="20"/>
              </w:rPr>
              <w:t>用人单位应当建立、健全职业病防治责任制，加强对职业病防治的管理，提高职业病防治水平，对本单位产生的职业病危害承担责任。</w:t>
            </w:r>
            <w:r>
              <w:rPr>
                <w:rFonts w:ascii="Arial" w:cs="Arial" w:eastAsia="宋体" w:hAnsi="Arial"/>
                <w:b/>
                <w:bCs/>
                <w:kern w:val="0"/>
                <w:sz w:val="20"/>
                <w:szCs w:val="20"/>
              </w:rPr>
              <w:t>第6条，</w:t>
            </w:r>
            <w:r>
              <w:rPr>
                <w:rFonts w:ascii="Arial" w:cs="Arial" w:eastAsia="宋体" w:hAnsi="Arial"/>
                <w:kern w:val="0"/>
                <w:sz w:val="20"/>
                <w:szCs w:val="20"/>
              </w:rPr>
              <w:t>用人单位的主要负责人对本单位的职业病防治工作全面负责。</w:t>
            </w:r>
            <w:r>
              <w:rPr>
                <w:rFonts w:ascii="Arial" w:cs="Arial" w:eastAsia="宋体" w:hAnsi="Arial"/>
                <w:b/>
                <w:bCs/>
                <w:kern w:val="0"/>
                <w:sz w:val="20"/>
                <w:szCs w:val="20"/>
              </w:rPr>
              <w:t>第7条，</w:t>
            </w:r>
            <w:r>
              <w:rPr>
                <w:rFonts w:ascii="Arial" w:cs="Arial" w:eastAsia="宋体" w:hAnsi="Arial"/>
                <w:kern w:val="0"/>
                <w:sz w:val="20"/>
                <w:szCs w:val="20"/>
              </w:rPr>
              <w:t>用人单位必须依法参加工伤保险。</w:t>
            </w:r>
            <w:r>
              <w:rPr>
                <w:rFonts w:ascii="Arial" w:cs="Arial" w:eastAsia="宋体" w:hAnsi="Arial"/>
                <w:b/>
                <w:bCs/>
                <w:kern w:val="0"/>
                <w:sz w:val="20"/>
                <w:szCs w:val="20"/>
              </w:rPr>
              <w:t>第9条，</w:t>
            </w:r>
            <w:r>
              <w:rPr>
                <w:rFonts w:ascii="Arial" w:cs="Arial" w:eastAsia="宋体" w:hAnsi="Arial"/>
                <w:kern w:val="0"/>
                <w:sz w:val="20"/>
                <w:szCs w:val="20"/>
              </w:rPr>
              <w:t xml:space="preserve">国家实行职业卫生监督制度。 </w:t>
            </w:r>
            <w:r>
              <w:rPr>
                <w:rFonts w:ascii="Arial" w:cs="Arial" w:eastAsia="宋体" w:hAnsi="Arial"/>
                <w:b/>
                <w:bCs/>
                <w:kern w:val="0"/>
                <w:sz w:val="20"/>
                <w:szCs w:val="20"/>
              </w:rPr>
              <w:t>第10条，</w:t>
            </w:r>
            <w:r>
              <w:rPr>
                <w:rFonts w:ascii="Arial" w:cs="Arial" w:eastAsia="宋体" w:hAnsi="Arial"/>
                <w:kern w:val="0"/>
                <w:sz w:val="20"/>
                <w:szCs w:val="20"/>
              </w:rPr>
              <w:t>国务院和县级以上地方人民政府应当制定职业病防治规划，将其纳入国民经济和社会发展计划，并组织实施。</w:t>
            </w:r>
          </w:p>
          <w:p>
            <w:pPr>
              <w:pStyle w:val="style0"/>
              <w:jc w:val="left"/>
              <w:rPr>
                <w:rFonts w:ascii="Arial" w:cs="Arial" w:eastAsia="宋体" w:hAnsi="Arial"/>
                <w:kern w:val="0"/>
                <w:sz w:val="20"/>
                <w:szCs w:val="20"/>
              </w:rPr>
            </w:pPr>
          </w:p>
          <w:p>
            <w:pPr>
              <w:pStyle w:val="style0"/>
              <w:autoSpaceDE w:val="false"/>
              <w:autoSpaceDN w:val="false"/>
              <w:adjustRightInd w:val="false"/>
              <w:snapToGrid w:val="false"/>
              <w:jc w:val="left"/>
              <w:rPr>
                <w:rFonts w:ascii="Arial" w:cs="Arial" w:eastAsia="宋体" w:hAnsi="Arial"/>
                <w:sz w:val="20"/>
              </w:rPr>
            </w:pPr>
            <w:r>
              <w:rPr>
                <w:rFonts w:ascii="Arial" w:cs="Arial" w:eastAsia="宋体" w:hAnsi="Arial"/>
                <w:kern w:val="0"/>
                <w:sz w:val="20"/>
                <w:szCs w:val="21"/>
              </w:rPr>
              <w:t>可见，</w:t>
            </w:r>
            <w:r>
              <w:rPr>
                <w:rFonts w:ascii="Arial" w:cs="Arial" w:eastAsia="宋体" w:hAnsi="Arial"/>
                <w:sz w:val="20"/>
                <w:szCs w:val="21"/>
              </w:rPr>
              <w:t>中国已建立了一套全面的安全生产管理体系，针对项目设计、施工和运营阶段已经形成了成熟的安全生产措施和管理体系。在实际实施过程中，安全管理是重中之重。其措施的落实情况受到各个行业主管部门的行业监管和应急管理（安全生产主管部门）的综合监管。除了在项目施工单位、建设运营单位都必须设立安全管理机构、配备人员、落实措施之外，各行业主管部门都设立安全生产管理机制，监督本行业项目的安全生产绩效表现。应急管理局（安全生产主管部门）更是对所有的行业和重点领域进行督察监管。这个体系能够保证本PforR下项目活动的安全监管。</w:t>
            </w:r>
          </w:p>
        </w:tc>
        <w:tc>
          <w:tcPr>
            <w:tcW w:w="2127"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一致</w:t>
            </w:r>
          </w:p>
          <w:p>
            <w:pPr>
              <w:pStyle w:val="style0"/>
              <w:jc w:val="left"/>
              <w:rPr>
                <w:rFonts w:ascii="Arial" w:cs="Arial" w:eastAsia="宋体" w:hAnsi="Arial"/>
                <w:kern w:val="0"/>
                <w:sz w:val="20"/>
                <w:szCs w:val="20"/>
              </w:rPr>
            </w:pPr>
          </w:p>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kern w:val="0"/>
                <w:sz w:val="20"/>
                <w:szCs w:val="20"/>
              </w:rPr>
            </w:pPr>
            <w:r>
              <w:rPr>
                <w:rFonts w:ascii="Arial" w:cs="Arial" w:eastAsia="宋体" w:hAnsi="Arial"/>
                <w:b/>
                <w:bCs/>
                <w:kern w:val="0"/>
                <w:sz w:val="20"/>
                <w:szCs w:val="20"/>
              </w:rPr>
              <w:t>要素7</w:t>
            </w:r>
            <w:r>
              <w:rPr>
                <w:rFonts w:ascii="Arial" w:cs="Arial" w:eastAsia="宋体" w:hAnsi="Arial"/>
                <w:kern w:val="0"/>
                <w:sz w:val="20"/>
                <w:szCs w:val="20"/>
              </w:rPr>
              <w:t>：</w:t>
            </w:r>
          </w:p>
          <w:p>
            <w:pPr>
              <w:pStyle w:val="style0"/>
              <w:jc w:val="left"/>
              <w:rPr>
                <w:rFonts w:ascii="Arial" w:cs="Arial" w:eastAsia="宋体" w:hAnsi="Arial"/>
                <w:sz w:val="20"/>
              </w:rPr>
            </w:pPr>
            <w:r>
              <w:rPr>
                <w:rFonts w:ascii="Arial" w:cs="Arial" w:eastAsia="宋体" w:hAnsi="Arial"/>
                <w:kern w:val="0"/>
                <w:sz w:val="20"/>
                <w:szCs w:val="20"/>
              </w:rPr>
              <w:t>i) 对项目活动中涉及的有害物质的生产、管理、储存、运输和处置采取良好实践。</w:t>
            </w:r>
          </w:p>
        </w:tc>
        <w:tc>
          <w:tcPr>
            <w:tcW w:w="10489" w:type="dxa"/>
            <w:tcBorders/>
            <w:shd w:val="clear" w:color="auto" w:fill="auto"/>
          </w:tcPr>
          <w:p>
            <w:pPr>
              <w:pStyle w:val="style0"/>
              <w:widowControl/>
              <w:jc w:val="left"/>
              <w:rPr>
                <w:rFonts w:ascii="Arial" w:cs="Arial" w:eastAsia="宋体" w:hAnsi="Arial"/>
                <w:b/>
                <w:bCs/>
                <w:kern w:val="0"/>
                <w:sz w:val="20"/>
                <w:szCs w:val="20"/>
                <w:lang w:val="en-GB"/>
              </w:rPr>
            </w:pPr>
            <w:r>
              <w:rPr>
                <w:rFonts w:ascii="Arial" w:cs="Arial" w:eastAsia="宋体" w:hAnsi="Arial"/>
                <w:b/>
                <w:bCs/>
                <w:kern w:val="0"/>
                <w:sz w:val="20"/>
                <w:szCs w:val="20"/>
              </w:rPr>
              <w:t>适用的法律法规包括《安全生产法》，广西《自治区卫生健康委关于印发2021年广西职业病防治项目工作方案的通知》(桂卫职健发〔2021〕3号)，</w:t>
            </w:r>
            <w:r>
              <w:rPr>
                <w:rFonts w:ascii="Arial" w:cs="Arial" w:eastAsia="宋体" w:hAnsi="Arial"/>
                <w:b/>
                <w:bCs/>
                <w:sz w:val="20"/>
              </w:rPr>
              <w:t>《贵州省卫生健康委关于加强职业病防治技术支撑体系建设的指导意见》(2020.12)</w:t>
            </w:r>
          </w:p>
          <w:p>
            <w:pPr>
              <w:pStyle w:val="style0"/>
              <w:jc w:val="left"/>
              <w:rPr>
                <w:rFonts w:ascii="Arial" w:cs="Arial" w:eastAsia="宋体" w:hAnsi="Arial"/>
                <w:kern w:val="0"/>
                <w:sz w:val="20"/>
                <w:szCs w:val="20"/>
              </w:rPr>
            </w:pPr>
            <w:r>
              <w:rPr>
                <w:rFonts w:ascii="Arial" w:cs="Arial" w:eastAsia="宋体" w:hAnsi="Arial"/>
                <w:b/>
                <w:bCs/>
                <w:kern w:val="0"/>
                <w:sz w:val="20"/>
                <w:szCs w:val="20"/>
              </w:rPr>
              <w:t>i)《安全生产法》21 条</w:t>
            </w:r>
            <w:r>
              <w:rPr>
                <w:rFonts w:ascii="Arial" w:cs="Arial" w:eastAsia="宋体" w:hAnsi="Arial"/>
                <w:kern w:val="0"/>
                <w:sz w:val="20"/>
                <w:szCs w:val="20"/>
              </w:rPr>
              <w:t>，建筑施工、道路运输单位和危险物品的生产、经营、储存单位，应当设置安全生产管理机构或者配备专职安全生产管理人员。第22条，产经营单位的安全生产管理机构以及安全生产管理人员应负责履行(一)组织或者参与拟订本单位安全生产规章制度、操作规程和生产安全事故应急救援预案；2) 组织或者参与本单位安全生产教育和培训，如实记录安全生产教育和培训情况；</w:t>
            </w:r>
            <w:r>
              <w:rPr>
                <w:rFonts w:ascii="Arial" w:cs="Arial" w:eastAsia="宋体" w:hAnsi="Arial"/>
                <w:kern w:val="0"/>
                <w:sz w:val="20"/>
                <w:szCs w:val="20"/>
              </w:rPr>
              <w:br/>
            </w:r>
            <w:r>
              <w:rPr>
                <w:rFonts w:ascii="Arial" w:cs="Arial" w:eastAsia="宋体" w:hAnsi="Arial"/>
                <w:kern w:val="0"/>
                <w:sz w:val="20"/>
                <w:szCs w:val="20"/>
              </w:rPr>
              <w:t>3) 督促落实本单位重大危险源的安全管理措施；4) 组织或者参与本单位应急救援演练；5) 检查本单位的安全生产状况，及时排查生产安全事故隐患，提出改进安全生产管理的建议；6) 制止和纠正违章指挥、强令冒险作业、违反操作规程的行为；7) 督促落实本单位安全生产整改措施。</w:t>
            </w:r>
          </w:p>
          <w:p>
            <w:pPr>
              <w:pStyle w:val="style0"/>
              <w:jc w:val="left"/>
              <w:rPr>
                <w:rFonts w:ascii="Arial" w:cs="Arial" w:eastAsia="宋体" w:hAnsi="Arial"/>
                <w:sz w:val="20"/>
              </w:rPr>
            </w:pPr>
            <w:r>
              <w:rPr>
                <w:rFonts w:ascii="Arial" w:cs="Arial" w:eastAsia="宋体" w:hAnsi="Arial"/>
                <w:b/>
                <w:bCs/>
                <w:sz w:val="20"/>
              </w:rPr>
              <w:t>ii)《危险化学品安全管理条例》第4条，</w:t>
            </w:r>
            <w:r>
              <w:rPr>
                <w:rFonts w:ascii="Arial" w:cs="Arial" w:eastAsia="宋体" w:hAnsi="Arial"/>
                <w:sz w:val="20"/>
              </w:rPr>
              <w:t>危险化学品单位应当对从业人员进行安全教育、法制教育和岗位技术培训。从业人员应当接受教育和培训，考核合格后上岗作业。</w:t>
            </w:r>
          </w:p>
          <w:p>
            <w:pPr>
              <w:pStyle w:val="style0"/>
              <w:jc w:val="left"/>
              <w:rPr>
                <w:rFonts w:ascii="Arial" w:cs="Arial" w:eastAsia="宋体" w:hAnsi="Arial"/>
                <w:sz w:val="20"/>
              </w:rPr>
            </w:pPr>
            <w:r>
              <w:rPr>
                <w:rFonts w:ascii="Arial" w:cs="Arial" w:eastAsia="宋体" w:hAnsi="Arial"/>
                <w:b/>
                <w:bCs/>
                <w:sz w:val="20"/>
              </w:rPr>
              <w:t>iii)《职业健康安全管理体系要求及使用指南》，</w:t>
            </w:r>
            <w:r>
              <w:rPr>
                <w:rFonts w:ascii="Arial" w:cs="Arial" w:eastAsia="宋体" w:hAnsi="Arial"/>
                <w:sz w:val="20"/>
              </w:rPr>
              <w:t>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w:t>
            </w:r>
            <w:r>
              <w:rPr>
                <w:rFonts w:ascii="Arial" w:cs="Arial" w:eastAsia="宋体" w:hAnsi="Arial"/>
                <w:kern w:val="0"/>
                <w:sz w:val="20"/>
                <w:szCs w:val="20"/>
              </w:rPr>
              <w:t xml:space="preserve">) </w:t>
            </w:r>
            <w:r>
              <w:rPr>
                <w:rFonts w:ascii="Arial" w:cs="Arial" w:eastAsia="宋体" w:hAnsi="Arial"/>
                <w:sz w:val="20"/>
              </w:rPr>
              <w:t>劳动安全、职业卫生的预评价；2</w:t>
            </w:r>
            <w:r>
              <w:rPr>
                <w:rFonts w:ascii="Arial" w:cs="Arial" w:eastAsia="宋体" w:hAnsi="Arial"/>
                <w:kern w:val="0"/>
                <w:sz w:val="20"/>
                <w:szCs w:val="20"/>
              </w:rPr>
              <w:t xml:space="preserve">) </w:t>
            </w:r>
            <w:r>
              <w:rPr>
                <w:rFonts w:ascii="Arial" w:cs="Arial" w:eastAsia="宋体" w:hAnsi="Arial"/>
                <w:sz w:val="20"/>
              </w:rPr>
              <w:t>劳动安全、职业卫生、消防的验收报告；3</w:t>
            </w:r>
            <w:r>
              <w:rPr>
                <w:rFonts w:ascii="Arial" w:cs="Arial" w:eastAsia="宋体" w:hAnsi="Arial"/>
                <w:kern w:val="0"/>
                <w:sz w:val="20"/>
                <w:szCs w:val="20"/>
              </w:rPr>
              <w:t xml:space="preserve">) </w:t>
            </w:r>
            <w:r>
              <w:rPr>
                <w:rFonts w:ascii="Arial" w:cs="Arial" w:eastAsia="宋体" w:hAnsi="Arial"/>
                <w:sz w:val="20"/>
              </w:rPr>
              <w:t>职业卫生、消防相关的检测报告；4</w:t>
            </w:r>
            <w:r>
              <w:rPr>
                <w:rFonts w:ascii="Arial" w:cs="Arial" w:eastAsia="宋体" w:hAnsi="Arial"/>
                <w:kern w:val="0"/>
                <w:sz w:val="20"/>
                <w:szCs w:val="20"/>
              </w:rPr>
              <w:t xml:space="preserve">) </w:t>
            </w:r>
            <w:r>
              <w:rPr>
                <w:rFonts w:ascii="Arial" w:cs="Arial" w:eastAsia="宋体" w:hAnsi="Arial"/>
                <w:sz w:val="20"/>
              </w:rPr>
              <w:t>如果是化学危险品单位还有相应的化学品安全评估等相关报告：5</w:t>
            </w:r>
            <w:r>
              <w:rPr>
                <w:rFonts w:ascii="Arial" w:cs="Arial" w:eastAsia="宋体" w:hAnsi="Arial"/>
                <w:kern w:val="0"/>
                <w:sz w:val="20"/>
                <w:szCs w:val="20"/>
              </w:rPr>
              <w:t xml:space="preserve">) </w:t>
            </w:r>
            <w:r>
              <w:rPr>
                <w:rFonts w:ascii="Arial" w:cs="Arial" w:eastAsia="宋体" w:hAnsi="Arial"/>
                <w:sz w:val="20"/>
              </w:rPr>
              <w:t>产品生产许可证复印件（有要求时）；6</w:t>
            </w:r>
            <w:r>
              <w:rPr>
                <w:rFonts w:ascii="Arial" w:cs="Arial" w:eastAsia="宋体" w:hAnsi="Arial"/>
                <w:kern w:val="0"/>
                <w:sz w:val="20"/>
                <w:szCs w:val="20"/>
              </w:rPr>
              <w:t xml:space="preserve">) </w:t>
            </w:r>
            <w:r>
              <w:rPr>
                <w:rFonts w:ascii="Arial" w:cs="Arial" w:eastAsia="宋体" w:hAnsi="Arial"/>
                <w:sz w:val="20"/>
              </w:rPr>
              <w:t>企业法人营业执照副本复印件。要对以下内容进行全面审查：1</w:t>
            </w:r>
            <w:r>
              <w:rPr>
                <w:rFonts w:ascii="Arial" w:cs="Arial" w:eastAsia="宋体" w:hAnsi="Arial"/>
                <w:kern w:val="0"/>
                <w:sz w:val="20"/>
                <w:szCs w:val="20"/>
              </w:rPr>
              <w:t xml:space="preserve">) </w:t>
            </w:r>
            <w:r>
              <w:rPr>
                <w:rFonts w:ascii="Arial" w:cs="Arial" w:eastAsia="宋体" w:hAnsi="Arial"/>
                <w:sz w:val="20"/>
              </w:rPr>
              <w:t>组织的安全生产许可证明；2</w:t>
            </w:r>
            <w:r>
              <w:rPr>
                <w:rFonts w:ascii="Arial" w:cs="Arial" w:eastAsia="宋体" w:hAnsi="Arial"/>
                <w:kern w:val="0"/>
                <w:sz w:val="20"/>
                <w:szCs w:val="20"/>
              </w:rPr>
              <w:t xml:space="preserve">) </w:t>
            </w:r>
            <w:r>
              <w:rPr>
                <w:rFonts w:ascii="Arial" w:cs="Arial" w:eastAsia="宋体" w:hAnsi="Arial"/>
                <w:sz w:val="20"/>
              </w:rPr>
              <w:t>生产工艺流程图或服务提供流程图；3</w:t>
            </w:r>
            <w:r>
              <w:rPr>
                <w:rFonts w:ascii="Arial" w:cs="Arial" w:eastAsia="宋体" w:hAnsi="Arial"/>
                <w:kern w:val="0"/>
                <w:sz w:val="20"/>
                <w:szCs w:val="20"/>
              </w:rPr>
              <w:t xml:space="preserve">) </w:t>
            </w:r>
            <w:r>
              <w:rPr>
                <w:rFonts w:ascii="Arial" w:cs="Arial" w:eastAsia="宋体" w:hAnsi="Arial"/>
                <w:sz w:val="20"/>
              </w:rPr>
              <w:t>组织机构图；4</w:t>
            </w:r>
            <w:r>
              <w:rPr>
                <w:rFonts w:ascii="Arial" w:cs="Arial" w:eastAsia="宋体" w:hAnsi="Arial"/>
                <w:kern w:val="0"/>
                <w:sz w:val="20"/>
                <w:szCs w:val="20"/>
              </w:rPr>
              <w:t xml:space="preserve">) </w:t>
            </w:r>
            <w:r>
              <w:rPr>
                <w:rFonts w:ascii="Arial" w:cs="Arial" w:eastAsia="宋体" w:hAnsi="Arial"/>
                <w:sz w:val="20"/>
              </w:rPr>
              <w:t>适用的法律法规清单；5</w:t>
            </w:r>
            <w:r>
              <w:rPr>
                <w:rFonts w:ascii="Arial" w:cs="Arial" w:eastAsia="宋体" w:hAnsi="Arial"/>
                <w:kern w:val="0"/>
                <w:sz w:val="20"/>
                <w:szCs w:val="20"/>
              </w:rPr>
              <w:t xml:space="preserve">) </w:t>
            </w:r>
            <w:r>
              <w:rPr>
                <w:rFonts w:ascii="Arial" w:cs="Arial" w:eastAsia="宋体" w:hAnsi="Arial"/>
                <w:sz w:val="20"/>
              </w:rPr>
              <w:t>地理位置示意图；6</w:t>
            </w:r>
            <w:r>
              <w:rPr>
                <w:rFonts w:ascii="Arial" w:cs="Arial" w:eastAsia="宋体" w:hAnsi="Arial"/>
                <w:kern w:val="0"/>
                <w:sz w:val="20"/>
                <w:szCs w:val="20"/>
              </w:rPr>
              <w:t xml:space="preserve">) </w:t>
            </w:r>
            <w:r>
              <w:rPr>
                <w:rFonts w:ascii="Arial" w:cs="Arial" w:eastAsia="宋体" w:hAnsi="Arial"/>
                <w:sz w:val="20"/>
              </w:rPr>
              <w:t>厂区平面布置图；7</w:t>
            </w:r>
            <w:r>
              <w:rPr>
                <w:rFonts w:ascii="Arial" w:cs="Arial" w:eastAsia="宋体" w:hAnsi="Arial"/>
                <w:kern w:val="0"/>
                <w:sz w:val="20"/>
                <w:szCs w:val="20"/>
              </w:rPr>
              <w:t xml:space="preserve">) </w:t>
            </w:r>
            <w:r>
              <w:rPr>
                <w:rFonts w:ascii="Arial" w:cs="Arial" w:eastAsia="宋体" w:hAnsi="Arial"/>
                <w:sz w:val="20"/>
              </w:rPr>
              <w:t>生产车间平面布置图；8</w:t>
            </w:r>
            <w:r>
              <w:rPr>
                <w:rFonts w:ascii="Arial" w:cs="Arial" w:eastAsia="宋体" w:hAnsi="Arial"/>
                <w:kern w:val="0"/>
                <w:sz w:val="20"/>
                <w:szCs w:val="20"/>
              </w:rPr>
              <w:t xml:space="preserve">) </w:t>
            </w:r>
            <w:r>
              <w:rPr>
                <w:rFonts w:ascii="Arial" w:cs="Arial" w:eastAsia="宋体" w:hAnsi="Arial"/>
                <w:sz w:val="20"/>
              </w:rPr>
              <w:t>重大危险源清单；9</w:t>
            </w:r>
            <w:r>
              <w:rPr>
                <w:rFonts w:ascii="Arial" w:cs="Arial" w:eastAsia="宋体" w:hAnsi="Arial"/>
                <w:kern w:val="0"/>
                <w:sz w:val="20"/>
                <w:szCs w:val="20"/>
              </w:rPr>
              <w:t xml:space="preserve">) </w:t>
            </w:r>
            <w:r>
              <w:rPr>
                <w:rFonts w:ascii="Arial" w:cs="Arial" w:eastAsia="宋体" w:hAnsi="Arial"/>
                <w:sz w:val="20"/>
              </w:rPr>
              <w:t>职业健康安全目标、指标和管理方案；10</w:t>
            </w:r>
            <w:r>
              <w:rPr>
                <w:rFonts w:ascii="Arial" w:cs="Arial" w:eastAsia="宋体" w:hAnsi="Arial"/>
                <w:kern w:val="0"/>
                <w:sz w:val="20"/>
                <w:szCs w:val="20"/>
              </w:rPr>
              <w:t xml:space="preserve">) </w:t>
            </w:r>
            <w:r>
              <w:rPr>
                <w:rFonts w:ascii="Arial" w:cs="Arial" w:eastAsia="宋体" w:hAnsi="Arial"/>
                <w:sz w:val="20"/>
              </w:rPr>
              <w:t>守法证明等资料。</w:t>
            </w:r>
          </w:p>
          <w:p>
            <w:pPr>
              <w:pStyle w:val="style0"/>
              <w:jc w:val="left"/>
              <w:rPr>
                <w:rFonts w:ascii="Arial" w:cs="Arial" w:eastAsia="宋体" w:hAnsi="Arial"/>
                <w:sz w:val="20"/>
              </w:rPr>
            </w:pPr>
            <w:r>
              <w:rPr>
                <w:rFonts w:ascii="Arial" w:cs="Arial" w:eastAsia="宋体" w:hAnsi="Arial"/>
                <w:b/>
                <w:bCs/>
                <w:sz w:val="20"/>
              </w:rPr>
              <w:t>iv</w:t>
            </w:r>
            <w:r>
              <w:rPr>
                <w:rFonts w:ascii="Arial" w:cs="Arial" w:eastAsia="宋体" w:hAnsi="Arial"/>
                <w:b/>
                <w:bCs/>
                <w:kern w:val="0"/>
                <w:sz w:val="20"/>
                <w:szCs w:val="20"/>
              </w:rPr>
              <w:t>)</w:t>
            </w:r>
            <w:r>
              <w:rPr>
                <w:rFonts w:ascii="Arial" w:cs="Arial" w:eastAsia="宋体" w:hAnsi="Arial"/>
                <w:b/>
                <w:bCs/>
                <w:sz w:val="20"/>
              </w:rPr>
              <w:t>《用人单位职业病防治指南》，</w:t>
            </w:r>
            <w:r>
              <w:rPr>
                <w:rFonts w:ascii="Arial" w:cs="Arial" w:eastAsia="宋体" w:hAnsi="Arial"/>
                <w:sz w:val="20"/>
              </w:rPr>
              <w:t>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p>
            <w:pPr>
              <w:pStyle w:val="style0"/>
              <w:jc w:val="left"/>
              <w:rPr>
                <w:rFonts w:ascii="Arial" w:cs="Arial" w:eastAsia="宋体" w:hAnsi="Arial"/>
                <w:sz w:val="20"/>
              </w:rPr>
            </w:pPr>
            <w:r>
              <w:rPr>
                <w:rFonts w:ascii="Arial" w:cs="Arial" w:eastAsia="宋体" w:hAnsi="Arial"/>
                <w:b/>
                <w:bCs/>
                <w:sz w:val="20"/>
              </w:rPr>
              <w:t>v</w:t>
            </w:r>
            <w:r>
              <w:rPr>
                <w:rFonts w:ascii="Arial" w:cs="Arial" w:eastAsia="宋体" w:hAnsi="Arial"/>
                <w:b/>
                <w:bCs/>
                <w:kern w:val="0"/>
                <w:sz w:val="20"/>
                <w:szCs w:val="20"/>
              </w:rPr>
              <w:t>)</w:t>
            </w:r>
            <w:r>
              <w:rPr>
                <w:rFonts w:ascii="Arial" w:cs="Arial" w:eastAsia="宋体" w:hAnsi="Arial"/>
              </w:rPr>
              <w:t xml:space="preserve"> </w:t>
            </w:r>
            <w:r>
              <w:rPr>
                <w:rFonts w:ascii="Arial" w:cs="Arial" w:eastAsia="宋体" w:hAnsi="Arial"/>
                <w:b/>
                <w:bCs/>
                <w:kern w:val="0"/>
                <w:sz w:val="20"/>
                <w:szCs w:val="20"/>
              </w:rPr>
              <w:t>《自治区卫生健康委关于印发2021年广西职业病防治项目工作方案的通知》（桂卫职健发〔2021〕3号），</w:t>
            </w:r>
            <w:r>
              <w:rPr>
                <w:rFonts w:ascii="Arial" w:cs="Arial" w:eastAsia="宋体" w:hAnsi="Arial"/>
                <w:kern w:val="0"/>
                <w:sz w:val="20"/>
                <w:szCs w:val="20"/>
              </w:rPr>
              <w:t>在全区17个县（市、区）（名单见附件）开展尘肺病主动监测项目，为部分中小微型企业的接尘劳动者提供免费职业健康检查，每个项目县（市、区）不少于200名，全区不少于3400名。</w:t>
            </w:r>
          </w:p>
          <w:p>
            <w:pPr>
              <w:pStyle w:val="style0"/>
              <w:jc w:val="left"/>
              <w:rPr>
                <w:rFonts w:ascii="Arial" w:cs="Arial" w:eastAsia="宋体" w:hAnsi="Arial"/>
                <w:sz w:val="20"/>
              </w:rPr>
            </w:pPr>
            <w:r>
              <w:rPr>
                <w:rFonts w:ascii="Arial" w:cs="Arial" w:eastAsia="宋体" w:hAnsi="Arial"/>
                <w:b/>
                <w:bCs/>
                <w:sz w:val="20"/>
              </w:rPr>
              <w:t>vi)《贵州省卫生健康委关于加强职业病防治技术支撑体系建设的指导意见》（2020.12），</w:t>
            </w:r>
            <w:r>
              <w:rPr>
                <w:rFonts w:ascii="Arial" w:cs="Arial" w:eastAsia="宋体" w:hAnsi="Arial"/>
                <w:sz w:val="20"/>
              </w:rPr>
              <w:t>加快职业病防治技术支撑体系建设，到2025年，健全完善省、市、县三级并向乡镇延伸的职业病防治技术支撑体系，主要包括：以疾病预防控制机构、职业病防治院为主体，完善“省、市、县”三级职业病监测评估技术支撑网络，包括职业病危害工程防护技术支撑网络，职业病诊疗康复技术支撑网络和职业健康宣传教育培训支撑网络；支持职业卫生有关机构参与技术支撑，支持条件较好的企业依托现有技术力量设立职业病防治技术支撑机构，支持高等院校、科研院所、企事业单位、行业学会协会、基金会等社会团体增强技术支撑力量。</w:t>
            </w:r>
          </w:p>
          <w:p>
            <w:pPr>
              <w:pStyle w:val="style0"/>
              <w:jc w:val="left"/>
              <w:rPr>
                <w:rFonts w:ascii="Arial" w:cs="Arial" w:eastAsia="宋体" w:hAnsi="Arial"/>
                <w:sz w:val="20"/>
              </w:rPr>
            </w:pPr>
          </w:p>
          <w:p>
            <w:pPr>
              <w:pStyle w:val="style0"/>
              <w:jc w:val="left"/>
              <w:rPr>
                <w:rFonts w:ascii="Arial" w:cs="Arial" w:eastAsia="宋体" w:hAnsi="Arial"/>
                <w:sz w:val="20"/>
                <w:szCs w:val="24"/>
              </w:rPr>
            </w:pPr>
            <w:r>
              <w:rPr>
                <w:rFonts w:ascii="Arial" w:cs="Arial" w:eastAsia="宋体" w:hAnsi="Arial"/>
                <w:sz w:val="20"/>
                <w:szCs w:val="24"/>
              </w:rPr>
              <w:t>关于危险化学品，本项目只涉及农药生产、经营和使用，生产者和销售者严格按规定进行登记并取得许可证，并接受受农业农村部门的监管。另外，污水处理、垃圾收集转运、畜禽粪污处理中会涉及臭气（含氨、硫化氢等吸入性毒性物质）、固液废物（致病微生物）、危险废物（废药品、旧电池等），企业制定安全操作规范、配备工人防护设备；行业主管部门开展定期的巡查、监管和指导。</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 xml:space="preserve">ii) 鼓励采用综合病虫害防治手段管理和控制病虫害或病媒。 </w:t>
            </w:r>
          </w:p>
        </w:tc>
        <w:tc>
          <w:tcPr>
            <w:tcW w:w="10489" w:type="dxa"/>
            <w:tcBorders/>
            <w:shd w:val="clear" w:color="auto" w:fill="auto"/>
          </w:tcPr>
          <w:p>
            <w:pPr>
              <w:pStyle w:val="style179"/>
              <w:ind w:firstLine="0" w:firstLineChars="0"/>
              <w:rPr>
                <w:rFonts w:ascii="Arial" w:cs="Arial" w:eastAsia="宋体" w:hAnsi="Arial"/>
                <w:sz w:val="20"/>
                <w:szCs w:val="24"/>
              </w:rPr>
            </w:pPr>
            <w:r>
              <w:rPr>
                <w:rFonts w:ascii="Arial" w:cs="Arial" w:eastAsia="宋体" w:hAnsi="Arial"/>
                <w:b/>
                <w:bCs/>
                <w:sz w:val="20"/>
                <w:szCs w:val="24"/>
              </w:rPr>
              <w:t>《农药管理条例》</w:t>
            </w:r>
            <w:r>
              <w:rPr>
                <w:rFonts w:ascii="Arial" w:cs="Arial" w:eastAsia="宋体" w:hAnsi="Arial"/>
                <w:sz w:val="20"/>
                <w:szCs w:val="24"/>
              </w:rPr>
              <w:t>规定农药生产企业、农药经营者应当对其生产、 经营的农药的安全性、有效性负责，自觉接受政府监管和社会监督。推广生物防治、物理防治、先进施药器械等措施，逐步减少农药使用量。农药生产和研制实行农药登记制度，农药生产和经营实行许可制度，农药使用者按要求使用农药，农业农村部门定期调查统计农药生产、销售、使用情况。</w:t>
            </w:r>
          </w:p>
          <w:p>
            <w:pPr>
              <w:pStyle w:val="style179"/>
              <w:ind w:firstLine="0" w:firstLineChars="0"/>
              <w:rPr>
                <w:rFonts w:ascii="Arial" w:cs="Arial" w:eastAsia="宋体" w:hAnsi="Arial"/>
                <w:sz w:val="20"/>
                <w:szCs w:val="24"/>
              </w:rPr>
            </w:pPr>
            <w:r>
              <w:rPr>
                <w:rFonts w:ascii="Arial" w:cs="Arial" w:eastAsia="宋体" w:hAnsi="Arial"/>
                <w:b/>
                <w:bCs/>
                <w:sz w:val="20"/>
                <w:szCs w:val="24"/>
              </w:rPr>
              <w:t>《农作物病虫害防治条例》</w:t>
            </w:r>
            <w:r>
              <w:rPr>
                <w:rFonts w:ascii="Arial" w:cs="Arial" w:eastAsia="宋体" w:hAnsi="Arial"/>
                <w:sz w:val="20"/>
                <w:szCs w:val="24"/>
              </w:rPr>
              <w:t>普及应用信息技术、生物技术，推进农作物病虫害防治的智能化、专业化、绿色化。鼓励使用生态治理、健康栽培、生物防治、物理防治等绿色防控技术和先进施药机械以及安全、高效、经济的农药。</w:t>
            </w:r>
          </w:p>
          <w:p>
            <w:pPr>
              <w:pStyle w:val="style179"/>
              <w:ind w:firstLine="0" w:firstLineChars="0"/>
              <w:rPr>
                <w:rFonts w:ascii="Arial" w:cs="Arial" w:eastAsia="宋体" w:hAnsi="Arial"/>
                <w:sz w:val="20"/>
                <w:szCs w:val="24"/>
              </w:rPr>
            </w:pPr>
          </w:p>
          <w:p>
            <w:pPr>
              <w:pStyle w:val="style179"/>
              <w:ind w:firstLine="0" w:firstLineChars="0"/>
              <w:rPr>
                <w:rFonts w:ascii="Arial" w:cs="Arial" w:eastAsia="宋体" w:hAnsi="Arial"/>
                <w:sz w:val="20"/>
              </w:rPr>
            </w:pPr>
            <w:r>
              <w:rPr>
                <w:rFonts w:ascii="Arial" w:cs="Arial" w:eastAsia="宋体" w:hAnsi="Arial"/>
                <w:sz w:val="20"/>
                <w:szCs w:val="24"/>
              </w:rPr>
              <w:t>中国已形成了成熟的农药管理体系，并采用物理、生物等病虫害综合防治手段减少农药使用量。农药生产者和销售者取得许可证；农药使用者接受培训指导，妥善保管农药。中国政府于2015年制定了《到2020年农药使用量零增长行动方案》，针对农药使用量较大、施药方法不够科学带来的生产成本增加、农产品残留超标、作物药害、环境污染等问题，截至2020年，广西和贵州两省均已连续五年实现了农药使用量负增长。</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sz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iii）为涉及危险化学品生产、采购、使用和处置的工人提供符合国际指南和条约的培训。</w:t>
            </w:r>
          </w:p>
        </w:tc>
        <w:tc>
          <w:tcPr>
            <w:tcW w:w="10489"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lang w:val="en-GB"/>
              </w:rPr>
              <w:t>i</w:t>
            </w:r>
            <w:r>
              <w:rPr>
                <w:rFonts w:ascii="Arial" w:cs="Arial" w:eastAsia="宋体" w:hAnsi="Arial"/>
                <w:b/>
                <w:bCs/>
                <w:kern w:val="0"/>
                <w:sz w:val="20"/>
                <w:szCs w:val="20"/>
              </w:rPr>
              <w:t>)《危险化学品安全管理条例》(2013.12.7修订版)，《职业健康安全管理体系 要求及使用指南》(2020.3.6)，《用人单位职业病防治指南》(2010.8.1)</w:t>
            </w:r>
            <w:r>
              <w:rPr>
                <w:rFonts w:ascii="Arial" w:cs="Arial" w:eastAsia="宋体" w:hAnsi="Arial"/>
                <w:b/>
                <w:bCs/>
                <w:kern w:val="0"/>
                <w:sz w:val="20"/>
                <w:szCs w:val="20"/>
              </w:rPr>
              <w:br/>
            </w:r>
            <w:r>
              <w:rPr>
                <w:rFonts w:ascii="Arial" w:cs="Arial" w:eastAsia="宋体" w:hAnsi="Arial"/>
                <w:b/>
                <w:bCs/>
                <w:kern w:val="0"/>
                <w:sz w:val="20"/>
                <w:szCs w:val="20"/>
              </w:rPr>
              <w:t>ii)《危险化学品安全管理条例》第4条，</w:t>
            </w:r>
            <w:r>
              <w:rPr>
                <w:rFonts w:ascii="Arial" w:cs="Arial" w:eastAsia="宋体" w:hAnsi="Arial"/>
                <w:kern w:val="0"/>
                <w:sz w:val="20"/>
                <w:szCs w:val="20"/>
              </w:rPr>
              <w:t>危险化学品单位应当对从业人员进行安全教育、法制教育和岗位技术培训。从业人员应当接受教育和培训，考核合格后上岗作业。</w:t>
            </w:r>
            <w:r>
              <w:rPr>
                <w:rFonts w:ascii="Arial" w:cs="Arial" w:eastAsia="宋体" w:hAnsi="Arial"/>
                <w:kern w:val="0"/>
                <w:sz w:val="20"/>
                <w:szCs w:val="20"/>
              </w:rPr>
              <w:br/>
            </w:r>
            <w:r>
              <w:rPr>
                <w:rFonts w:ascii="Arial" w:cs="Arial" w:eastAsia="宋体" w:hAnsi="Arial"/>
                <w:b/>
                <w:bCs/>
                <w:kern w:val="0"/>
                <w:sz w:val="20"/>
                <w:szCs w:val="20"/>
              </w:rPr>
              <w:t>iii)《职业健康安全管理体系要求及使用指南》</w:t>
            </w:r>
            <w:r>
              <w:rPr>
                <w:rFonts w:ascii="Arial" w:cs="Arial" w:eastAsia="宋体" w:hAnsi="Arial"/>
                <w:kern w:val="0"/>
                <w:sz w:val="20"/>
                <w:szCs w:val="20"/>
              </w:rPr>
              <w:t>，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劳动安全、职业卫生的预评价；2）劳动安全、职业卫生、消防的验收报告；3）职业卫生、消防相关的检测报告；4）如果是化学危险品单位还有相应的化学品安全评估等相关报告：5）产品生产许可证复印件（有要求时）；6）企业法人营业执照副本复印件。要对以下内容进行全面审查：1）组织的安全生产许可证明；2）生产工艺流程图或服务提供流程图；3）组织机构图；4）适用的法律法规清单；5）地理位置示意图；6）厂区平面布置图；7）生产车间平面布置图；8）重大危险源清单；9）职业健康安全目标、指标和管理方案；10）守法证明等资料。</w:t>
            </w:r>
            <w:r>
              <w:rPr>
                <w:rFonts w:ascii="Arial" w:cs="Arial" w:eastAsia="宋体" w:hAnsi="Arial"/>
                <w:kern w:val="0"/>
                <w:sz w:val="20"/>
                <w:szCs w:val="20"/>
              </w:rPr>
              <w:br/>
            </w:r>
            <w:r>
              <w:rPr>
                <w:rFonts w:ascii="Arial" w:cs="Arial" w:eastAsia="宋体" w:hAnsi="Arial"/>
                <w:b/>
                <w:bCs/>
                <w:kern w:val="0"/>
                <w:sz w:val="20"/>
                <w:szCs w:val="20"/>
              </w:rPr>
              <w:t>iv)《用人单位职业病防治指南》：</w:t>
            </w:r>
            <w:r>
              <w:rPr>
                <w:rFonts w:ascii="Arial" w:cs="Arial" w:eastAsia="宋体" w:hAnsi="Arial"/>
                <w:kern w:val="0"/>
                <w:sz w:val="20"/>
                <w:szCs w:val="20"/>
              </w:rPr>
              <w:t>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要素8</w:t>
            </w:r>
            <w:r>
              <w:rPr>
                <w:rFonts w:ascii="Arial" w:cs="Arial" w:eastAsia="宋体" w:hAnsi="Arial"/>
                <w:kern w:val="0"/>
                <w:sz w:val="20"/>
                <w:szCs w:val="20"/>
              </w:rPr>
              <w:t>：在自然灾害易发区（如洪水、飓风、地震或其他气候事件）的项目活动，应采取措施避免、减少或减缓社区、个人和工人的风险。</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适用的法律有《气象灾害预防条例》（2010.4.1），《中华人民共和国防汛条例》（2005.7.15），《地质灾害防治条例》（2004.3.1），《防震减灾法》（2009.5.1）,v）《关于做好精准健康管理推进人员有序流动的通知》（联防联控机制综发﹝2020﹞203）。</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i)《气象灾害预防条例》第27条，</w:t>
            </w:r>
            <w:r>
              <w:rPr>
                <w:rFonts w:ascii="Arial" w:cs="Arial" w:eastAsia="宋体" w:hAnsi="Arial"/>
                <w:kern w:val="0"/>
                <w:sz w:val="20"/>
                <w:szCs w:val="20"/>
              </w:rPr>
              <w:t>县级以上人民政府有关部门在国家重大建设工程、重大区域性经济开发项目以及城乡规划编制中，应当统筹考虑气候可行性和气象灾害的风险性，避免、减轻气象灾害的影响。第23条，各类建（构）筑物、场所和设施安装雷电防护装置应当符合国家有关防雷标准的规定。新建、改建、扩建建（构）筑物、场所和设施的雷电防护装置应当与主体工程同时设计、同时施工、同时投入使用。</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ii)《中华人民共和国防汛条例》（2005.7.15），</w:t>
            </w:r>
            <w:r>
              <w:rPr>
                <w:rFonts w:ascii="Arial" w:cs="Arial" w:eastAsia="宋体" w:hAnsi="Arial"/>
                <w:kern w:val="0"/>
                <w:sz w:val="20"/>
                <w:szCs w:val="20"/>
              </w:rPr>
              <w:t>共8章49条，从组织机构、防汛准备、实施与抢险、善后工作、经费、奖惩等对抗洪防汛进行了系统安排。</w:t>
            </w:r>
          </w:p>
          <w:p>
            <w:pPr>
              <w:pStyle w:val="style0"/>
              <w:widowControl/>
              <w:jc w:val="left"/>
              <w:rPr>
                <w:rFonts w:ascii="Arial" w:cs="Arial" w:eastAsia="宋体" w:hAnsi="Arial"/>
                <w:kern w:val="0"/>
                <w:sz w:val="20"/>
                <w:szCs w:val="20"/>
              </w:rPr>
            </w:pPr>
            <w:r>
              <w:rPr>
                <w:rFonts w:ascii="Arial" w:cs="Arial" w:eastAsia="宋体" w:hAnsi="Arial"/>
                <w:kern w:val="0"/>
                <w:sz w:val="20"/>
                <w:szCs w:val="20"/>
              </w:rPr>
              <w:t>i</w:t>
            </w:r>
            <w:r>
              <w:rPr>
                <w:rFonts w:ascii="Arial" w:cs="Arial" w:eastAsia="宋体" w:hAnsi="Arial"/>
                <w:b/>
                <w:bCs/>
                <w:kern w:val="0"/>
                <w:sz w:val="20"/>
                <w:szCs w:val="20"/>
              </w:rPr>
              <w:t>ii)《地质灾害防治条例》第10条，</w:t>
            </w:r>
            <w:r>
              <w:rPr>
                <w:rFonts w:ascii="Arial" w:cs="Arial" w:eastAsia="宋体" w:hAnsi="Arial"/>
                <w:kern w:val="0"/>
                <w:sz w:val="20"/>
                <w:szCs w:val="20"/>
              </w:rPr>
              <w:t>国家、省、县均实行地址灾害调查制度。依据本行政区域的地质灾害调查结果和上一级地质灾害防治规划，编制本行政区域的地质灾害防治规划，经专家论证后报本级人民政府批准公布。此外，iv）《地质灾害防治条例》对地质灾害的调查、预防管理进行了系统化安排，如第3章，地址灾害预防，第4章，地质灾害应急，第5章，地质灾害治理，第6章，法律责任。</w:t>
            </w:r>
          </w:p>
          <w:p>
            <w:pPr>
              <w:pStyle w:val="style0"/>
              <w:jc w:val="left"/>
              <w:rPr>
                <w:rFonts w:ascii="Arial" w:cs="Arial" w:eastAsia="宋体" w:hAnsi="Arial"/>
                <w:kern w:val="0"/>
                <w:sz w:val="20"/>
                <w:szCs w:val="20"/>
              </w:rPr>
            </w:pPr>
            <w:r>
              <w:rPr>
                <w:rFonts w:ascii="Arial" w:cs="Arial" w:eastAsia="宋体" w:hAnsi="Arial"/>
                <w:b/>
                <w:bCs/>
                <w:kern w:val="0"/>
                <w:sz w:val="20"/>
                <w:szCs w:val="20"/>
              </w:rPr>
              <w:t>iv)《防震减灾法》第35条</w:t>
            </w:r>
            <w:r>
              <w:rPr>
                <w:rFonts w:ascii="Arial" w:cs="Arial" w:eastAsia="宋体" w:hAnsi="Arial"/>
                <w:kern w:val="0"/>
                <w:sz w:val="20"/>
                <w:szCs w:val="20"/>
              </w:rPr>
              <w:t>，新建、扩建、改建建设工程，应当达到抗震设防要求。重大建设工程和可能发生严重次生灾害的建设工程，应当按照国务院有关规定进行地震安全性评价，并按照经审定的地震安全性评价报告所确定的抗震设防要求进行抗震设防。建设工程的地震安全性评价单位应当按照国家有关标准进行地震安全性评价，并对地震安全性评价报告的质量负责。其它建设工程，应当按照地震烈度区划图或者地震动参数区划图所确定的抗震设防要求进行抗震设防；对学校、医院等人员密集场所的建设工程，应当按照高于当地房屋建筑的抗震设防要求进行设计和施工，采取有效措施，增强抗震设防能力。</w:t>
            </w:r>
          </w:p>
          <w:p>
            <w:pPr>
              <w:pStyle w:val="style0"/>
              <w:jc w:val="left"/>
              <w:rPr>
                <w:rFonts w:ascii="Arial" w:cs="Arial" w:eastAsia="宋体" w:hAnsi="Arial"/>
                <w:sz w:val="20"/>
              </w:rPr>
            </w:pPr>
            <w:r>
              <w:rPr>
                <w:rFonts w:ascii="Arial" w:cs="Arial" w:eastAsia="宋体" w:hAnsi="Arial"/>
                <w:b/>
                <w:bCs/>
                <w:sz w:val="20"/>
              </w:rPr>
              <w:t>v</w:t>
            </w:r>
            <w:r>
              <w:rPr>
                <w:rFonts w:ascii="Arial" w:cs="Arial" w:eastAsia="宋体" w:hAnsi="Arial"/>
                <w:b/>
                <w:bCs/>
                <w:kern w:val="0"/>
                <w:sz w:val="20"/>
                <w:szCs w:val="20"/>
              </w:rPr>
              <w:t>)</w:t>
            </w:r>
            <w:r>
              <w:rPr>
                <w:rFonts w:ascii="Arial" w:cs="Arial" w:eastAsia="宋体" w:hAnsi="Arial"/>
                <w:b/>
                <w:bCs/>
                <w:sz w:val="20"/>
              </w:rPr>
              <w:t>《关于做好精准健康管理推进人员有序流动的通知》（联防联控机制综发﹝2020﹞203），</w:t>
            </w:r>
            <w:r>
              <w:rPr>
                <w:rFonts w:ascii="Arial" w:cs="Arial" w:eastAsia="宋体" w:hAnsi="Arial"/>
                <w:sz w:val="20"/>
              </w:rPr>
              <w:t>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029" w:type="dxa"/>
            <w:gridSpan w:val="3"/>
            <w:tcBorders/>
            <w:shd w:val="clear" w:color="auto" w:fill="auto"/>
          </w:tcPr>
          <w:p>
            <w:pPr>
              <w:pStyle w:val="style0"/>
              <w:jc w:val="left"/>
              <w:rPr>
                <w:rFonts w:ascii="Arial" w:cs="Arial" w:eastAsia="宋体" w:hAnsi="Arial"/>
                <w:b/>
                <w:bCs/>
                <w:sz w:val="20"/>
              </w:rPr>
            </w:pPr>
            <w:r>
              <w:rPr>
                <w:rFonts w:ascii="Arial" w:cs="Arial" w:eastAsia="宋体" w:hAnsi="Arial"/>
                <w:b/>
                <w:bCs/>
                <w:kern w:val="0"/>
                <w:sz w:val="20"/>
                <w:szCs w:val="20"/>
              </w:rPr>
              <w:t>原则4. 以避免或尽量减少流离失所的方式管理土地征用和失去获取自然资源的机会，并协助受影响人民改善或至少恢复其生计和生活水平</w:t>
            </w:r>
          </w:p>
        </w:tc>
      </w:tr>
      <w:tr>
        <w:tblPrEx/>
        <w:trPr/>
        <w:tc>
          <w:tcPr>
            <w:tcW w:w="1413" w:type="dxa"/>
            <w:tcBorders/>
            <w:shd w:val="clear" w:color="auto" w:fill="auto"/>
          </w:tcPr>
          <w:p>
            <w:pPr>
              <w:pStyle w:val="style0"/>
              <w:jc w:val="left"/>
              <w:rPr>
                <w:rFonts w:ascii="Arial" w:cs="Arial" w:eastAsia="宋体" w:hAnsi="Arial"/>
                <w:kern w:val="0"/>
                <w:sz w:val="20"/>
                <w:szCs w:val="20"/>
              </w:rPr>
            </w:pPr>
            <w:r>
              <w:rPr>
                <w:rFonts w:ascii="Arial" w:cs="Arial" w:eastAsia="宋体" w:hAnsi="Arial"/>
                <w:b/>
                <w:bCs/>
                <w:kern w:val="0"/>
                <w:sz w:val="20"/>
                <w:szCs w:val="20"/>
              </w:rPr>
              <w:t>要素9</w:t>
            </w:r>
            <w:r>
              <w:rPr>
                <w:rFonts w:ascii="Arial" w:cs="Arial" w:eastAsia="宋体" w:hAnsi="Arial"/>
                <w:kern w:val="0"/>
                <w:sz w:val="20"/>
                <w:szCs w:val="20"/>
              </w:rPr>
              <w:t>：分6个要点：</w:t>
            </w:r>
          </w:p>
          <w:p>
            <w:pPr>
              <w:pStyle w:val="style0"/>
              <w:jc w:val="left"/>
              <w:rPr>
                <w:rFonts w:ascii="Arial" w:cs="Arial" w:eastAsia="宋体" w:hAnsi="Arial"/>
                <w:sz w:val="20"/>
              </w:rPr>
            </w:pPr>
            <w:r>
              <w:rPr>
                <w:rFonts w:ascii="Arial" w:cs="Arial" w:eastAsia="宋体" w:hAnsi="Arial"/>
                <w:kern w:val="0"/>
                <w:sz w:val="20"/>
                <w:szCs w:val="20"/>
              </w:rPr>
              <w:t>i) 避免或尽量减少土地征用和相关的不利影响</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有关法律法规有《建设项目用地预审管理办法》（2017），《土地管理法》（2020.1.1修订版）,《土地管理法实施条例》（2014年修订），</w:t>
            </w:r>
            <w:r>
              <w:rPr>
                <w:rFonts w:ascii="Arial" w:cs="Arial" w:eastAsia="宋体" w:hAnsi="Arial"/>
                <w:b/>
                <w:bCs/>
                <w:sz w:val="22"/>
              </w:rPr>
              <w:t>《广西壮族自治区自然资源厅 广西壮族自治区农业农村厅关于进一步加强和规范我区设施农业用地管理的通知》（桂自然资规【2020】3号），《贵州省自然资源厅 贵州省农业农村厅关于设施农业用地管理有关问题的通知》（黔自然资规〔2020〕1号）</w:t>
            </w:r>
            <w:r>
              <w:rPr>
                <w:rFonts w:ascii="Arial" w:cs="Arial" w:eastAsia="宋体" w:hAnsi="Arial"/>
                <w:b/>
                <w:bCs/>
                <w:kern w:val="0"/>
                <w:sz w:val="20"/>
                <w:szCs w:val="20"/>
              </w:rPr>
              <w:t>。</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i)《建设项目用地预审管理办法》</w:t>
            </w:r>
            <w:r>
              <w:rPr>
                <w:rFonts w:ascii="Arial" w:cs="Arial" w:eastAsia="宋体" w:hAnsi="Arial"/>
                <w:kern w:val="0"/>
                <w:sz w:val="20"/>
                <w:szCs w:val="20"/>
              </w:rPr>
              <w:t>要求在审批项目可行性研究报告或审核项目建议书前，对拟提供给项目的土地面积和类型进行鉴别，避免项目征用基本农田、自然保护区等土地；</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ii)《关于建立健全重大决策事项社会稳定风险评估机制的指导意见（试行）》</w:t>
            </w:r>
            <w:r>
              <w:rPr>
                <w:rFonts w:ascii="Arial" w:cs="Arial" w:eastAsia="宋体" w:hAnsi="Arial"/>
                <w:kern w:val="0"/>
                <w:sz w:val="20"/>
                <w:szCs w:val="20"/>
              </w:rPr>
              <w:t>（中办发〔2012〕2号）明确，涉及征地拆迁、农民负担、社会保障的建设项目要开展社会稳定风险评价。</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iii)《关于建立重大决策事项社会稳定风险评估机制指导意见（试行）》</w:t>
            </w:r>
            <w:r>
              <w:rPr>
                <w:rFonts w:ascii="Arial" w:cs="Arial" w:eastAsia="宋体" w:hAnsi="Arial"/>
                <w:kern w:val="0"/>
                <w:sz w:val="20"/>
                <w:szCs w:val="20"/>
              </w:rPr>
              <w:t>中规定，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对影响和风险管理，要评估措施的合法性、合理性、可行性和可控性。</w:t>
            </w:r>
          </w:p>
          <w:p>
            <w:pPr>
              <w:pStyle w:val="style0"/>
              <w:widowControl/>
              <w:jc w:val="left"/>
              <w:rPr>
                <w:rFonts w:ascii="Arial" w:cs="Arial" w:eastAsia="宋体" w:hAnsi="Arial"/>
                <w:b/>
                <w:bCs/>
                <w:sz w:val="20"/>
              </w:rPr>
            </w:pPr>
            <w:r>
              <w:rPr>
                <w:rFonts w:ascii="Arial" w:cs="Arial" w:eastAsia="宋体" w:hAnsi="Arial"/>
                <w:b/>
                <w:bCs/>
                <w:sz w:val="20"/>
              </w:rPr>
              <w:t>iv)</w:t>
            </w:r>
            <w:r>
              <w:rPr>
                <w:rFonts w:ascii="Arial" w:cs="Arial" w:eastAsia="宋体" w:hAnsi="Arial"/>
                <w:b/>
                <w:bCs/>
              </w:rPr>
              <w:t xml:space="preserve"> </w:t>
            </w:r>
            <w:r>
              <w:rPr>
                <w:rFonts w:ascii="Arial" w:cs="Arial" w:eastAsia="宋体" w:hAnsi="Arial"/>
                <w:b/>
                <w:bCs/>
                <w:sz w:val="20"/>
              </w:rPr>
              <w:t>《广西壮族自治区自然资源厅 广西壮族自治区农业农村厅关于进一步加强和规范我区设施农业用地管理的通知》（桂自然资规【2020】3号）</w:t>
            </w:r>
            <w:r>
              <w:rPr>
                <w:rFonts w:ascii="Arial" w:cs="Arial" w:eastAsia="宋体" w:hAnsi="Arial"/>
                <w:sz w:val="20"/>
              </w:rPr>
              <w:t>中规定，各地要严格执行国土空间规划和农业产业发展规划，在保护耕地和区域生态环境、集约节约用地的前提下，积极引导设施建设合理选址，尽量利用荒山荒坡、滩涂、坑塘水面以及闲置建设用地，避免使用耕地，特别是优质耕地和永久基本农田。畜禽（蚕）养殖可以利用未利用地或低效闲置土地的，以及水产养殖可以利用原坑塘水面的，应避免占用耕地。要积极通过耕作层土壤剥离利用、架空或预制板铺面隔离等技术措施，尽量减少对耕作层的破坏。</w:t>
            </w:r>
          </w:p>
          <w:p>
            <w:pPr>
              <w:pStyle w:val="style0"/>
              <w:widowControl/>
              <w:jc w:val="left"/>
              <w:rPr>
                <w:rFonts w:ascii="Arial" w:cs="Arial" w:eastAsia="宋体" w:hAnsi="Arial"/>
                <w:b/>
                <w:bCs/>
                <w:sz w:val="20"/>
              </w:rPr>
            </w:pPr>
            <w:r>
              <w:rPr>
                <w:rFonts w:ascii="Arial" w:cs="Arial" w:eastAsia="宋体" w:hAnsi="Arial"/>
                <w:b/>
                <w:bCs/>
                <w:sz w:val="20"/>
              </w:rPr>
              <w:t>v)</w:t>
            </w:r>
            <w:r>
              <w:rPr>
                <w:rFonts w:ascii="Arial" w:cs="Arial" w:eastAsia="宋体" w:hAnsi="Arial"/>
              </w:rPr>
              <w:t xml:space="preserve"> </w:t>
            </w:r>
            <w:r>
              <w:rPr>
                <w:rFonts w:ascii="Arial" w:cs="Arial" w:eastAsia="宋体" w:hAnsi="Arial"/>
                <w:b/>
                <w:bCs/>
                <w:sz w:val="20"/>
              </w:rPr>
              <w:t>《贵州省自然资源厅 贵州省农业农村厅关于设施农业用地管理有关问题的通知》（黔自然资规〔2020〕1号）</w:t>
            </w:r>
            <w:r>
              <w:rPr>
                <w:rFonts w:ascii="Arial" w:cs="Arial" w:eastAsia="宋体" w:hAnsi="Arial"/>
                <w:sz w:val="20"/>
              </w:rPr>
              <w:t>中规定，县级人民政府应做好辖区内设施农业用地选址的统筹协调。乡镇政府组织村集体经济组织和经营者，在县级自然资源主管部门和农业农村主管部门的指导下，依据国土空间规划或土地利用总体规划、农业发展规划、村庄规划，在保护耕地和合理利用土地的前提下，用好自然资源、农业、林业等各类政策，按照设施建设方案，综合施策，合理确定设施建设用地位置、范围。设施建设应尽量利用荒山荒坡等未利用地和农村集体建设用地，尽量避免占用坝区耕地。</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sz w:val="20"/>
              </w:rPr>
              <w:t>ii) 识别并解决因征地或丧失自然资源而造成的经济和社会影响</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i)《土地管理法》第26条，</w:t>
            </w:r>
            <w:r>
              <w:rPr>
                <w:rFonts w:ascii="Arial" w:cs="Arial" w:eastAsia="宋体" w:hAnsi="Arial"/>
                <w:kern w:val="0"/>
                <w:sz w:val="20"/>
                <w:szCs w:val="20"/>
              </w:rPr>
              <w:t>被征收土地的所有权人、使用权人应当在公告规定期限内，持土地权属证书到当地人民政府土地行政主管部门办理征地补偿登记。国家征收土地的，依照法定程序批准后，由县级以上地方人民政府予以公告并组织实施。</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ii)《土地管理法实施条例》第25条规定，</w:t>
            </w:r>
            <w:r>
              <w:rPr>
                <w:rFonts w:ascii="Arial" w:cs="Arial" w:eastAsia="宋体" w:hAnsi="Arial"/>
                <w:kern w:val="0"/>
                <w:sz w:val="20"/>
                <w:szCs w:val="20"/>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r>
              <w:rPr>
                <w:rFonts w:ascii="Arial" w:cs="Arial" w:eastAsia="宋体" w:hAnsi="Arial"/>
                <w:b/>
                <w:bCs/>
                <w:kern w:val="0"/>
                <w:sz w:val="20"/>
                <w:szCs w:val="20"/>
              </w:rPr>
              <w:t>第26条,</w:t>
            </w:r>
            <w:r>
              <w:rPr>
                <w:rFonts w:ascii="Arial" w:cs="Arial" w:eastAsia="宋体" w:hAnsi="Arial"/>
                <w:kern w:val="0"/>
                <w:sz w:val="20"/>
                <w:szCs w:val="20"/>
              </w:rPr>
              <w:t>土地补偿费归农村集体经济组织所有；地上附着物及青苗补偿费归地上附着物及青苗的所有者所有。</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iii) 提供足够的补偿，以购买等值的重置资产，并支付在取得土地或限制进入之前所需的过渡费用。</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kern w:val="0"/>
                <w:sz w:val="20"/>
                <w:szCs w:val="20"/>
              </w:rPr>
              <w:t>适用的法律法规有</w:t>
            </w:r>
            <w:r>
              <w:rPr>
                <w:rFonts w:ascii="Arial" w:cs="Arial" w:eastAsia="宋体" w:hAnsi="Arial"/>
                <w:b/>
                <w:bCs/>
                <w:kern w:val="0"/>
                <w:sz w:val="20"/>
                <w:szCs w:val="20"/>
              </w:rPr>
              <w:t>《物权法》（2007.3），《土地管理法》，《国有土地上房屋征收与补偿条例》（国务院令【2011】590号）（2011.1.21），《国有土地上房屋征收评估办法》的通知（建房【2011】77号）（2011-6-3）, 《广西壮族自治区人民政府办公厅关于 实施征地区片综合地价的通知》 （桂政办函〔2020〕5号），《贵州省人民政府办公厅关于实施征地区片综合地价的通知》（黔府办函〔2020〕68号），</w:t>
            </w:r>
            <w:r>
              <w:rPr>
                <w:rFonts w:ascii="Arial" w:cs="Arial" w:eastAsia="宋体" w:hAnsi="Arial"/>
              </w:rPr>
              <w:t>《</w:t>
            </w:r>
            <w:r>
              <w:rPr>
                <w:rFonts w:ascii="Arial" w:cs="Arial" w:eastAsia="宋体" w:hAnsi="Arial"/>
                <w:b/>
                <w:bCs/>
                <w:kern w:val="0"/>
                <w:sz w:val="20"/>
                <w:szCs w:val="20"/>
              </w:rPr>
              <w:t>广西壮族自治区人民政府关于贯彻《国有土地上房屋征收与补偿条例》的通知》（桂政电〔2011〕36 号），《贵州省人民政府办公厅关于贯彻落实《国有土地上房屋征收与补偿条例》的通知》(黔府办发〔2011〕53号)，《贵州省人民政府办公厅关于印发《贵州省国有土地上房屋征收补偿住房保障办法(暂行)》、《贵州省国有土地上房屋征收评估机构选定办法(暂行)》、《贵州省国有土地上房屋征收停产停业损失补偿指导意见》的通知》，《中华人民共和国农产品质量安全法》（2018.10.26），《农药管理条例）》（2017.2.8），《农用地土壤环境管理办法（试行）》（2017.9.25），《农业农村部办公厅关于肥料包装废弃物回收处理的指导意见》（2020.1.16），《农用薄膜管理办法》（2020.4.24）</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i)《物权法》第42条，</w:t>
            </w:r>
            <w:r>
              <w:rPr>
                <w:rFonts w:ascii="Arial" w:cs="Arial" w:eastAsia="宋体" w:hAnsi="Arial"/>
                <w:kern w:val="0"/>
                <w:sz w:val="20"/>
                <w:szCs w:val="20"/>
              </w:rPr>
              <w:t>征收集体所有的土地，应当依法足额支付土地补偿费、安置补助费、地上附着物和青苗的补偿费等费用，安排被征地农民的社会保障费用，保障被征地农民的生活，维护被征地农民的合法权益。征收单位、个人的房屋及其他不动产，应当依法给予拆迁补偿，维护被征收人的合法权益；征收个人住宅的，还应当保障被征收人的居住条件。</w:t>
            </w:r>
            <w:r>
              <w:rPr>
                <w:rFonts w:ascii="Arial" w:cs="Arial" w:eastAsia="宋体" w:hAnsi="Arial"/>
                <w:kern w:val="0"/>
                <w:sz w:val="20"/>
                <w:szCs w:val="20"/>
              </w:rPr>
              <w:br/>
            </w:r>
            <w:r>
              <w:rPr>
                <w:rFonts w:ascii="Arial" w:cs="Arial" w:eastAsia="宋体" w:hAnsi="Arial"/>
                <w:b/>
                <w:bCs/>
                <w:kern w:val="0"/>
                <w:sz w:val="20"/>
                <w:szCs w:val="20"/>
              </w:rPr>
              <w:t>ii)《土地管理法》第48条，</w:t>
            </w:r>
            <w:r>
              <w:rPr>
                <w:rFonts w:ascii="Arial" w:cs="Arial" w:eastAsia="宋体" w:hAnsi="Arial"/>
                <w:kern w:val="0"/>
                <w:sz w:val="20"/>
                <w:szCs w:val="20"/>
              </w:rPr>
              <w:t>征收土地应当给予公平、合理的补偿。征收土地应当依法及时足额支付土地补偿费、安置补助费以及农村村民住宅、其他地上附着物和青苗等的补偿费用，并安排被征地农民的社会保障费用。</w:t>
            </w:r>
            <w:r>
              <w:rPr>
                <w:rFonts w:ascii="Arial" w:cs="Arial" w:eastAsia="宋体" w:hAnsi="Arial"/>
                <w:kern w:val="0"/>
                <w:sz w:val="20"/>
                <w:szCs w:val="20"/>
              </w:rPr>
              <w:br/>
            </w:r>
            <w:r>
              <w:rPr>
                <w:rFonts w:ascii="Arial" w:cs="Arial" w:eastAsia="宋体" w:hAnsi="Arial"/>
                <w:b/>
                <w:bCs/>
                <w:kern w:val="0"/>
                <w:sz w:val="20"/>
                <w:szCs w:val="20"/>
              </w:rPr>
              <w:t>iii)《国有土地上房屋征收与补偿条例》（国务院令【2011】590号）（2011.1.21）</w:t>
            </w:r>
            <w:r>
              <w:rPr>
                <w:rFonts w:ascii="Arial" w:cs="Arial" w:eastAsia="宋体" w:hAnsi="Arial"/>
                <w:kern w:val="0"/>
                <w:sz w:val="20"/>
                <w:szCs w:val="20"/>
              </w:rPr>
              <w:t>第19条，对被征收房屋价值的补偿，不得低于房屋征收决定公告之日被征收房屋类似房地产的市场价格。被征收房屋的价值，由具有相应资质的房地产价格评估机构按照房屋征收评估办法评估确定。对评估确定的被征收房屋价值有异议的，可以向房地产价格评估机构申请复核评估。对复核结果有异议的，可以向房地产价格评估专家委员会申请鉴定。</w:t>
            </w:r>
            <w:r>
              <w:rPr>
                <w:rFonts w:ascii="Arial" w:cs="Arial" w:eastAsia="宋体" w:hAnsi="Arial"/>
                <w:kern w:val="0"/>
                <w:sz w:val="20"/>
                <w:szCs w:val="20"/>
              </w:rPr>
              <w:br/>
            </w:r>
            <w:r>
              <w:rPr>
                <w:rFonts w:ascii="Arial" w:cs="Arial" w:eastAsia="宋体" w:hAnsi="Arial"/>
                <w:b/>
                <w:bCs/>
                <w:kern w:val="0"/>
                <w:sz w:val="20"/>
                <w:szCs w:val="20"/>
              </w:rPr>
              <w:t>iv)《国有土地上房屋征收评估办法》的通知（建房【2011】77号）（2011-6-3）</w:t>
            </w:r>
            <w:r>
              <w:rPr>
                <w:rFonts w:ascii="Arial" w:cs="Arial" w:eastAsia="宋体" w:hAnsi="Arial"/>
                <w:kern w:val="0"/>
                <w:sz w:val="20"/>
                <w:szCs w:val="20"/>
              </w:rPr>
              <w:t>，第16条，房地产价格评估机构应当按照房屋征收委托书或者委托合同的约定，向房屋征收部门提供分户的初步评估结果。房屋征收部门应当将分户的初步评估结果在征收范围内向被征收人公示。公示期建，房地产价格评估机构应当安排注册地产估价师对分户的初步评估结果进行现场解释说明。存在错误的，房地产价格评估机构应当修正。</w:t>
            </w:r>
            <w:r>
              <w:rPr>
                <w:rFonts w:ascii="Arial" w:cs="Arial" w:eastAsia="宋体" w:hAnsi="Arial"/>
                <w:kern w:val="0"/>
                <w:sz w:val="20"/>
                <w:szCs w:val="20"/>
              </w:rPr>
              <w:br/>
            </w:r>
            <w:r>
              <w:rPr>
                <w:rFonts w:ascii="Arial" w:cs="Arial" w:eastAsia="宋体" w:hAnsi="Arial"/>
                <w:b/>
                <w:bCs/>
                <w:kern w:val="0"/>
                <w:sz w:val="20"/>
                <w:szCs w:val="20"/>
              </w:rPr>
              <w:t>v) 《广西壮族自治区人民政府办公厅关于实施征地区片综合地价的通知》 （桂政办函〔2020〕5号）</w:t>
            </w:r>
            <w:r>
              <w:rPr>
                <w:rFonts w:ascii="Arial" w:cs="Arial" w:eastAsia="宋体" w:hAnsi="Arial"/>
                <w:kern w:val="0"/>
                <w:sz w:val="20"/>
                <w:szCs w:val="20"/>
              </w:rPr>
              <w:t>，征地区片综合地价包括土地补偿费和安置补助费，不包括被征地农民社会保障费用、农村村民住宅、其他地上附作物和青苗等补偿费用。各市、县在制定具体征地补偿安置方案时，将青苗补偿费、地上附着物补偿费和社会保障费用单独列支，不得纳入征地区片综合地价标准，不得挤占土地补偿费和安置补助费。征地区片综合地价由土地补偿费和安置补助费组成，构成比例为1</w:t>
            </w:r>
            <w:r>
              <w:rPr>
                <w:rFonts w:ascii="Cambria Math" w:cs="Cambria Math" w:eastAsia="宋体" w:hAnsi="Cambria Math"/>
                <w:kern w:val="0"/>
                <w:sz w:val="20"/>
                <w:szCs w:val="20"/>
              </w:rPr>
              <w:t>∶</w:t>
            </w:r>
            <w:r>
              <w:rPr>
                <w:rFonts w:ascii="Arial" w:cs="Arial" w:eastAsia="宋体" w:hAnsi="Arial"/>
                <w:kern w:val="0"/>
                <w:sz w:val="20"/>
                <w:szCs w:val="20"/>
              </w:rPr>
              <w:t>1，不包括法律规定被征地农民养老保险缴费补贴、征地涉及的青苗和地上附着物等补偿费用。</w:t>
            </w:r>
            <w:r>
              <w:rPr>
                <w:rFonts w:ascii="Arial" w:cs="Arial" w:eastAsia="宋体" w:hAnsi="Arial"/>
                <w:b/>
                <w:bCs/>
                <w:kern w:val="0"/>
                <w:sz w:val="20"/>
                <w:szCs w:val="20"/>
              </w:rPr>
              <w:t>贵州省人民政府办公厅关于实施征地区片综合地价的通知》（黔府办函〔2020〕68号）</w:t>
            </w:r>
            <w:r>
              <w:rPr>
                <w:rFonts w:ascii="Arial" w:cs="Arial" w:eastAsia="宋体" w:hAnsi="Arial"/>
                <w:kern w:val="0"/>
                <w:sz w:val="20"/>
                <w:szCs w:val="20"/>
              </w:rPr>
              <w:t>明确征地区片综合地价60%为安置补助费、40%为土地补偿费;征收未利用地的，全部为土地补偿费。被征收土地上有青苗的，由县级人民政府按照当季该作物的实际产值补偿。被征收土地上的附着物，按照当地有关规定或者双方约定的标准给予补偿;没有规定、约定或者约定不成的，由县级人民政府根据实际损失价值确定。</w:t>
            </w:r>
            <w:r>
              <w:rPr>
                <w:rFonts w:ascii="Arial" w:cs="Arial" w:eastAsia="宋体" w:hAnsi="Arial"/>
                <w:kern w:val="0"/>
                <w:sz w:val="20"/>
                <w:szCs w:val="20"/>
              </w:rPr>
              <w:br/>
            </w:r>
            <w:r>
              <w:rPr>
                <w:rFonts w:ascii="Arial" w:cs="Arial" w:eastAsia="宋体" w:hAnsi="Arial"/>
                <w:b/>
                <w:bCs/>
                <w:kern w:val="0"/>
                <w:sz w:val="20"/>
                <w:szCs w:val="20"/>
              </w:rPr>
              <w:t xml:space="preserve"> vi)</w:t>
            </w:r>
            <w:r>
              <w:rPr>
                <w:rFonts w:ascii="Arial" w:cs="Arial" w:eastAsia="宋体" w:hAnsi="Arial"/>
              </w:rPr>
              <w:t xml:space="preserve"> 《</w:t>
            </w:r>
            <w:r>
              <w:rPr>
                <w:rFonts w:ascii="Arial" w:cs="Arial" w:eastAsia="宋体" w:hAnsi="Arial"/>
                <w:b/>
                <w:bCs/>
                <w:kern w:val="0"/>
                <w:sz w:val="20"/>
                <w:szCs w:val="20"/>
              </w:rPr>
              <w:t>广西壮族自治区人民政府关于贯彻《国有土地上房屋征收与补偿条例》的通知》（桂政电〔2011〕36 号）</w:t>
            </w:r>
            <w:r>
              <w:rPr>
                <w:rFonts w:ascii="Arial" w:cs="Arial" w:eastAsia="宋体" w:hAnsi="Arial"/>
                <w:kern w:val="0"/>
                <w:sz w:val="20"/>
                <w:szCs w:val="20"/>
              </w:rPr>
              <w:t>规定住宅房屋征收实行产权置换的应当实行套内面积“拆一还一，适当扩大面积”的原则；住宅房屋被征收人符合住房保障条件的，作出房屋征收决定的市、县人民政府应当将其优先纳入住房保障范围；被征收房屋的价值由具有三级（含三级）以上资质的房地产价格评估机构评估；评估应当执行国家标准、地方标准和征收评估办法；设区城市应当成立评估专家委员会；房地产价格评估机构由被征收人协商选定。被征收人在十五个工作日内协商不成的，可由征收实施单位组织，通过公开摇号等方式随机确定；任何地区和部门不得以各种理由拒绝没有不良行为记录的房地产价格评估机构参与房屋征收评估工作。</w:t>
            </w:r>
            <w:r>
              <w:rPr>
                <w:rFonts w:ascii="Arial" w:cs="Arial" w:eastAsia="宋体" w:hAnsi="Arial"/>
                <w:b/>
                <w:bCs/>
                <w:kern w:val="0"/>
                <w:sz w:val="20"/>
                <w:szCs w:val="20"/>
              </w:rPr>
              <w:t>《贵州省人民政府办公厅关于贯彻落实《国有土地上房屋征收与补偿条例》的通知》(黔府办发〔2011〕53号</w:t>
            </w:r>
            <w:r>
              <w:rPr>
                <w:rFonts w:ascii="Arial" w:cs="Arial" w:eastAsia="宋体" w:hAnsi="Arial"/>
                <w:kern w:val="0"/>
                <w:sz w:val="20"/>
                <w:szCs w:val="20"/>
              </w:rPr>
              <w:t>)</w:t>
            </w:r>
            <w:r>
              <w:rPr>
                <w:rFonts w:ascii="Arial" w:cs="Arial" w:eastAsia="宋体" w:hAnsi="Arial"/>
                <w:b/>
                <w:bCs/>
                <w:kern w:val="0"/>
                <w:sz w:val="20"/>
                <w:szCs w:val="20"/>
              </w:rPr>
              <w:t>：</w:t>
            </w:r>
            <w:r>
              <w:rPr>
                <w:rFonts w:ascii="Arial" w:cs="Arial" w:eastAsia="宋体" w:hAnsi="Arial"/>
                <w:kern w:val="0"/>
                <w:sz w:val="20"/>
                <w:szCs w:val="20"/>
              </w:rPr>
              <w:t>坚持“先补偿、后搬迁”的原则，凡被征收人没有得到依法合理补偿的，一律不得强迫被征收人搬迁。各市(州、地)、县(市、区)人民政府必须确保征收补偿资金按时到位、专户存储、专款专用，足额补偿给被征收人。房屋征收部门既要充分尊重被征收人在选择产权交换、货币补偿等方面的意愿。对于采取产权调换方式补偿的，要提供房屋手续合法、符合国家强制性规范和各项技术要求、质量合格、价格合理、户型合适、能满足基本居住需求的房屋供被征收人选择。各市(州、地)、县(市、区)人民政府要加强对用于产权调换房屋的监管，维护被征收人合法权益。此外，</w:t>
            </w:r>
            <w:r>
              <w:rPr>
                <w:rFonts w:ascii="Arial" w:cs="Arial" w:eastAsia="宋体" w:hAnsi="Arial"/>
                <w:b/>
                <w:bCs/>
                <w:kern w:val="0"/>
                <w:sz w:val="20"/>
                <w:szCs w:val="20"/>
              </w:rPr>
              <w:t>《贵州省人民政府办公厅关于印发《贵州省国有土地上房屋征收补偿住房保障办法(暂行)》、《贵州省国有土地上房屋征收评估机构选定办法(暂行)》、《贵州省国有土地上房屋征收停产停业损失补偿指导意见》的通知》</w:t>
            </w:r>
            <w:r>
              <w:rPr>
                <w:rFonts w:ascii="Arial" w:cs="Arial" w:eastAsia="宋体" w:hAnsi="Arial"/>
                <w:kern w:val="0"/>
                <w:sz w:val="20"/>
                <w:szCs w:val="20"/>
              </w:rPr>
              <w:t>，对国有土地上房屋拆迁涉及的住房保障、房屋评估机构选定以及停产停业损失补偿进行了规定。</w:t>
            </w:r>
          </w:p>
          <w:p>
            <w:pPr>
              <w:pStyle w:val="style0"/>
              <w:widowControl/>
              <w:jc w:val="left"/>
              <w:rPr>
                <w:rFonts w:ascii="Arial" w:cs="Arial" w:eastAsia="宋体" w:hAnsi="Arial"/>
                <w:sz w:val="20"/>
              </w:rPr>
            </w:pPr>
            <w:r>
              <w:rPr>
                <w:rFonts w:ascii="Arial" w:cs="Arial" w:eastAsia="宋体" w:hAnsi="Arial"/>
                <w:kern w:val="0"/>
                <w:sz w:val="20"/>
                <w:szCs w:val="20"/>
              </w:rPr>
              <w:t>v</w:t>
            </w:r>
            <w:r>
              <w:rPr>
                <w:rFonts w:ascii="Arial" w:cs="Arial" w:eastAsia="宋体" w:hAnsi="Arial"/>
                <w:b/>
                <w:bCs/>
                <w:kern w:val="0"/>
                <w:sz w:val="20"/>
                <w:szCs w:val="20"/>
              </w:rPr>
              <w:t>ii)《中华人民共和国农产品质量安全法》</w:t>
            </w:r>
            <w:r>
              <w:rPr>
                <w:rFonts w:ascii="Arial" w:cs="Arial" w:eastAsia="宋体" w:hAnsi="Arial"/>
                <w:kern w:val="0"/>
                <w:sz w:val="20"/>
                <w:szCs w:val="20"/>
              </w:rPr>
              <w:t>对整个农产品生产过程（包括种植地的选择，种植过程中农药化肥使用控制等提出了要求。</w:t>
            </w:r>
            <w:r>
              <w:rPr>
                <w:rFonts w:ascii="Arial" w:cs="Arial" w:eastAsia="宋体" w:hAnsi="Arial"/>
                <w:b/>
                <w:bCs/>
                <w:kern w:val="0"/>
                <w:sz w:val="20"/>
                <w:szCs w:val="20"/>
              </w:rPr>
              <w:t>《农药管理条例）》</w:t>
            </w:r>
            <w:r>
              <w:rPr>
                <w:rFonts w:ascii="Arial" w:cs="Arial" w:eastAsia="宋体" w:hAnsi="Arial"/>
                <w:kern w:val="0"/>
                <w:sz w:val="20"/>
                <w:szCs w:val="20"/>
              </w:rPr>
              <w:t>对农药生产、注册、销售和使用提出了明确的要求。</w:t>
            </w:r>
            <w:r>
              <w:rPr>
                <w:rFonts w:ascii="Arial" w:cs="Arial" w:eastAsia="宋体" w:hAnsi="Arial"/>
                <w:b/>
                <w:bCs/>
                <w:kern w:val="0"/>
                <w:sz w:val="20"/>
                <w:szCs w:val="20"/>
              </w:rPr>
              <w:t>《农用地土壤环境管理办法（试行）》</w:t>
            </w:r>
            <w:r>
              <w:rPr>
                <w:rFonts w:ascii="Arial" w:cs="Arial" w:eastAsia="宋体" w:hAnsi="Arial"/>
                <w:kern w:val="0"/>
                <w:sz w:val="20"/>
                <w:szCs w:val="20"/>
              </w:rPr>
              <w:t>是为加强农用地土壤环境保护监督管理，依据相关法律法规和“土十条”的要求，生态环境部和农业农村部联合制定并发布了本办法。该法要求县级以上地方农业主管部门应当加强农用地土壤污染防治知识宣传，提高农业生产者的农用地土壤环境保护意识，引导农业生产者合理使用肥料、农药、兽药、农用薄膜等农业投入品。</w:t>
            </w:r>
            <w:r>
              <w:rPr>
                <w:rFonts w:ascii="Arial" w:cs="Arial" w:eastAsia="宋体" w:hAnsi="Arial"/>
                <w:b/>
                <w:bCs/>
                <w:kern w:val="0"/>
                <w:sz w:val="20"/>
                <w:szCs w:val="20"/>
              </w:rPr>
              <w:t>《农业农村部办公厅关于肥料包装废弃物回收处理的指导意见》</w:t>
            </w:r>
            <w:r>
              <w:rPr>
                <w:rFonts w:ascii="Arial" w:cs="Arial" w:eastAsia="宋体" w:hAnsi="Arial"/>
                <w:kern w:val="0"/>
                <w:sz w:val="20"/>
                <w:szCs w:val="20"/>
              </w:rPr>
              <w:t>明确了肥料包装废弃物处置的基本原则为“谁生产，谁回收；谁销售，谁回收；谁使用，谁回收”。</w:t>
            </w:r>
            <w:r>
              <w:rPr>
                <w:rFonts w:ascii="Arial" w:cs="Arial" w:eastAsia="宋体" w:hAnsi="Arial"/>
                <w:b/>
                <w:bCs/>
                <w:kern w:val="0"/>
                <w:sz w:val="20"/>
                <w:szCs w:val="20"/>
              </w:rPr>
              <w:t>《农用薄膜管理办法》第14条，</w:t>
            </w:r>
            <w:r>
              <w:rPr>
                <w:rFonts w:ascii="Arial" w:cs="Arial" w:eastAsia="宋体" w:hAnsi="Arial"/>
                <w:kern w:val="0"/>
                <w:sz w:val="20"/>
                <w:szCs w:val="20"/>
              </w:rPr>
              <w:t>农用薄膜回收实行政府扶持、多方参与的原则，各地要采取措施，鼓励、支持单位和个人回收农用薄膜。</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iv) 如果征用土地导致丧失创收机会（例如，农作物生产或就业损失），则提供补充的生计改善或恢复措施。</w:t>
            </w:r>
          </w:p>
        </w:tc>
        <w:tc>
          <w:tcPr>
            <w:tcW w:w="10489"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适用的法规包括</w:t>
            </w:r>
            <w:r>
              <w:rPr>
                <w:rFonts w:ascii="Arial" w:cs="Arial" w:eastAsia="宋体" w:hAnsi="Arial"/>
                <w:b/>
                <w:bCs/>
                <w:kern w:val="0"/>
                <w:sz w:val="20"/>
                <w:szCs w:val="20"/>
              </w:rPr>
              <w:t>《土地管理法》,《关于完善征地补偿安置制度的指导意见（国土资发【2004】238号）》,《关于做好被征地农民就业培训和社会保障工作的指导意见（国发【2006】29号）》,《劳动和社会保障部土地资源部文件关于切实做好被征地农民社会保障工作有关问题的通知（劳社部发【2007】14号）》,《广西壮族自治区人民政府办公厅关于 实施征地区片综合地价的通知》 （桂政办函〔2020〕5号）,</w:t>
            </w:r>
            <w:r>
              <w:rPr>
                <w:rFonts w:ascii="Arial" w:cs="Arial" w:eastAsia="宋体" w:hAnsi="Arial"/>
              </w:rPr>
              <w:t xml:space="preserve"> </w:t>
            </w:r>
            <w:r>
              <w:rPr>
                <w:rFonts w:ascii="Arial" w:cs="Arial" w:eastAsia="宋体" w:hAnsi="Arial"/>
                <w:b/>
                <w:bCs/>
                <w:kern w:val="0"/>
                <w:sz w:val="20"/>
                <w:szCs w:val="20"/>
              </w:rPr>
              <w:t>《贵州省人民政府关于进一步做好被征地农民就业和社会保障工作的意见》（黔府发〔2011〕26号）</w:t>
            </w:r>
            <w:r>
              <w:rPr>
                <w:rFonts w:ascii="Arial" w:cs="Arial" w:eastAsia="宋体" w:hAnsi="Arial"/>
                <w:kern w:val="0"/>
                <w:sz w:val="20"/>
                <w:szCs w:val="20"/>
              </w:rPr>
              <w:br/>
            </w:r>
            <w:r>
              <w:rPr>
                <w:rFonts w:ascii="Arial" w:cs="Arial" w:eastAsia="宋体" w:hAnsi="Arial"/>
                <w:b/>
                <w:bCs/>
                <w:kern w:val="0"/>
                <w:sz w:val="20"/>
                <w:szCs w:val="20"/>
              </w:rPr>
              <w:t>i)《土地管理法》第48条</w:t>
            </w:r>
            <w:r>
              <w:rPr>
                <w:rFonts w:ascii="Arial" w:cs="Arial" w:eastAsia="宋体" w:hAnsi="Arial"/>
                <w:kern w:val="0"/>
                <w:sz w:val="20"/>
                <w:szCs w:val="20"/>
              </w:rPr>
              <w:t>，征收土地应当保障被征地农民原有生活水平不降低、长远生计有保障。</w:t>
            </w:r>
            <w:r>
              <w:rPr>
                <w:rFonts w:ascii="Arial" w:cs="Arial" w:eastAsia="宋体" w:hAnsi="Arial"/>
                <w:kern w:val="0"/>
                <w:sz w:val="20"/>
                <w:szCs w:val="20"/>
              </w:rPr>
              <w:br/>
            </w:r>
            <w:r>
              <w:rPr>
                <w:rFonts w:ascii="Arial" w:cs="Arial" w:eastAsia="宋体" w:hAnsi="Arial"/>
                <w:b/>
                <w:bCs/>
                <w:kern w:val="0"/>
                <w:sz w:val="20"/>
                <w:szCs w:val="20"/>
              </w:rPr>
              <w:t>ii)《关于完善征地补偿安置制度的指导意见（国土资发【2004】238号）》</w:t>
            </w:r>
            <w:r>
              <w:rPr>
                <w:rFonts w:ascii="Arial" w:cs="Arial" w:eastAsia="宋体" w:hAnsi="Arial"/>
                <w:kern w:val="0"/>
                <w:sz w:val="20"/>
                <w:szCs w:val="20"/>
              </w:rPr>
              <w:t>: 1) 农业生产安置。征收城市规划区外的农民集体土地，应当通过利用农村集体机动地、承包农户自愿交回的承包地、承包地流转和土地开发整理新增加的耕地等，首先使被征地农民有必要的耕作土地，继续从事农业生产。2)重新择业安置。应当积极创造条件，向被征地农民提供免费的劳动技能培训，安排相应的工作岗位。在同等条件下，用地单位应优先吸收被征地农民就业。征收城市规划区内的农民集体土地，应当将因征地而导致无地的农民，纳入城镇就业体系，并建立社会保障制度。3) 入股分红安置。对有长期稳定收益的项目用地，在农户自愿的前提下，被征地农村集体经济组织经与用地单位协商，可以以征地补偿安置费用入股，或以经批准的建设用地土地使用权作价入股。农村集体经济组织和农户通过合同约定以优先股的方式获取收益。4) 异地移民安置。本地区确实无法为因征地而导致无地的农民提供基本生产生活条件的，在充分征求被征地农村集体经济组织和农户意见的前提下，可由政府统一组织，实行异地移民安置。</w:t>
            </w:r>
            <w:r>
              <w:rPr>
                <w:rFonts w:ascii="Arial" w:cs="Arial" w:eastAsia="宋体" w:hAnsi="Arial"/>
                <w:kern w:val="0"/>
                <w:sz w:val="20"/>
                <w:szCs w:val="20"/>
              </w:rPr>
              <w:br/>
            </w:r>
            <w:r>
              <w:rPr>
                <w:rFonts w:ascii="Arial" w:cs="Arial" w:eastAsia="宋体" w:hAnsi="Arial"/>
                <w:b/>
                <w:bCs/>
                <w:kern w:val="0"/>
                <w:sz w:val="20"/>
                <w:szCs w:val="20"/>
              </w:rPr>
              <w:t>iii)《关于做好被征地农民就业培训和社会保障工作的指导意见（国发【2006】29号）》</w:t>
            </w:r>
            <w:r>
              <w:rPr>
                <w:rFonts w:ascii="Arial" w:cs="Arial" w:eastAsia="宋体" w:hAnsi="Arial"/>
                <w:kern w:val="0"/>
                <w:sz w:val="20"/>
                <w:szCs w:val="20"/>
              </w:rPr>
              <w:t>，将做好被征地农民就业培训和社会保障工作作为征地制度改革的重要内容。地方各级人民政府要从统筹城乡经济社会和谐发展的高度，加强就业培训和社会保障工作，将被征地农民的就业问题纳入政府经济和社会发展规划及年度计划，尽快建立适合被征地农民特点与需求的社会保障制度，采取有效措施落实就业培训和社会保障资金，促进被征地农民实现就业和融入城镇社会，确保被征地农民生活水平不因征地而降低，长远生计有保障。</w:t>
            </w:r>
            <w:r>
              <w:rPr>
                <w:rFonts w:ascii="Arial" w:cs="Arial" w:eastAsia="宋体" w:hAnsi="Arial"/>
                <w:kern w:val="0"/>
                <w:sz w:val="20"/>
                <w:szCs w:val="20"/>
              </w:rPr>
              <w:br/>
            </w:r>
            <w:r>
              <w:rPr>
                <w:rFonts w:ascii="Arial" w:cs="Arial" w:eastAsia="宋体" w:hAnsi="Arial"/>
                <w:b/>
                <w:bCs/>
                <w:kern w:val="0"/>
                <w:sz w:val="20"/>
                <w:szCs w:val="20"/>
              </w:rPr>
              <w:t>iv)《劳动和社会保障部土地资源部文件关于切实做好被征地农民社会保障工作有关问题的通知（劳社部发【2007】14号）》，</w:t>
            </w:r>
            <w:r>
              <w:rPr>
                <w:rFonts w:ascii="Arial" w:cs="Arial" w:eastAsia="宋体" w:hAnsi="Arial"/>
                <w:kern w:val="0"/>
                <w:sz w:val="20"/>
                <w:szCs w:val="20"/>
              </w:rPr>
              <w:t>各地要尽快建立被征地农民社会保障制度。被征地农民社会保障所需费用，应在征地补偿安置方案批准之日起 3 个月内，按标准足额划入“被征地农民社会保障资金专户”，按规定记入个人账户或统筹账户。</w:t>
            </w:r>
            <w:r>
              <w:rPr>
                <w:rFonts w:ascii="Arial" w:cs="Arial" w:eastAsia="宋体" w:hAnsi="Arial"/>
                <w:kern w:val="0"/>
                <w:sz w:val="20"/>
                <w:szCs w:val="20"/>
              </w:rPr>
              <w:br/>
            </w:r>
            <w:r>
              <w:rPr>
                <w:rFonts w:ascii="Arial" w:cs="Arial" w:eastAsia="宋体" w:hAnsi="Arial"/>
                <w:b/>
                <w:bCs/>
                <w:kern w:val="0"/>
                <w:sz w:val="20"/>
                <w:szCs w:val="20"/>
              </w:rPr>
              <w:t>v)《广西壮族自治区人民政府办公厅关于 实施征地区片综合地价的通知》 （桂政办函〔2020〕5号），</w:t>
            </w:r>
            <w:r>
              <w:rPr>
                <w:rFonts w:ascii="Arial" w:cs="Arial" w:eastAsia="宋体" w:hAnsi="Arial"/>
                <w:kern w:val="0"/>
                <w:sz w:val="20"/>
                <w:szCs w:val="20"/>
              </w:rPr>
              <w:t>各市、县可结合各地实际，进一步拓宽被征地农民安置渠道。除采取一次性货币安置外，可采取农业安置、留地安置、住房安置、就业安置、入股安置、异地移民安置等多种途径安置被征地农民。采取留地安置的，除中心城区和政府组织实施的民生、公共服务、大中型水利水电项目外，其他项目征收农民集体所有土地，按征地面积的不低于5%配套（原则上最高不超过10亩）用作预留地，供被征地村发展村级集体经济使用，确保被征地农民原有生活水平不降低、长远生计有保障。</w:t>
            </w:r>
          </w:p>
          <w:p>
            <w:pPr>
              <w:pStyle w:val="style0"/>
              <w:jc w:val="left"/>
              <w:rPr>
                <w:rFonts w:ascii="Arial" w:cs="Arial" w:eastAsia="宋体" w:hAnsi="Arial"/>
                <w:sz w:val="20"/>
              </w:rPr>
            </w:pPr>
            <w:r>
              <w:rPr>
                <w:rFonts w:ascii="Arial" w:cs="Arial" w:eastAsia="宋体" w:hAnsi="Arial"/>
                <w:b/>
                <w:bCs/>
                <w:kern w:val="0"/>
                <w:sz w:val="20"/>
                <w:szCs w:val="20"/>
              </w:rPr>
              <w:t>vi) 《贵州省人民政府关于进一步做好被征地农民就业和社会保障工作的意见》（黔府发〔2011〕26号），</w:t>
            </w:r>
            <w:r>
              <w:rPr>
                <w:rFonts w:ascii="Arial" w:cs="Arial" w:eastAsia="宋体" w:hAnsi="Arial"/>
                <w:kern w:val="0"/>
                <w:sz w:val="20"/>
                <w:szCs w:val="20"/>
              </w:rPr>
              <w:t>被征地农民农转非后，在法定劳动年龄段内有劳动能力和就业要求并处于失业状态的，可到公共就业服务机构进行失业登记，按规定优先享受国家和省的公益性岗位安置等就业扶持政策；</w:t>
            </w:r>
            <w:r>
              <w:rPr>
                <w:rFonts w:ascii="Arial" w:cs="Arial" w:eastAsia="宋体" w:hAnsi="Arial"/>
                <w:sz w:val="20"/>
              </w:rPr>
              <w:t>用地项目业主单位要优先安置符合用工条件的被征地农民就业，招用项目所在县被征地农民就业的，可享受基本养老保险和基本医疗保险补贴；鼓励和支持仍保留农村户籍进城务工的被征地农民参加职业技能培训，并享受相应的培训补贴；自主创业的，可优先享受小额担保贷款等优惠政策；建立被征地农民“征地一户、帮扶一户”的就业失业动态管理制度，为被征地农民转移就业和自主创业提供指导和就业服务；将符合条件的被征地农民分别纳入新型农村社会养老保险（简称“新农保”）和城镇居民社会养老保险（简称“城镇居民养老保险”）保障范围；建立参保缴费补助制度，被征地的农村户籍人员参加新农保，征地后农转非人员参加城镇居民养老保险，两者也可选择参加城镇职工基本养老保险；征地时年满16周岁未年满60周岁的，参保给予一定的缴费补助，累计补助15年；缴费补助标准根据人均剩余耕地比确定；完善最低生活保障政策，对生活困难的被征地农民，符合最低生活保障条件的，按规定纳入城乡最低生活保障范围。享受农村低保的，作为特殊困难农村低保保障对象增发补助金。</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v) 恢复或替换可能受到该计划不利影响的公共基础设施和社区服务；</w:t>
            </w:r>
          </w:p>
        </w:tc>
        <w:tc>
          <w:tcPr>
            <w:tcW w:w="10489"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适用的法规包括</w:t>
            </w:r>
            <w:r>
              <w:rPr>
                <w:rFonts w:ascii="Arial" w:cs="Arial" w:eastAsia="宋体" w:hAnsi="Arial"/>
                <w:b/>
                <w:bCs/>
                <w:kern w:val="0"/>
                <w:sz w:val="20"/>
                <w:szCs w:val="20"/>
              </w:rPr>
              <w:t>《土地管理法》《土地管理法实施条例》《物权法》：</w:t>
            </w:r>
            <w:r>
              <w:rPr>
                <w:rFonts w:ascii="Arial" w:cs="Arial" w:eastAsia="宋体" w:hAnsi="Arial"/>
                <w:kern w:val="0"/>
                <w:sz w:val="20"/>
                <w:szCs w:val="20"/>
              </w:rPr>
              <w:br/>
            </w:r>
            <w:r>
              <w:rPr>
                <w:rFonts w:ascii="Arial" w:cs="Arial" w:eastAsia="宋体" w:hAnsi="Arial"/>
                <w:b/>
                <w:bCs/>
                <w:kern w:val="0"/>
                <w:sz w:val="20"/>
                <w:szCs w:val="20"/>
              </w:rPr>
              <w:t>i)《土地管理法》第47条，</w:t>
            </w:r>
            <w:r>
              <w:rPr>
                <w:rFonts w:ascii="Arial" w:cs="Arial" w:eastAsia="宋体" w:hAnsi="Arial"/>
                <w:kern w:val="0"/>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r>
              <w:rPr>
                <w:rFonts w:ascii="Arial" w:cs="Arial" w:eastAsia="宋体" w:hAnsi="Arial"/>
                <w:kern w:val="0"/>
                <w:sz w:val="20"/>
                <w:szCs w:val="20"/>
              </w:rPr>
              <w:br/>
            </w:r>
            <w:r>
              <w:rPr>
                <w:rFonts w:ascii="Arial" w:cs="Arial" w:eastAsia="宋体" w:hAnsi="Arial"/>
                <w:b/>
                <w:bCs/>
                <w:kern w:val="0"/>
                <w:sz w:val="20"/>
                <w:szCs w:val="20"/>
              </w:rPr>
              <w:t>ii)《土地管理法实施条例》第25条</w:t>
            </w:r>
            <w:r>
              <w:rPr>
                <w:rFonts w:ascii="Arial" w:cs="Arial" w:eastAsia="宋体" w:hAnsi="Arial"/>
                <w:kern w:val="0"/>
                <w:sz w:val="20"/>
                <w:szCs w:val="20"/>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r>
              <w:rPr>
                <w:rFonts w:ascii="Arial" w:cs="Arial" w:eastAsia="宋体" w:hAnsi="Arial"/>
                <w:kern w:val="0"/>
                <w:sz w:val="20"/>
                <w:szCs w:val="20"/>
              </w:rPr>
              <w:br/>
            </w:r>
            <w:r>
              <w:rPr>
                <w:rFonts w:ascii="Arial" w:cs="Arial" w:eastAsia="宋体" w:hAnsi="Arial"/>
                <w:b/>
                <w:bCs/>
                <w:kern w:val="0"/>
                <w:sz w:val="20"/>
                <w:szCs w:val="20"/>
              </w:rPr>
              <w:t>iii)《物权法》第36条</w:t>
            </w:r>
            <w:r>
              <w:rPr>
                <w:rFonts w:ascii="Arial" w:cs="Arial" w:eastAsia="宋体" w:hAnsi="Arial"/>
                <w:kern w:val="0"/>
                <w:sz w:val="20"/>
                <w:szCs w:val="20"/>
              </w:rPr>
              <w:t>，造成不动产或者动产毁损的，权利人可以请求修理、重作、更换或者恢复原状。</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vi) 信息公示、公众参与和知情决策。</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i)《土地管理法》第26条，</w:t>
            </w:r>
            <w:r>
              <w:rPr>
                <w:rFonts w:ascii="Arial" w:cs="Arial" w:eastAsia="宋体" w:hAnsi="Arial"/>
                <w:kern w:val="0"/>
                <w:sz w:val="20"/>
                <w:szCs w:val="20"/>
              </w:rPr>
              <w:t>被征收土地的所有权人、使用权人应当在公告规定期限内，持土地权属证书到当地人民政府土地行政主管部门办理征地补偿登记。国家征收土地的，依照法定程序批准后，由县级以上地方人民政府予以公告并组织实施。</w:t>
            </w:r>
            <w:r>
              <w:rPr>
                <w:rFonts w:ascii="Arial" w:cs="Arial" w:eastAsia="宋体" w:hAnsi="Arial"/>
                <w:b/>
                <w:bCs/>
                <w:kern w:val="0"/>
                <w:sz w:val="20"/>
                <w:szCs w:val="20"/>
              </w:rPr>
              <w:t>第47条，</w:t>
            </w:r>
            <w:r>
              <w:rPr>
                <w:rFonts w:ascii="Arial" w:cs="Arial" w:eastAsia="宋体" w:hAnsi="Arial"/>
                <w:kern w:val="0"/>
                <w:sz w:val="20"/>
                <w:szCs w:val="20"/>
              </w:rPr>
              <w:t>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ii)《信访条例》第6条，</w:t>
            </w:r>
            <w:r>
              <w:rPr>
                <w:rFonts w:ascii="Arial" w:cs="Arial" w:eastAsia="宋体" w:hAnsi="Arial"/>
                <w:kern w:val="0"/>
                <w:sz w:val="20"/>
                <w:szCs w:val="20"/>
              </w:rPr>
              <w:t>县级以上人民政府信访工作机构是本级人民政府负责信访工作的行政机构，履行下列职责： （一）受理、交办、转送信访人提出的信访事项； （二）承办上级和本级人民政府交由处理的信访事项； （三）协调处理重要信访事项； （四）督促检查信访事项的处理； （五）研究、分析信访情况，开展调查研究，及时向本级人民政府提出完善政策和改进工作的建议； （六）对本级人民政府其他工作部门和下级人民政府信访工作机构的信访工作进行指导。</w:t>
            </w:r>
          </w:p>
          <w:p>
            <w:pPr>
              <w:pStyle w:val="style0"/>
              <w:jc w:val="left"/>
              <w:rPr>
                <w:rFonts w:ascii="Arial" w:cs="Arial" w:eastAsia="宋体" w:hAnsi="Arial"/>
                <w:kern w:val="0"/>
                <w:sz w:val="20"/>
                <w:szCs w:val="20"/>
              </w:rPr>
            </w:pPr>
            <w:r>
              <w:rPr>
                <w:rFonts w:ascii="Arial" w:cs="Arial" w:eastAsia="宋体" w:hAnsi="Arial"/>
                <w:b/>
                <w:bCs/>
                <w:kern w:val="0"/>
                <w:sz w:val="20"/>
                <w:szCs w:val="20"/>
              </w:rPr>
              <w:t>iii) 2020年的《中央一号文件》，</w:t>
            </w:r>
            <w:r>
              <w:rPr>
                <w:rFonts w:ascii="Arial" w:cs="Arial" w:eastAsia="宋体" w:hAnsi="Arial"/>
                <w:kern w:val="0"/>
                <w:sz w:val="20"/>
                <w:szCs w:val="20"/>
              </w:rPr>
              <w:t>推行领导干部特别是市县领导干部定期下基层接访制度，积极化解信访积案。组织开展“一村一法律顾问”等形式多样的法律服务。2020年的《中央一号文件》提出加强人民调解工作，做到小事不出村、大事不出乡、矛盾不上交。畅通农民群众诉求表达渠道，及时妥善处理农民群众合理诉求。</w:t>
            </w:r>
          </w:p>
          <w:p>
            <w:pPr>
              <w:pStyle w:val="style0"/>
              <w:jc w:val="left"/>
              <w:rPr>
                <w:rFonts w:ascii="Arial" w:cs="Arial" w:eastAsia="宋体" w:hAnsi="Arial"/>
                <w:kern w:val="0"/>
                <w:sz w:val="20"/>
                <w:szCs w:val="20"/>
              </w:rPr>
            </w:pPr>
            <w:r>
              <w:rPr>
                <w:rFonts w:ascii="Arial" w:cs="Arial" w:eastAsia="宋体" w:hAnsi="Arial"/>
                <w:b/>
                <w:bCs/>
                <w:kern w:val="0"/>
                <w:sz w:val="20"/>
                <w:szCs w:val="20"/>
              </w:rPr>
              <w:t>iv) 自然资源部2019年6月出台了《农村集体土地征收基层政务公开标准指引》</w:t>
            </w:r>
            <w:r>
              <w:rPr>
                <w:rFonts w:ascii="Arial" w:cs="Arial" w:eastAsia="宋体" w:hAnsi="Arial"/>
                <w:kern w:val="0"/>
                <w:sz w:val="20"/>
                <w:szCs w:val="20"/>
              </w:rPr>
              <w:t>，全面梳理公开事项、明确公开内容、规范公开流程、完善公开方式，切实维护人民群众的知情权、参与权、表达权和监督权。征地移民过程公众参与不同环节的主要目的如下：</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项目前期及方案论证和比选过程中，项目单位和设计单位应对移民和其他利益相关方进行有意义磋商，根据反馈的诉求和意见完善工程措施和确定项目用地范围，避让重要的、敏感的影响对象，尽可能降低征地和移民影响。</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实物量调查阶段的参与包括征地公告、实物指标调查宣传、调查过程参与、调查成果签字确认以及调查成果公示和复核。</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社会稳定风险评估阶段，通过与利益相关方进行有意义的磋商，评估项目征地拆迁可能产生的重大社会风险，包括其他与项目无直接关系但也可能对项目产生重大影响的风险。</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补偿方案的拟定过程中，需要对方案进行公示、听取和征求受影响人意见，必要时召开听证会。</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实施过程中的公众参与主要包括生产安置、生活安置、补偿资金的分配和使用等环节的信息公开透明，并听取和征求移民的意见、谈判并达成协议。</w:t>
            </w:r>
          </w:p>
          <w:p>
            <w:pPr>
              <w:pStyle w:val="style0"/>
              <w:jc w:val="left"/>
              <w:rPr>
                <w:rFonts w:ascii="Arial" w:cs="Arial" w:eastAsia="宋体" w:hAnsi="Arial"/>
                <w:kern w:val="0"/>
                <w:sz w:val="20"/>
                <w:szCs w:val="20"/>
              </w:rPr>
            </w:pPr>
            <w:r>
              <w:rPr>
                <w:rFonts w:ascii="Arial" w:cs="Arial" w:eastAsia="宋体" w:hAnsi="Arial"/>
                <w:b/>
                <w:bCs/>
                <w:kern w:val="0"/>
                <w:sz w:val="20"/>
                <w:szCs w:val="20"/>
              </w:rPr>
              <w:t xml:space="preserve">v) </w:t>
            </w:r>
            <w:r>
              <w:rPr>
                <w:rFonts w:ascii="Arial" w:cs="Arial" w:eastAsia="宋体" w:hAnsi="Arial"/>
                <w:b/>
                <w:bCs/>
                <w:sz w:val="20"/>
              </w:rPr>
              <w:t>《广西壮族自治区自然资源厅 广西壮族自治区农业农村厅关于进一步加强和规范我区设施农业用地管理的通知》（桂自然资规【2020】3号）</w:t>
            </w:r>
            <w:r>
              <w:rPr>
                <w:rFonts w:ascii="Arial" w:cs="Arial" w:eastAsia="宋体" w:hAnsi="Arial"/>
                <w:sz w:val="20"/>
              </w:rPr>
              <w:t>中规定，</w:t>
            </w:r>
            <w:r>
              <w:rPr>
                <w:rFonts w:ascii="Arial" w:cs="Arial" w:eastAsia="宋体" w:hAnsi="Arial"/>
                <w:kern w:val="0"/>
                <w:sz w:val="20"/>
                <w:szCs w:val="20"/>
              </w:rPr>
              <w:t>协商一致的建设方案和土地使用条件由乡（镇）人民政府和农村集体经济组织通过公开形式向社会予以公告，公告时间不得少于 10 天。公告期结束无异议的，农村集体经济组织与经营者签订用地协议，并附具设施农业用地最终确定的范围坐标。</w:t>
            </w:r>
          </w:p>
          <w:p>
            <w:pPr>
              <w:pStyle w:val="style0"/>
              <w:jc w:val="left"/>
              <w:rPr>
                <w:rFonts w:ascii="Arial" w:cs="Arial" w:eastAsia="宋体" w:hAnsi="Arial"/>
                <w:b/>
                <w:bCs/>
                <w:kern w:val="0"/>
                <w:sz w:val="20"/>
                <w:szCs w:val="20"/>
              </w:rPr>
            </w:pPr>
            <w:r>
              <w:rPr>
                <w:rFonts w:ascii="Arial" w:cs="Arial" w:eastAsia="宋体" w:hAnsi="Arial"/>
                <w:b/>
                <w:bCs/>
                <w:sz w:val="20"/>
              </w:rPr>
              <w:t>vi)《贵州省自然资源厅 贵州省农业农村厅关于设施农业用地管理有关问题的通知》（黔自然资规〔2020〕1号）</w:t>
            </w:r>
            <w:r>
              <w:rPr>
                <w:rFonts w:ascii="Arial" w:cs="Arial" w:eastAsia="宋体" w:hAnsi="Arial"/>
                <w:sz w:val="20"/>
              </w:rPr>
              <w:t>中规定</w:t>
            </w:r>
            <w:r>
              <w:rPr>
                <w:rFonts w:ascii="Arial" w:cs="Arial" w:eastAsia="宋体" w:hAnsi="Arial"/>
                <w:kern w:val="0"/>
                <w:sz w:val="20"/>
                <w:szCs w:val="20"/>
              </w:rPr>
              <w:t>，经营者与农村集体经济组织协商签订用地协议前，农村集体经济组织应将议定事项在村务公开栏公告不少于10天，公告期满无异议方可签订正式协议，协议内容应包括：项目名称、建设地点、设施类型和用途、用地规模、土地使用年限、土地用途、土地复垦要求及时限、土地交还和违约责任等有关使用条件。 </w:t>
            </w:r>
          </w:p>
        </w:tc>
        <w:tc>
          <w:tcPr>
            <w:tcW w:w="2127" w:type="dxa"/>
            <w:tcBorders/>
            <w:shd w:val="clear" w:color="auto" w:fill="auto"/>
          </w:tcPr>
          <w:p>
            <w:pPr>
              <w:pStyle w:val="style0"/>
              <w:jc w:val="left"/>
              <w:rPr>
                <w:rFonts w:ascii="Arial" w:cs="Arial" w:eastAsia="宋体" w:hAnsi="Arial"/>
                <w:kern w:val="0"/>
                <w:sz w:val="20"/>
                <w:szCs w:val="20"/>
              </w:rPr>
            </w:pPr>
          </w:p>
        </w:tc>
      </w:tr>
      <w:tr>
        <w:tblPrEx/>
        <w:trPr/>
        <w:tc>
          <w:tcPr>
            <w:tcW w:w="14029" w:type="dxa"/>
            <w:gridSpan w:val="3"/>
            <w:tcBorders/>
            <w:shd w:val="clear" w:color="auto" w:fill="auto"/>
            <w:vAlign w:val="center"/>
          </w:tcPr>
          <w:p>
            <w:pPr>
              <w:pStyle w:val="style0"/>
              <w:jc w:val="left"/>
              <w:rPr>
                <w:rFonts w:ascii="Arial" w:cs="Arial" w:eastAsia="宋体" w:hAnsi="Arial"/>
                <w:b/>
                <w:bCs/>
                <w:sz w:val="20"/>
              </w:rPr>
            </w:pPr>
            <w:r>
              <w:rPr>
                <w:rFonts w:ascii="Arial" w:cs="Arial" w:eastAsia="宋体" w:hAnsi="Arial"/>
                <w:b/>
                <w:bCs/>
                <w:kern w:val="0"/>
                <w:sz w:val="20"/>
                <w:szCs w:val="20"/>
              </w:rPr>
              <w:t>原则5：充分考虑项目福利的文化适宜性和公平获取，特别关注土著人民的权益和弱势群体的需求或关切；</w:t>
            </w:r>
          </w:p>
        </w:tc>
      </w:tr>
      <w:tr>
        <w:tblPrEx/>
        <w:trPr/>
        <w:tc>
          <w:tcPr>
            <w:tcW w:w="1413" w:type="dxa"/>
            <w:tcBorders/>
            <w:shd w:val="clear" w:color="auto" w:fill="auto"/>
            <w:vAlign w:val="center"/>
          </w:tcPr>
          <w:p>
            <w:pPr>
              <w:pStyle w:val="style0"/>
              <w:jc w:val="left"/>
              <w:rPr>
                <w:rFonts w:ascii="Arial" w:cs="Arial" w:eastAsia="宋体" w:hAnsi="Arial"/>
                <w:sz w:val="20"/>
              </w:rPr>
            </w:pPr>
            <w:r>
              <w:rPr>
                <w:rFonts w:ascii="Arial" w:cs="Arial" w:eastAsia="宋体" w:hAnsi="Arial"/>
                <w:b/>
                <w:bCs/>
                <w:kern w:val="0"/>
                <w:sz w:val="20"/>
                <w:szCs w:val="20"/>
              </w:rPr>
              <w:t>要素10</w:t>
            </w:r>
            <w:r>
              <w:rPr>
                <w:rFonts w:ascii="Arial" w:cs="Arial" w:eastAsia="宋体" w:hAnsi="Arial"/>
                <w:kern w:val="0"/>
                <w:sz w:val="20"/>
                <w:szCs w:val="20"/>
              </w:rPr>
              <w:t>：如果少数民族可能受到（正面或负面）影响，则进行免费，事先和知情的协商，以确定是否有广泛的社区支持该计划的活动</w:t>
            </w:r>
          </w:p>
        </w:tc>
        <w:tc>
          <w:tcPr>
            <w:tcW w:w="10489" w:type="dxa"/>
            <w:tcBorders/>
            <w:shd w:val="clear" w:color="auto" w:fill="auto"/>
            <w:vAlign w:val="center"/>
          </w:tcPr>
          <w:p>
            <w:pPr>
              <w:pStyle w:val="style0"/>
              <w:jc w:val="left"/>
              <w:rPr>
                <w:rFonts w:ascii="Arial" w:cs="Arial" w:eastAsia="宋体" w:hAnsi="Arial"/>
                <w:sz w:val="20"/>
              </w:rPr>
            </w:pPr>
            <w:r>
              <w:rPr>
                <w:rFonts w:ascii="Arial" w:cs="Arial" w:eastAsia="宋体" w:hAnsi="Arial"/>
                <w:kern w:val="0"/>
                <w:sz w:val="20"/>
                <w:szCs w:val="20"/>
              </w:rPr>
              <w:t>适用的法规包括</w:t>
            </w:r>
            <w:r>
              <w:rPr>
                <w:rFonts w:ascii="Arial" w:cs="Arial" w:eastAsia="宋体" w:hAnsi="Arial"/>
                <w:b/>
                <w:bCs/>
                <w:kern w:val="0"/>
                <w:sz w:val="20"/>
                <w:szCs w:val="20"/>
              </w:rPr>
              <w:t>《宪法》（2018年修订版）</w:t>
            </w:r>
            <w:r>
              <w:rPr>
                <w:rFonts w:ascii="Arial" w:cs="Arial" w:eastAsia="宋体" w:hAnsi="Arial"/>
                <w:kern w:val="0"/>
                <w:sz w:val="20"/>
                <w:szCs w:val="20"/>
              </w:rPr>
              <w:t>，《重大固定资产投资项目社会稳定风险评估》（2012.8.16），《土地管理法》（2020），《中华人民共和国民族区域自治法》（2001修正）。</w:t>
            </w:r>
            <w:r>
              <w:rPr>
                <w:rFonts w:ascii="Arial" w:cs="Arial" w:eastAsia="宋体" w:hAnsi="Arial"/>
                <w:kern w:val="0"/>
                <w:sz w:val="20"/>
                <w:szCs w:val="20"/>
              </w:rPr>
              <w:br/>
            </w:r>
            <w:r>
              <w:rPr>
                <w:rFonts w:ascii="Arial" w:cs="Arial" w:eastAsia="宋体" w:hAnsi="Arial"/>
                <w:b/>
                <w:bCs/>
                <w:kern w:val="0"/>
                <w:sz w:val="20"/>
                <w:szCs w:val="20"/>
              </w:rPr>
              <w:t>i)《宪法》第4条，</w:t>
            </w:r>
            <w:r>
              <w:rPr>
                <w:rFonts w:ascii="Arial" w:cs="Arial" w:eastAsia="宋体" w:hAnsi="Arial"/>
                <w:kern w:val="0"/>
                <w:sz w:val="20"/>
                <w:szCs w:val="20"/>
              </w:rPr>
              <w:t>中华人民共和国各民族一律平等。</w:t>
            </w:r>
            <w:r>
              <w:rPr>
                <w:rFonts w:ascii="Arial" w:cs="Arial" w:eastAsia="宋体" w:hAnsi="Arial"/>
                <w:kern w:val="0"/>
                <w:sz w:val="20"/>
                <w:szCs w:val="20"/>
              </w:rPr>
              <w:br/>
            </w:r>
            <w:r>
              <w:rPr>
                <w:rFonts w:ascii="Arial" w:cs="Arial" w:eastAsia="宋体" w:hAnsi="Arial"/>
                <w:b/>
                <w:bCs/>
                <w:kern w:val="0"/>
                <w:sz w:val="20"/>
                <w:szCs w:val="20"/>
              </w:rPr>
              <w:t>ii)《中华人民共和国民族区域自治法》第51条</w:t>
            </w:r>
            <w:r>
              <w:rPr>
                <w:rFonts w:ascii="Arial" w:cs="Arial" w:eastAsia="宋体" w:hAnsi="Arial"/>
                <w:kern w:val="0"/>
                <w:sz w:val="20"/>
                <w:szCs w:val="20"/>
              </w:rPr>
              <w:t>，民族自治地方的自治机关在处理涉及本地方各民族的特殊问题的时候，必须与他们的代表充分协商，尊重他们的意见；52条，民族自治地方的自治机关保障本地方内各民族公民都享有宪法规定的公民权利。</w:t>
            </w:r>
            <w:r>
              <w:rPr>
                <w:rFonts w:ascii="Arial" w:cs="Arial" w:eastAsia="宋体" w:hAnsi="Arial"/>
                <w:kern w:val="0"/>
                <w:sz w:val="20"/>
                <w:szCs w:val="20"/>
              </w:rPr>
              <w:br/>
            </w:r>
            <w:r>
              <w:rPr>
                <w:rFonts w:ascii="Arial" w:cs="Arial" w:eastAsia="宋体" w:hAnsi="Arial"/>
                <w:b/>
                <w:bCs/>
                <w:kern w:val="0"/>
                <w:sz w:val="20"/>
                <w:szCs w:val="20"/>
              </w:rPr>
              <w:t>iii)《社会稳定性风险评估》第3条</w:t>
            </w:r>
            <w:r>
              <w:rPr>
                <w:rFonts w:ascii="Arial" w:cs="Arial" w:eastAsia="宋体" w:hAnsi="Arial"/>
                <w:kern w:val="0"/>
                <w:sz w:val="20"/>
                <w:szCs w:val="20"/>
              </w:rPr>
              <w:t>，项目可行性研究阶段，实施单位（委托专业机构）开展社会风险评价，进行影响识别、公众咨询、提出减缓措施并编制《项目社会稳定性风险评价》，另一方面，县级以上地方人民政府拟申请征收土地的，应当开展拟征收土地现状调查和社会稳定风险评估。社会稳定风险评估报告县政府指定部门组织专家评审，评审通过后签发批复。在此基础上，地方颁布了对应的实施意见/通知，如广西和贵州省分别出台了《关于印发广西壮族自治区发展和改革委员会固定资产投资项目社会稳定风险评估暂行办法的通知》（桂发改投资〔2013〕833号）和《中共贵州省委办公厅贵州省人民政府办公厅关于印发〈贵州省重大决策社会稳定风险评估实施办法(试行)〉的通知》(黔委厅字〔2012〕49号)。</w:t>
            </w:r>
            <w:r>
              <w:rPr>
                <w:rFonts w:ascii="Arial" w:cs="Arial" w:eastAsia="宋体" w:hAnsi="Arial"/>
                <w:kern w:val="0"/>
                <w:sz w:val="20"/>
                <w:szCs w:val="20"/>
              </w:rPr>
              <w:br/>
            </w:r>
            <w:r>
              <w:rPr>
                <w:rFonts w:ascii="Arial" w:cs="Arial" w:eastAsia="宋体" w:hAnsi="Arial"/>
                <w:b/>
                <w:bCs/>
                <w:kern w:val="0"/>
                <w:sz w:val="20"/>
                <w:szCs w:val="20"/>
              </w:rPr>
              <w:t>iv)《土地管理法》（2020）第47条</w:t>
            </w:r>
            <w:r>
              <w:rPr>
                <w:rFonts w:ascii="Arial" w:cs="Arial" w:eastAsia="宋体" w:hAnsi="Arial"/>
                <w:kern w:val="0"/>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vAlign w:val="center"/>
          </w:tcPr>
          <w:p>
            <w:pPr>
              <w:pStyle w:val="style0"/>
              <w:jc w:val="left"/>
              <w:rPr>
                <w:rFonts w:ascii="Arial" w:cs="Arial" w:eastAsia="宋体" w:hAnsi="Arial"/>
                <w:sz w:val="20"/>
              </w:rPr>
            </w:pPr>
            <w:r>
              <w:rPr>
                <w:rFonts w:ascii="Arial" w:cs="Arial" w:eastAsia="宋体" w:hAnsi="Arial"/>
                <w:b/>
                <w:bCs/>
                <w:kern w:val="0"/>
                <w:sz w:val="20"/>
                <w:szCs w:val="20"/>
              </w:rPr>
              <w:t>要素11</w:t>
            </w:r>
            <w:r>
              <w:rPr>
                <w:rFonts w:ascii="Arial" w:cs="Arial" w:eastAsia="宋体" w:hAnsi="Arial"/>
                <w:kern w:val="0"/>
                <w:sz w:val="20"/>
                <w:szCs w:val="20"/>
              </w:rPr>
              <w:t>：确保土著人民可以参与创造机会，以利用传统资源或土著知识，后者（土著知识）应征得土著人民的同意</w:t>
            </w:r>
          </w:p>
        </w:tc>
        <w:tc>
          <w:tcPr>
            <w:tcW w:w="10489" w:type="dxa"/>
            <w:tcBorders/>
            <w:shd w:val="clear" w:color="auto" w:fill="auto"/>
            <w:vAlign w:val="center"/>
          </w:tcPr>
          <w:p>
            <w:pPr>
              <w:pStyle w:val="style0"/>
              <w:widowControl/>
              <w:jc w:val="left"/>
              <w:rPr>
                <w:rFonts w:ascii="Arial" w:cs="Arial" w:eastAsia="宋体" w:hAnsi="Arial"/>
                <w:kern w:val="0"/>
                <w:sz w:val="20"/>
                <w:szCs w:val="20"/>
              </w:rPr>
            </w:pPr>
            <w:r>
              <w:rPr>
                <w:rFonts w:ascii="Arial" w:cs="Arial" w:eastAsia="宋体" w:hAnsi="Arial"/>
                <w:kern w:val="0"/>
                <w:sz w:val="20"/>
                <w:szCs w:val="20"/>
              </w:rPr>
              <w:t>适用的法规和规划：《中华人民共和国民族区域自治法》（2001修订版），《国务院实施民族自治法若干规定》（2005.5）,</w:t>
            </w:r>
            <w:r>
              <w:rPr>
                <w:rFonts w:ascii="Arial" w:cs="Arial" w:eastAsia="宋体" w:hAnsi="Arial"/>
                <w:b/>
                <w:bCs/>
                <w:kern w:val="0"/>
                <w:sz w:val="20"/>
                <w:szCs w:val="20"/>
              </w:rPr>
              <w:t>《广西壮族自治区人民政府关于贯彻落实国家“十三五”促进民族地区和人口较少民族发展规划的实施意见》（桂政发〔2017〕58号）,《广西壮族自治区国民经济和社会发展第十四个五年规划和 2035 年远景目标纲要》（桂政发〔2021〕11号）,《贵州省“十四五”民族团结进步事业规划》（黔民宗发〔2021〕14号）</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i)《中华人民共和国民族区域自治法》第65条，</w:t>
            </w:r>
            <w:r>
              <w:rPr>
                <w:rFonts w:ascii="Arial" w:cs="Arial" w:eastAsia="宋体" w:hAnsi="Arial"/>
                <w:kern w:val="0"/>
                <w:sz w:val="20"/>
                <w:szCs w:val="20"/>
              </w:rPr>
              <w:t>国家在民族自治地方开发资源、进行建设的时候，应当照顾民族自治地方的利益，作出有利于民族自治地方经济建设的安排，照顾当地少数民族的生 产和生活。</w:t>
            </w:r>
            <w:r>
              <w:rPr>
                <w:rFonts w:ascii="Arial" w:cs="Arial" w:eastAsia="宋体" w:hAnsi="Arial"/>
                <w:b/>
                <w:bCs/>
                <w:kern w:val="0"/>
                <w:sz w:val="20"/>
                <w:szCs w:val="20"/>
              </w:rPr>
              <w:t>第66条，上</w:t>
            </w:r>
            <w:r>
              <w:rPr>
                <w:rFonts w:ascii="Arial" w:cs="Arial" w:eastAsia="宋体" w:hAnsi="Arial"/>
                <w:kern w:val="0"/>
                <w:sz w:val="20"/>
                <w:szCs w:val="20"/>
              </w:rPr>
              <w:t>级国家机关应当把民族自治地方的重大生态平衡、环境保护的综合治理工程项目纳入国民经济和社会发展计划。</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ii)《重大行政决策程序暂行条例》（2019.9.1）规定，</w:t>
            </w:r>
            <w:r>
              <w:rPr>
                <w:rFonts w:ascii="Arial" w:cs="Arial" w:eastAsia="宋体" w:hAnsi="Arial"/>
                <w:kern w:val="0"/>
                <w:sz w:val="20"/>
                <w:szCs w:val="20"/>
              </w:rPr>
              <w:t>以下方面要开展事先公众咨询，包括制定经济和社会发展等方面的重要规划，制定开发利用、保护重要自然资源和文化资源的重大公共政策和措施；决定在本行政区域实施的重大公共建设项目；决定对经济社会发展有重大影响、涉及重大公共利益或者社会公众切身利益的其他重大事项。</w:t>
            </w:r>
            <w:r>
              <w:rPr>
                <w:rFonts w:ascii="Arial" w:cs="Arial" w:eastAsia="宋体" w:hAnsi="Arial"/>
                <w:b/>
                <w:bCs/>
                <w:kern w:val="0"/>
                <w:sz w:val="20"/>
                <w:szCs w:val="20"/>
              </w:rPr>
              <w:t>第14条，</w:t>
            </w:r>
            <w:r>
              <w:rPr>
                <w:rFonts w:ascii="Arial" w:cs="Arial" w:eastAsia="宋体" w:hAnsi="Arial"/>
                <w:kern w:val="0"/>
                <w:sz w:val="20"/>
                <w:szCs w:val="20"/>
              </w:rPr>
              <w:t>决策承办单位应当采取便于社会公众参与的方式充分听取意见。听取意见可以采取座谈会、听证会、实地走访、书面征求意见、向社会公开征求意见、问卷调查、民意调查等多种方式。</w:t>
            </w:r>
            <w:r>
              <w:rPr>
                <w:rFonts w:ascii="Arial" w:cs="Arial" w:eastAsia="宋体" w:hAnsi="Arial"/>
                <w:b/>
                <w:bCs/>
                <w:kern w:val="0"/>
                <w:sz w:val="20"/>
                <w:szCs w:val="20"/>
              </w:rPr>
              <w:t>第15条，</w:t>
            </w:r>
            <w:r>
              <w:rPr>
                <w:rFonts w:ascii="Arial" w:cs="Arial" w:eastAsia="宋体" w:hAnsi="Arial"/>
                <w:kern w:val="0"/>
                <w:sz w:val="20"/>
                <w:szCs w:val="20"/>
              </w:rPr>
              <w:t>决策事项向社会公开征求意见的，决策承办单位应当通过政府网站、政务新媒体以及报刊、广播、电视等便于社会公众知晓的途径，公布决策草案及其说明等材料，明确提出意见的方式和期限。公开征求意见的期限一般不少于30日；因情况紧急等原因需要缩短期限的，公开征求意见时应当予以说明。对社会公众普遍关心或者专业性、技术性较强的问题，决策承办单位可以通过专家访谈等方式进行解释说明</w:t>
            </w:r>
            <w:r>
              <w:rPr>
                <w:rFonts w:ascii="Arial" w:cs="Arial" w:eastAsia="宋体" w:hAnsi="Arial"/>
                <w:b/>
                <w:bCs/>
                <w:kern w:val="0"/>
                <w:sz w:val="20"/>
                <w:szCs w:val="20"/>
              </w:rPr>
              <w:t>。第16条</w:t>
            </w:r>
            <w:r>
              <w:rPr>
                <w:rFonts w:ascii="Arial" w:cs="Arial" w:eastAsia="宋体" w:hAnsi="Arial"/>
                <w:kern w:val="0"/>
                <w:sz w:val="20"/>
                <w:szCs w:val="20"/>
              </w:rPr>
              <w:t>，决策事项直接涉及公民、法人、其他组织切身利益或者存在较大分歧的，可以召开听证会。法律、法规、规章对召开听证会另有规定的，依照其规定。决策承办单位或者组织听证会的其他单位应当提前公布决策草案及其说明等材料，明确听证时间、地点等信息。</w:t>
            </w:r>
            <w:r>
              <w:rPr>
                <w:rFonts w:ascii="Arial" w:cs="Arial" w:eastAsia="宋体" w:hAnsi="Arial"/>
                <w:b/>
                <w:bCs/>
                <w:kern w:val="0"/>
                <w:sz w:val="20"/>
                <w:szCs w:val="20"/>
              </w:rPr>
              <w:t>第29条，</w:t>
            </w:r>
            <w:r>
              <w:rPr>
                <w:rFonts w:ascii="Arial" w:cs="Arial" w:eastAsia="宋体" w:hAnsi="Arial"/>
                <w:kern w:val="0"/>
                <w:sz w:val="20"/>
                <w:szCs w:val="20"/>
              </w:rPr>
              <w:t>履行公众参与程序的，决策承办单位提交决策机关讨论决策草案，应当报送社会公众提出的主要意见的研究采纳情况；</w:t>
            </w:r>
            <w:r>
              <w:rPr>
                <w:rFonts w:ascii="Arial" w:cs="Arial" w:eastAsia="宋体" w:hAnsi="Arial"/>
                <w:b/>
                <w:bCs/>
                <w:kern w:val="0"/>
                <w:sz w:val="20"/>
                <w:szCs w:val="20"/>
              </w:rPr>
              <w:t>第30条，</w:t>
            </w:r>
            <w:r>
              <w:rPr>
                <w:rFonts w:ascii="Arial" w:cs="Arial" w:eastAsia="宋体" w:hAnsi="Arial"/>
                <w:kern w:val="0"/>
                <w:sz w:val="20"/>
                <w:szCs w:val="20"/>
              </w:rPr>
              <w:t>讨论决策草案，会议组成人员应当充分发表意见，行政首长最后发表意见。行政首长拟作出的决定与会议组成人员多数人的意见不一致的，应当在会上说明理由。</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iii) 《广西壮族自治区人民政府关于贯彻落实国家“十三五”促进民族地区和人口较少民族发展规划的实施意见》（桂政发〔2017〕58号），</w:t>
            </w:r>
            <w:r>
              <w:rPr>
                <w:rFonts w:ascii="Arial" w:cs="Arial" w:eastAsia="宋体" w:hAnsi="Arial"/>
                <w:kern w:val="0"/>
                <w:sz w:val="20"/>
                <w:szCs w:val="20"/>
              </w:rPr>
              <w:t>提出了十三五期间少数民族工作的重点任务，包括全力打赢脱贫攻坚战、促进经济跨越发展、优先保障和改善民生、推进生态文明建设、推进全方位开放合作、促进人口较少民族加快发展、加快少数民族特色村镇保护发展、深入开展民族团结进步创建活动、创新民族事务治理体系，推动少数民族经济、教育、科技、文化、卫生、政治等事业快速发展。</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iv)《广西壮族自治区国民经济和社会发展第十四个五年规划和 2035 年远景目标纲要》（桂政发〔2021〕11号），</w:t>
            </w:r>
            <w:r>
              <w:rPr>
                <w:rFonts w:ascii="Arial" w:cs="Arial" w:eastAsia="宋体" w:hAnsi="Arial"/>
                <w:kern w:val="0"/>
                <w:sz w:val="20"/>
                <w:szCs w:val="20"/>
              </w:rPr>
              <w:t>对少数民族和民族地区发展总体目标进行了详细的阐述，包括：重点支持具有广西民族特色的传统消费品与文化创意产业融合发展；完善城乡公共文化设施网络，推动民族地区公共文化服务建设跨越式发展，保障特殊群体享有均等公共文化服务权益；加强民族文化遗产保护利用和申遗工作，有效保护利用少数民族特色村寨等。系统性保护非物质文化遗产，保护和传承民族优秀传统手工艺，传承发展民族节庆文化，培养非物质文化遗产代表性传承人；推动民族文化产业转型升级；打造一批具有民族特色和地方特色的旅游演艺精品，提升民族节庆品牌影响力；推动民族药产业发展；加大少数民族聚居区教育发展支持力度，建设国家民族地区职业教育创新发展试验区；坚持和完善民族区域自治制度，加大培养选拔任用优秀少数民族干部力度。健全民族政策法规贯彻落实督查制度，完善民族工作服务管理体系，建立健全少数民族流动人口输出地和输入地之间的沟通协作机制。</w:t>
            </w:r>
          </w:p>
          <w:p>
            <w:pPr>
              <w:pStyle w:val="style0"/>
              <w:jc w:val="left"/>
              <w:rPr>
                <w:rFonts w:ascii="Arial" w:cs="Arial" w:eastAsia="宋体" w:hAnsi="Arial"/>
                <w:sz w:val="20"/>
              </w:rPr>
            </w:pPr>
            <w:r>
              <w:rPr>
                <w:rFonts w:ascii="Arial" w:cs="Arial" w:eastAsia="宋体" w:hAnsi="Arial"/>
                <w:b/>
                <w:bCs/>
                <w:kern w:val="0"/>
                <w:sz w:val="20"/>
                <w:szCs w:val="20"/>
              </w:rPr>
              <w:t>v) 《贵州省“十四五”民族团结进步事业规划》（黔民宗发〔2021〕14号），</w:t>
            </w:r>
            <w:r>
              <w:rPr>
                <w:rFonts w:ascii="Arial" w:cs="Arial" w:eastAsia="宋体" w:hAnsi="Arial"/>
                <w:kern w:val="0"/>
                <w:sz w:val="20"/>
                <w:szCs w:val="20"/>
              </w:rPr>
              <w:t>提出了促进少数民族经济增长、共创共享美好生活、铸牢中华民族共同体意识、民族团结进步创建、民族优秀文化保护传承与创新交融、推进各民族交往交流交融和民族事务治理效能等各项发展指标。</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vAlign w:val="center"/>
          </w:tcPr>
          <w:p>
            <w:pPr>
              <w:pStyle w:val="style0"/>
              <w:jc w:val="left"/>
              <w:rPr>
                <w:rFonts w:ascii="Arial" w:cs="Arial" w:eastAsia="宋体" w:hAnsi="Arial"/>
                <w:sz w:val="20"/>
              </w:rPr>
            </w:pPr>
            <w:r>
              <w:rPr>
                <w:rFonts w:ascii="Arial" w:cs="Arial" w:eastAsia="宋体" w:hAnsi="Arial"/>
                <w:b/>
                <w:bCs/>
                <w:kern w:val="0"/>
                <w:sz w:val="20"/>
                <w:szCs w:val="20"/>
              </w:rPr>
              <w:t>要素12</w:t>
            </w:r>
            <w:r>
              <w:rPr>
                <w:rFonts w:ascii="Arial" w:cs="Arial" w:eastAsia="宋体" w:hAnsi="Arial"/>
                <w:kern w:val="0"/>
                <w:sz w:val="20"/>
                <w:szCs w:val="20"/>
              </w:rPr>
              <w:t>：关注易受困境或不利影响的群体，包括相关的穷人，残疾人，妇女和儿童，老年人或边缘化的族群； 并在必要时采取特殊措施，以促进公平地获得项目收益</w:t>
            </w:r>
          </w:p>
        </w:tc>
        <w:tc>
          <w:tcPr>
            <w:tcW w:w="10489" w:type="dxa"/>
            <w:tcBorders/>
            <w:shd w:val="clear" w:color="auto" w:fill="auto"/>
            <w:vAlign w:val="center"/>
          </w:tcPr>
          <w:p>
            <w:pPr>
              <w:pStyle w:val="style0"/>
              <w:widowControl/>
              <w:jc w:val="left"/>
              <w:rPr>
                <w:rFonts w:ascii="Arial" w:cs="Arial" w:eastAsia="宋体" w:hAnsi="Arial"/>
                <w:kern w:val="0"/>
                <w:sz w:val="20"/>
                <w:szCs w:val="20"/>
              </w:rPr>
            </w:pPr>
            <w:r>
              <w:rPr>
                <w:rFonts w:ascii="Arial" w:cs="Arial" w:eastAsia="宋体" w:hAnsi="Arial"/>
                <w:kern w:val="0"/>
                <w:sz w:val="20"/>
                <w:szCs w:val="20"/>
              </w:rPr>
              <w:t>《国务院关于印发“十三五”促进民族地区和人口较少民族发展规划的通知》（国发〔2016〕79号）,</w:t>
            </w:r>
            <w:r>
              <w:rPr>
                <w:rFonts w:ascii="Arial" w:cs="Arial" w:eastAsia="宋体" w:hAnsi="Arial"/>
                <w:b/>
                <w:bCs/>
                <w:kern w:val="0"/>
                <w:sz w:val="20"/>
                <w:szCs w:val="20"/>
              </w:rPr>
              <w:t>《广西壮族自治区人民政府关于贯彻落实国家“十三五”促进民族地区和人口较少民族发展规划的实施意见》（桂政发〔2017〕58号），iii) 《广西壮族自治区国民经济和社会发展第十四个五年规划和 2035 年远景目标纲要》（桂政发〔2021〕11号），《贵州省“十四五”民族团结进步事业规划》（黔民宗发〔2021〕14号）</w:t>
            </w:r>
            <w:r>
              <w:rPr>
                <w:rFonts w:ascii="Arial" w:cs="Arial" w:eastAsia="宋体" w:hAnsi="Arial"/>
                <w:kern w:val="0"/>
                <w:sz w:val="20"/>
                <w:szCs w:val="20"/>
              </w:rPr>
              <w:br/>
            </w:r>
            <w:r>
              <w:rPr>
                <w:rFonts w:ascii="Arial" w:cs="Arial" w:eastAsia="宋体" w:hAnsi="Arial"/>
                <w:b/>
                <w:bCs/>
                <w:kern w:val="0"/>
                <w:sz w:val="20"/>
                <w:szCs w:val="20"/>
              </w:rPr>
              <w:t>i)《国务院关于印发“十三五”促进民族地区和人口较少民族发展规划的通知》（国发〔2016〕79号）,</w:t>
            </w:r>
            <w:r>
              <w:rPr>
                <w:rFonts w:ascii="Arial" w:cs="Arial" w:eastAsia="宋体" w:hAnsi="Arial"/>
                <w:kern w:val="0"/>
                <w:sz w:val="20"/>
                <w:szCs w:val="20"/>
              </w:rPr>
              <w:t>支持贫困少数民族地区优势产业和特色经济的发展； 通过发展养殖业和少数民族传统手工艺品，支持少数民族贫困村； 实施贫困村“一村一品”产业振兴行动和“互联网+”产业扶贫。实施电商扶贫、光电扶贫、乡村旅游扶贫等项目，增加当地群众收入；积极推进民族地区重大基础设施建设和工程建设，改善少数民族地区民生。完善民族地区基本社会服务机制，在养老服务、社会救助、社会福利、优抚安置等方面为各族群众提供保障。加大对民族地区贫困群众自然灾害生活救助的投入力度，完善自然灾害应急救助体系。合理确定民族地区城乡最低生活保障标准。支持公益慈善事业健康发展。</w:t>
            </w:r>
            <w:r>
              <w:rPr>
                <w:rFonts w:ascii="Arial" w:cs="Arial" w:eastAsia="宋体" w:hAnsi="Arial"/>
                <w:kern w:val="0"/>
                <w:sz w:val="20"/>
                <w:szCs w:val="20"/>
              </w:rPr>
              <w:br/>
            </w:r>
            <w:r>
              <w:rPr>
                <w:rFonts w:ascii="Arial" w:cs="Arial" w:eastAsia="宋体" w:hAnsi="Arial"/>
                <w:b/>
                <w:bCs/>
                <w:kern w:val="0"/>
                <w:sz w:val="20"/>
                <w:szCs w:val="20"/>
              </w:rPr>
              <w:t>ii) 《广西壮族自治区人民政府关于贯彻落实国家“十三五”促进民族地区和人口较少民族发展规划的实施意见》（桂政发〔2017〕58号），</w:t>
            </w:r>
            <w:r>
              <w:rPr>
                <w:rFonts w:ascii="Arial" w:cs="Arial" w:eastAsia="宋体" w:hAnsi="Arial"/>
                <w:kern w:val="0"/>
                <w:sz w:val="20"/>
                <w:szCs w:val="20"/>
              </w:rPr>
              <w:t>计划到2020年，我区实现地区生产总值和城乡居民人均收入比2010年翻一番。脱贫攻坚取得实效，基础设施更加完善，产业结构持续优化，城镇化水平大幅提升，对内对外开放水平显著提高，综合经济实力明显增强。生态保护进一步加强，人居环境更加优美，走出一条生产发展、生活富裕、生态优美的绿色发展之路。基本公共服务均等化水平显著提升，资源配置更加合理。城乡居民就业更加充分，劳动年龄人口受教育年限明显提高，社会保障实现全覆盖，基本医疗卫生服务人人享有，各族人民整体素质和社会文明程度全面提升。民族文化事业繁荣发展，少数民族优秀传统文化得到传承和弘扬，少数民族特色文化活动广泛开展，各民族共有精神家园建设成效显著。民族团结进步模范区建设持续深入推进，中华民族共同体意识深入人心，全社会“三个离不开”思想全面加强，各民族群众“五个认同”不断增强，民族理论政策创新发展，民族工作法规日臻完善，民族事务治理现代化水平显著提高，各民族和睦相处、和衷共济、和谐发展。</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iii) 《广西壮族自治区国民经济和社会发展第十四个五年规划和 2035 年远景目标纲要》（桂政发〔2021〕11号）</w:t>
            </w:r>
            <w:r>
              <w:rPr>
                <w:rFonts w:ascii="Arial" w:cs="Arial" w:eastAsia="宋体" w:hAnsi="Arial"/>
                <w:kern w:val="0"/>
                <w:sz w:val="20"/>
                <w:szCs w:val="20"/>
              </w:rPr>
              <w:t>提出：重点支持具有广西民族特色的传统消费品与文化创意产业融合发展；完善城乡公共文化设施网络，推动民族地区公共文化服务建设跨越式发展，保障特殊群体享有均等公共文化服务权益；加强民族文化遗产保护利用和申遗工作，有效保护利用少数民族特色村寨等。系统性保护非物质文化遗产，保护和传承民族优秀传统手工艺，传承发展民族节庆文化，培养非物质文化遗产代表性传承人；推动民族文化产业转型升级；打造一批具有民族特色和地方特色的旅游演艺精品，提升民族节庆品牌影响力；推动民族药产业发展；加大少数民族聚居区教育发展支持力度，建设国家民族地区职业教育创新发展试验区；坚持和完善民族区域自治制度，加大培养选拔任用优秀少数民族干部力度。健全民族政策法规贯彻落实督查制度，完善民族工作服务管理体系，建立健全少数民族流动人口输出地和输入地之间的沟通协作机制。</w:t>
            </w:r>
            <w:r>
              <w:rPr>
                <w:rFonts w:ascii="Arial" w:cs="Arial" w:eastAsia="宋体" w:hAnsi="Arial"/>
                <w:kern w:val="0"/>
                <w:sz w:val="20"/>
                <w:szCs w:val="20"/>
              </w:rPr>
              <w:br/>
            </w:r>
            <w:r>
              <w:rPr>
                <w:rFonts w:ascii="Arial" w:cs="Arial" w:eastAsia="宋体" w:hAnsi="Arial"/>
                <w:b/>
                <w:bCs/>
                <w:kern w:val="0"/>
                <w:sz w:val="20"/>
                <w:szCs w:val="20"/>
              </w:rPr>
              <w:t>iv)</w:t>
            </w:r>
            <w:r>
              <w:rPr>
                <w:rFonts w:ascii="Arial" w:cs="Arial" w:eastAsia="宋体" w:hAnsi="Arial"/>
              </w:rPr>
              <w:t xml:space="preserve"> </w:t>
            </w:r>
            <w:r>
              <w:rPr>
                <w:rFonts w:ascii="Arial" w:cs="Arial" w:eastAsia="宋体" w:hAnsi="Arial"/>
                <w:b/>
                <w:bCs/>
                <w:kern w:val="0"/>
                <w:sz w:val="20"/>
                <w:szCs w:val="20"/>
              </w:rPr>
              <w:t>《贵州省“十四五”民族团结进步事业规划》（黔民宗发〔2021〕14号）</w:t>
            </w:r>
            <w:r>
              <w:rPr>
                <w:rFonts w:ascii="Arial" w:cs="Arial" w:eastAsia="宋体" w:hAnsi="Arial"/>
                <w:kern w:val="0"/>
                <w:sz w:val="20"/>
                <w:szCs w:val="20"/>
              </w:rPr>
              <w:t>，主要目标包括：民族地区现代化建设迈开新步伐。新型工业化、农业现代化和旅游产业化深入推进,民族地区经济实现高质量发展,特色现代产业体系基本形成,全省民族自治地方地区生产总值和人均生产总值年均增速均不低于全省平均水平。巩固拓展脱贫攻坚成果与乡村振兴实现有效衔接,脱贫地区经济活力和发展后劲明显增强,农村低收入人口分类帮扶长效机制逐步完善,和美乡村和乡村振兴示范县(市)、镇(乡)和村不断涌现。新型城镇化加快推进,统筹城乡区域发展更加协调。大数据战略行动深入实施,大数据引领创新驱动发展新引擎加快形成。基础设施“六网”会战加快推进,现代化基础设施支撑能力进一步增强。各族人民共创共享美好生活跃上新台阶。民族地区城乡居民收入进一步提高,民族地区城乡居民人均可支配收入年均增速均不低于全省平均水平。教育、卫生健康、就业、社会保障、公共文化体育等基本公共服务能力显著增强,各民族平等共享基本公共服务得到保障,各族群众对美好生活的多样化需求得到满足。民族地区生态优势进一步增强,美丽宜居乡村不断涌现。民族团结进步创建形成新格局。民族团结进步创建工作机制更加健全,民族团结进步宣传教育进一步增强,进机关、进社区、进乡村、进学校、进企业、进部队、进宗教活动场所等“7+N进”活动深入持久开展,民族团结进步模范集体和个人不断涌现。全省9个市州成功创建全国民族团结进步示范市(州),成功创建一批国家级及省级民族团结进步示范区、示范单位。中华民族共有精神家园建设结出新硕果。各民族优秀传统文化传承保护和创新交融加快推进,公共文化体系建设更加完善。各民族交往交流交融进入新层次。相互嵌入式的社会结构和社区环境不断完善,各民族经济文化交流活动更加紧密,对外交流合作广泛开展,区域开放合作空间进一步拓展。民族事务治理法治化取得新成效。建立健全民族工作体制机制,民族工作领域法规体系更加完善,少数民族干部和人才培养选拔机制更加健全,民族事务治理能力进一步提升。</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iv) 其它扶贫政策：</w:t>
            </w:r>
            <w:r>
              <w:rPr>
                <w:rFonts w:ascii="Arial" w:cs="Arial" w:eastAsia="宋体" w:hAnsi="Arial"/>
                <w:kern w:val="0"/>
                <w:sz w:val="20"/>
                <w:szCs w:val="20"/>
              </w:rPr>
              <w:t>国内贫困主要指那些生活未达到最低生活保障线的贫困家庭，分为三类： a）城乡居民最低生活保障对象，指以户为单位家庭人均月收入低于当地最低生活保障标准的群体。各省每年都要公布低保标准和政策，如广西壮族自治区城乡低保标准由当地县级以上人民政府统一制定，各地低保标准不一样。2020年全区城市低保平均标准是月人均761元，全区农村低保平均标准是年人均5400元，贵州省城市和农村低保均分为三个档次，其中城市低保标准分别为人均695元/月， 675元/月和625元/月，农村低保标准分别人均为4380元/年，4332元/年和4308元/年。b）特困人员，无劳动能力、无生活来源、无法定义务赡养或抚养人，或法定义务赡养或抚养人无履行义务能力的老年人和残疾人和未满1</w:t>
            </w:r>
            <w:r>
              <w:rPr>
                <w:rFonts w:ascii="Arial" w:cs="Arial" w:eastAsia="宋体" w:hAnsi="Arial" w:hint="eastAsia"/>
                <w:kern w:val="0"/>
                <w:sz w:val="20"/>
                <w:szCs w:val="20"/>
              </w:rPr>
              <w:t>8</w:t>
            </w:r>
            <w:r>
              <w:rPr>
                <w:rFonts w:ascii="Arial" w:cs="Arial" w:eastAsia="宋体" w:hAnsi="Arial"/>
                <w:kern w:val="0"/>
                <w:sz w:val="20"/>
                <w:szCs w:val="20"/>
              </w:rPr>
              <w:t>周岁的未成年。对这部分人，国家全额保障，做到“一超、两不愁、三保障”，其中“一超”指对象户的收入水平超过当地最低人均收入，“两不愁”指不愁吃、不愁穿，“三保障”指保障其医疗服务、住房和子女教育。根据贫困情况，各地对建档立卡户提供如生活补贴、建房补贴、儿童免费教育、免息贷款、特殊职业培训和优先安排就业等。c）脱贫人口和防止返贫监测对象</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v)《中华人民共和国妇女权益保障法》（2018修正）第22条，</w:t>
            </w:r>
            <w:r>
              <w:rPr>
                <w:rFonts w:ascii="Arial" w:cs="Arial" w:eastAsia="宋体" w:hAnsi="Arial"/>
                <w:kern w:val="0"/>
                <w:sz w:val="20"/>
                <w:szCs w:val="20"/>
              </w:rPr>
              <w:t>国家保障妇女享有与男子平等的劳动权利和社会保障权利。</w:t>
            </w:r>
            <w:r>
              <w:rPr>
                <w:rFonts w:ascii="Arial" w:cs="Arial" w:eastAsia="宋体" w:hAnsi="Arial"/>
                <w:b/>
                <w:bCs/>
                <w:kern w:val="0"/>
                <w:sz w:val="20"/>
                <w:szCs w:val="20"/>
              </w:rPr>
              <w:t>第24条，</w:t>
            </w:r>
            <w:r>
              <w:rPr>
                <w:rFonts w:ascii="Arial" w:cs="Arial" w:eastAsia="宋体" w:hAnsi="Arial"/>
                <w:kern w:val="0"/>
                <w:sz w:val="20"/>
                <w:szCs w:val="20"/>
              </w:rPr>
              <w:t>实行男女同工同酬。妇女在享受福利待遇方面享有与男子平等的权利。</w:t>
            </w:r>
            <w:r>
              <w:rPr>
                <w:rFonts w:ascii="Arial" w:cs="Arial" w:eastAsia="宋体" w:hAnsi="Arial"/>
                <w:b/>
                <w:bCs/>
                <w:kern w:val="0"/>
                <w:sz w:val="20"/>
                <w:szCs w:val="20"/>
              </w:rPr>
              <w:t>第26条，</w:t>
            </w:r>
            <w:r>
              <w:rPr>
                <w:rFonts w:ascii="Arial" w:cs="Arial" w:eastAsia="宋体" w:hAnsi="Arial"/>
                <w:kern w:val="0"/>
                <w:sz w:val="20"/>
                <w:szCs w:val="20"/>
              </w:rPr>
              <w:t>任何单位均应根据妇女的特点，依法保护妇女在工作和劳动时的安全和健康，不得安排不适合妇女从事的工作和劳动。 妇女在经期、孕期、产期、哺乳期受特殊保护。</w:t>
            </w:r>
            <w:r>
              <w:rPr>
                <w:rFonts w:ascii="Arial" w:cs="Arial" w:eastAsia="宋体" w:hAnsi="Arial"/>
                <w:b/>
                <w:bCs/>
                <w:kern w:val="0"/>
                <w:sz w:val="20"/>
                <w:szCs w:val="20"/>
              </w:rPr>
              <w:t>第27条，</w:t>
            </w:r>
            <w:r>
              <w:rPr>
                <w:rFonts w:ascii="Arial" w:cs="Arial" w:eastAsia="宋体" w:hAnsi="Arial"/>
                <w:kern w:val="0"/>
                <w:sz w:val="20"/>
                <w:szCs w:val="20"/>
              </w:rPr>
              <w:t>任何单位不得因结婚、怀孕、产假、哺乳等情形，降低女职工的工资，辞退女职工，单方解除劳动（聘用）合同或者服务协议。</w:t>
            </w:r>
            <w:r>
              <w:rPr>
                <w:rFonts w:ascii="Arial" w:cs="Arial" w:eastAsia="宋体" w:hAnsi="Arial"/>
                <w:b/>
                <w:bCs/>
                <w:kern w:val="0"/>
                <w:sz w:val="20"/>
                <w:szCs w:val="20"/>
              </w:rPr>
              <w:t>第28条，</w:t>
            </w:r>
            <w:r>
              <w:rPr>
                <w:rFonts w:ascii="Arial" w:cs="Arial" w:eastAsia="宋体" w:hAnsi="Arial"/>
                <w:kern w:val="0"/>
                <w:sz w:val="20"/>
                <w:szCs w:val="20"/>
              </w:rPr>
              <w:t>国家发展社会保险、社会救助、社会福利和医疗卫生事业，保障妇女享有社会保险、社会救助、社会福利和卫生保健等权益。 国家提倡和鼓励为帮助妇女开展的社会公益活动。</w:t>
            </w:r>
            <w:r>
              <w:rPr>
                <w:rFonts w:ascii="Arial" w:cs="Arial" w:eastAsia="宋体" w:hAnsi="Arial"/>
                <w:b/>
                <w:bCs/>
                <w:kern w:val="0"/>
                <w:sz w:val="20"/>
                <w:szCs w:val="20"/>
              </w:rPr>
              <w:t>第29条，</w:t>
            </w:r>
            <w:r>
              <w:rPr>
                <w:rFonts w:ascii="Arial" w:cs="Arial" w:eastAsia="宋体" w:hAnsi="Arial"/>
                <w:kern w:val="0"/>
                <w:sz w:val="20"/>
                <w:szCs w:val="20"/>
              </w:rPr>
              <w:t xml:space="preserve">国家推行生育保险制度，建立健全与生育相关的其他保障制度。 </w:t>
            </w:r>
          </w:p>
          <w:p>
            <w:pPr>
              <w:pStyle w:val="style0"/>
              <w:jc w:val="left"/>
              <w:rPr>
                <w:rFonts w:ascii="Arial" w:cs="Arial" w:eastAsia="宋体" w:hAnsi="Arial"/>
                <w:sz w:val="20"/>
              </w:rPr>
            </w:pPr>
            <w:r>
              <w:rPr>
                <w:rFonts w:ascii="Arial" w:cs="Arial" w:eastAsia="宋体" w:hAnsi="Arial"/>
                <w:b/>
                <w:bCs/>
                <w:kern w:val="0"/>
                <w:sz w:val="20"/>
                <w:szCs w:val="20"/>
              </w:rPr>
              <w:t>vi)《中国妇女发展纲要（2011-2020年）》，</w:t>
            </w:r>
            <w:r>
              <w:rPr>
                <w:rFonts w:ascii="Arial" w:cs="Arial" w:eastAsia="宋体" w:hAnsi="Arial"/>
                <w:kern w:val="0"/>
                <w:sz w:val="20"/>
                <w:szCs w:val="20"/>
              </w:rPr>
              <w:t>总体目标是将社会性别意识纳入法律体系和公共政策，促进妇女全面发展，促进两性和谐发展，促进妇女与经济社会同步发展。保障妇女平等享有基本医疗卫生服务，生命质量和健康水平明显提高；平等享有受教育的权利和机会，受教育程度持续提高；平等获得经济资源和参与经济发展，经济地位明显提升；平等参与国家和社会事务管理，参政水平不断提高；平等享有社会保障，社会福利水平显著提高；平等参与环境决策和管理，发展环境更为优化；保障妇女权益的法律体系更加完善，妇女的合法权益得到切实保护。</w:t>
            </w:r>
          </w:p>
        </w:tc>
        <w:tc>
          <w:tcPr>
            <w:tcW w:w="2127" w:type="dxa"/>
            <w:tcBorders/>
            <w:shd w:val="clear" w:color="auto" w:fill="auto"/>
          </w:tcPr>
          <w:p>
            <w:pPr>
              <w:pStyle w:val="style0"/>
              <w:jc w:val="left"/>
              <w:rPr>
                <w:rFonts w:ascii="Arial" w:cs="Arial" w:eastAsia="宋体" w:hAnsi="Arial"/>
                <w:sz w:val="20"/>
              </w:rPr>
            </w:pPr>
          </w:p>
        </w:tc>
      </w:tr>
      <w:tr>
        <w:tblPrEx/>
        <w:trPr/>
        <w:tc>
          <w:tcPr>
            <w:tcW w:w="14029" w:type="dxa"/>
            <w:gridSpan w:val="3"/>
            <w:tcBorders/>
            <w:shd w:val="clear" w:color="auto" w:fill="auto"/>
            <w:vAlign w:val="center"/>
          </w:tcPr>
          <w:p>
            <w:pPr>
              <w:pStyle w:val="style0"/>
              <w:jc w:val="left"/>
              <w:rPr>
                <w:rFonts w:ascii="Arial" w:cs="Arial" w:eastAsia="宋体" w:hAnsi="Arial"/>
                <w:b/>
                <w:bCs/>
                <w:sz w:val="20"/>
              </w:rPr>
            </w:pPr>
            <w:r>
              <w:rPr>
                <w:rFonts w:ascii="Arial" w:cs="Arial" w:eastAsia="宋体" w:hAnsi="Arial"/>
                <w:b/>
                <w:bCs/>
                <w:kern w:val="0"/>
                <w:sz w:val="20"/>
                <w:szCs w:val="20"/>
              </w:rPr>
              <w:t>原则6：项目环境与社会体系尽量避免加重地区社会冲突，特别是对于脆弱的地区，冲突后地区或有领土争议的地区。</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sz w:val="20"/>
              </w:rPr>
              <w:t>要素13</w:t>
            </w:r>
            <w:r>
              <w:rPr>
                <w:rFonts w:ascii="Arial" w:cs="Arial" w:eastAsia="宋体" w:hAnsi="Arial"/>
                <w:sz w:val="20"/>
              </w:rPr>
              <w:t>：考虑冲突的风险，包括分配不均和文化敏感性。</w:t>
            </w:r>
          </w:p>
        </w:tc>
        <w:tc>
          <w:tcPr>
            <w:tcW w:w="10489" w:type="dxa"/>
            <w:tcBorders/>
            <w:shd w:val="clear" w:color="auto" w:fill="auto"/>
          </w:tcPr>
          <w:p>
            <w:pPr>
              <w:pStyle w:val="style0"/>
              <w:jc w:val="left"/>
              <w:rPr>
                <w:rFonts w:ascii="Arial" w:cs="Arial" w:eastAsia="宋体" w:hAnsi="Arial"/>
                <w:sz w:val="20"/>
              </w:rPr>
            </w:pPr>
          </w:p>
        </w:tc>
        <w:tc>
          <w:tcPr>
            <w:tcW w:w="2127" w:type="dxa"/>
            <w:tcBorders/>
            <w:shd w:val="clear" w:color="auto" w:fill="auto"/>
          </w:tcPr>
          <w:p>
            <w:pPr>
              <w:pStyle w:val="style0"/>
              <w:jc w:val="left"/>
              <w:rPr>
                <w:rFonts w:ascii="Arial" w:cs="Arial" w:eastAsia="宋体" w:hAnsi="Arial"/>
                <w:sz w:val="20"/>
              </w:rPr>
            </w:pPr>
          </w:p>
        </w:tc>
      </w:tr>
    </w:tbl>
    <w:p>
      <w:pPr>
        <w:pStyle w:val="style0"/>
        <w:rPr>
          <w:rFonts w:ascii="Arial" w:cs="Arial" w:eastAsia="宋体" w:hAnsi="Arial"/>
        </w:rPr>
      </w:pPr>
    </w:p>
    <w:bookmarkStart w:id="797" w:name="_Toc79939282"/>
    <w:p>
      <w:pPr>
        <w:pStyle w:val="style0"/>
        <w:widowControl/>
        <w:jc w:val="left"/>
        <w:rPr>
          <w:rFonts w:ascii="Arial" w:cs="Arial" w:eastAsia="宋体" w:hAnsi="Arial"/>
          <w:sz w:val="28"/>
          <w:szCs w:val="32"/>
        </w:rPr>
        <w:sectPr>
          <w:pgSz w:w="16838" w:h="11906" w:orient="landscape"/>
          <w:pgMar w:top="1134" w:right="1134" w:bottom="1134" w:left="1134" w:header="720" w:footer="720" w:gutter="0"/>
          <w:cols w:space="720" w:num="1"/>
          <w:docGrid w:linePitch="360" w:charSpace="0"/>
        </w:sectPr>
      </w:pPr>
      <w:r>
        <w:rPr>
          <w:rFonts w:ascii="Arial" w:cs="Arial" w:eastAsia="宋体" w:hAnsi="Arial"/>
          <w:sz w:val="28"/>
          <w:szCs w:val="32"/>
        </w:rPr>
        <w:br w:type="page"/>
      </w:r>
    </w:p>
    <w:bookmarkStart w:id="798" w:name="_Ref91099944"/>
    <w:bookmarkStart w:id="799" w:name="_Toc93944853"/>
    <w:bookmarkStart w:id="800" w:name="_Ref91099620"/>
    <w:bookmarkStart w:id="801" w:name="_Toc79939283"/>
    <w:bookmarkEnd w:id="797"/>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附件4：利益相关方分析</w:t>
      </w:r>
      <w:bookmarkEnd w:id="798"/>
      <w:bookmarkEnd w:id="799"/>
      <w:bookmarkEnd w:id="800"/>
      <w:bookmarkEnd w:id="801"/>
    </w:p>
    <w:p>
      <w:pPr>
        <w:pStyle w:val="style179"/>
        <w:widowControl/>
        <w:adjustRightInd w:val="false"/>
        <w:snapToGrid w:val="false"/>
        <w:spacing w:before="120" w:after="120"/>
        <w:ind w:firstLine="550" w:firstLineChars="250"/>
        <w:rPr>
          <w:rFonts w:ascii="Arial" w:cs="Arial" w:eastAsia="宋体" w:hAnsi="Arial"/>
          <w:sz w:val="22"/>
          <w:szCs w:val="24"/>
        </w:rPr>
      </w:pPr>
      <w:r>
        <w:rPr>
          <w:rFonts w:ascii="Arial" w:cs="Arial" w:eastAsia="宋体" w:hAnsi="Arial"/>
          <w:sz w:val="22"/>
          <w:szCs w:val="24"/>
        </w:rPr>
        <w:t>PforR项目的环境社会管理系统将涉及不同的利益相关方，包括个人、政府部门和其它机构。利益相关方要么被某个项目影响，要么可能影响某个项目的建设和运行。因此，PforR项目下的每一个子项目都将建立机制，识别牵涉的利益相关方。PforR项目环境社会管理系统下每一项结果领域的利益相关方类型总体上具有一致性，包括受影响单位、感兴趣的单位和管理机构，因而利益相关方可以归纳如下：</w:t>
      </w:r>
    </w:p>
    <w:p>
      <w:pPr>
        <w:pStyle w:val="style179"/>
        <w:widowControl/>
        <w:numPr>
          <w:ilvl w:val="0"/>
          <w:numId w:val="30"/>
        </w:numPr>
        <w:adjustRightInd w:val="false"/>
        <w:snapToGrid w:val="false"/>
        <w:spacing w:before="120" w:after="120"/>
        <w:ind w:firstLineChars="0"/>
        <w:rPr>
          <w:rFonts w:ascii="Arial" w:cs="Arial" w:eastAsia="宋体" w:hAnsi="Arial"/>
          <w:b/>
          <w:bCs/>
          <w:sz w:val="22"/>
          <w:szCs w:val="24"/>
        </w:rPr>
      </w:pPr>
      <w:r>
        <w:rPr>
          <w:rFonts w:ascii="Arial" w:cs="Arial" w:eastAsia="宋体" w:hAnsi="Arial"/>
          <w:b/>
          <w:bCs/>
          <w:sz w:val="22"/>
          <w:szCs w:val="24"/>
        </w:rPr>
        <w:t>受影响单位：</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受征地影响的人（简称PLA）：</w:t>
      </w:r>
      <w:r>
        <w:rPr>
          <w:rFonts w:ascii="Arial" w:cs="Arial" w:eastAsia="宋体" w:hAnsi="Arial"/>
          <w:sz w:val="22"/>
          <w:szCs w:val="24"/>
        </w:rPr>
        <w:t>受征地或占地影响的农户或居民；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受拆迁影响的人（简称POD）：</w:t>
      </w:r>
      <w:r>
        <w:rPr>
          <w:rFonts w:ascii="Arial" w:cs="Arial" w:eastAsia="宋体" w:hAnsi="Arial"/>
          <w:sz w:val="22"/>
          <w:szCs w:val="24"/>
        </w:rPr>
        <w:t>地面构筑物受影响的居民；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付费居民（简称HOP）：</w:t>
      </w:r>
      <w:r>
        <w:rPr>
          <w:rFonts w:ascii="Arial" w:cs="Arial" w:eastAsia="宋体" w:hAnsi="Arial"/>
          <w:sz w:val="22"/>
          <w:szCs w:val="24"/>
        </w:rPr>
        <w:t>需要为污水处理和运营付费，或为生活垃圾的收集、处理及设施运营维护付费的居民；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需进行垃圾分类的居民（简称PSW）：</w:t>
      </w:r>
      <w:r>
        <w:rPr>
          <w:rFonts w:ascii="Arial" w:cs="Arial" w:eastAsia="宋体" w:hAnsi="Arial"/>
          <w:sz w:val="22"/>
          <w:szCs w:val="24"/>
        </w:rPr>
        <w:t>参与到生活垃圾分类和回收利用的农村居民。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种植户：</w:t>
      </w:r>
      <w:r>
        <w:rPr>
          <w:rFonts w:ascii="Arial" w:cs="Arial" w:eastAsia="宋体" w:hAnsi="Arial"/>
          <w:sz w:val="22"/>
          <w:szCs w:val="24"/>
        </w:rPr>
        <w:t>参与到农膜、农药包装废弃物、秸秆等回收利用、化肥减量的种植户。</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养殖户：</w:t>
      </w:r>
      <w:r>
        <w:rPr>
          <w:rFonts w:ascii="Arial" w:cs="Arial" w:eastAsia="宋体" w:hAnsi="Arial"/>
          <w:sz w:val="22"/>
          <w:szCs w:val="24"/>
        </w:rPr>
        <w:t>参与到畜禽粪污资源化处理养殖户。</w:t>
      </w:r>
    </w:p>
    <w:p>
      <w:pPr>
        <w:pStyle w:val="style179"/>
        <w:adjustRightInd w:val="false"/>
        <w:snapToGrid w:val="false"/>
        <w:spacing w:before="120" w:after="120"/>
        <w:ind w:firstLine="440"/>
        <w:rPr>
          <w:rFonts w:ascii="Arial" w:cs="Arial" w:eastAsia="宋体" w:hAnsi="Arial"/>
          <w:sz w:val="22"/>
          <w:szCs w:val="24"/>
        </w:rPr>
      </w:pPr>
    </w:p>
    <w:p>
      <w:pPr>
        <w:pStyle w:val="style179"/>
        <w:widowControl/>
        <w:numPr>
          <w:ilvl w:val="0"/>
          <w:numId w:val="30"/>
        </w:numPr>
        <w:adjustRightInd w:val="false"/>
        <w:snapToGrid w:val="false"/>
        <w:spacing w:before="120" w:after="120"/>
        <w:ind w:firstLineChars="0"/>
        <w:rPr>
          <w:rFonts w:ascii="Arial" w:cs="Arial" w:eastAsia="宋体" w:hAnsi="Arial"/>
          <w:b/>
          <w:bCs/>
          <w:sz w:val="22"/>
          <w:szCs w:val="24"/>
        </w:rPr>
      </w:pPr>
      <w:r>
        <w:rPr>
          <w:rFonts w:ascii="Arial" w:cs="Arial" w:eastAsia="宋体" w:hAnsi="Arial"/>
          <w:b/>
          <w:bCs/>
          <w:sz w:val="22"/>
          <w:szCs w:val="24"/>
        </w:rPr>
        <w:t>感兴趣的单位：</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运营单位：</w:t>
      </w:r>
      <w:r>
        <w:rPr>
          <w:rFonts w:ascii="Arial" w:cs="Arial" w:eastAsia="宋体" w:hAnsi="Arial"/>
          <w:sz w:val="22"/>
          <w:szCs w:val="24"/>
        </w:rPr>
        <w:t>污水处理</w:t>
      </w:r>
      <w:r>
        <w:rPr>
          <w:rFonts w:ascii="Arial" w:cs="Arial" w:eastAsia="宋体" w:hAnsi="Arial" w:hint="eastAsia"/>
          <w:sz w:val="22"/>
          <w:szCs w:val="24"/>
        </w:rPr>
        <w:t>设施、</w:t>
      </w:r>
      <w:r>
        <w:rPr>
          <w:rFonts w:ascii="Arial" w:cs="Arial" w:eastAsia="宋体" w:hAnsi="Arial"/>
          <w:sz w:val="22"/>
          <w:szCs w:val="24"/>
        </w:rPr>
        <w:t>生活垃圾收集、转运和处置的运营单位、农膜回收处理企业、畜禽养殖粪污资源化利用企业</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供应商：</w:t>
      </w:r>
      <w:r>
        <w:rPr>
          <w:rFonts w:ascii="Arial" w:cs="Arial" w:eastAsia="宋体" w:hAnsi="Arial"/>
          <w:sz w:val="22"/>
          <w:szCs w:val="24"/>
        </w:rPr>
        <w:t>服务和物质的供应商，如设备和肥料等</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机构：</w:t>
      </w:r>
      <w:r>
        <w:rPr>
          <w:rFonts w:ascii="Arial" w:cs="Arial" w:eastAsia="宋体" w:hAnsi="Arial"/>
          <w:sz w:val="22"/>
          <w:szCs w:val="24"/>
        </w:rPr>
        <w:t>妇联、扶贫办或乡村振兴局等</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非政府组织（NGOs）：</w:t>
      </w:r>
      <w:r>
        <w:rPr>
          <w:rFonts w:ascii="Arial" w:cs="Arial" w:eastAsia="宋体" w:hAnsi="Arial"/>
          <w:sz w:val="22"/>
          <w:szCs w:val="24"/>
        </w:rPr>
        <w:t>对环境质量关注的非政府组织</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研究人员：</w:t>
      </w:r>
      <w:r>
        <w:rPr>
          <w:rFonts w:ascii="Arial" w:cs="Arial" w:eastAsia="宋体" w:hAnsi="Arial"/>
          <w:sz w:val="22"/>
          <w:szCs w:val="24"/>
        </w:rPr>
        <w:t>研究机构或大学的人员等</w:t>
      </w:r>
    </w:p>
    <w:p>
      <w:pPr>
        <w:pStyle w:val="style179"/>
        <w:adjustRightInd w:val="false"/>
        <w:snapToGrid w:val="false"/>
        <w:spacing w:before="120" w:after="120"/>
        <w:ind w:firstLine="440"/>
        <w:rPr>
          <w:rFonts w:ascii="Arial" w:cs="Arial" w:eastAsia="宋体" w:hAnsi="Arial"/>
          <w:sz w:val="22"/>
          <w:szCs w:val="24"/>
        </w:rPr>
      </w:pPr>
    </w:p>
    <w:p>
      <w:pPr>
        <w:pStyle w:val="style179"/>
        <w:widowControl/>
        <w:numPr>
          <w:ilvl w:val="0"/>
          <w:numId w:val="30"/>
        </w:numPr>
        <w:adjustRightInd w:val="false"/>
        <w:snapToGrid w:val="false"/>
        <w:spacing w:before="120" w:after="120"/>
        <w:ind w:firstLineChars="0"/>
        <w:rPr>
          <w:rFonts w:ascii="Arial" w:cs="Arial" w:eastAsia="宋体" w:hAnsi="Arial"/>
          <w:b/>
          <w:bCs/>
          <w:sz w:val="22"/>
          <w:szCs w:val="24"/>
        </w:rPr>
      </w:pPr>
      <w:r>
        <w:rPr>
          <w:rFonts w:ascii="Arial" w:cs="Arial" w:eastAsia="宋体" w:hAnsi="Arial"/>
          <w:b/>
          <w:bCs/>
          <w:sz w:val="22"/>
          <w:szCs w:val="24"/>
        </w:rPr>
        <w:t>管理机构</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NCG：</w:t>
      </w:r>
      <w:r>
        <w:rPr>
          <w:rFonts w:ascii="Arial" w:cs="Arial" w:eastAsia="宋体" w:hAnsi="Arial"/>
          <w:sz w:val="22"/>
          <w:szCs w:val="24"/>
        </w:rPr>
        <w:t>中央政府</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PGDs：</w:t>
      </w:r>
      <w:r>
        <w:rPr>
          <w:rFonts w:ascii="Arial" w:cs="Arial" w:eastAsia="宋体" w:hAnsi="Arial"/>
          <w:sz w:val="22"/>
          <w:szCs w:val="24"/>
        </w:rPr>
        <w:t>省级及相关职能部门</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CGs：</w:t>
      </w:r>
      <w:r>
        <w:rPr>
          <w:rFonts w:ascii="Arial" w:cs="Arial" w:eastAsia="宋体" w:hAnsi="Arial"/>
          <w:sz w:val="22"/>
          <w:szCs w:val="24"/>
        </w:rPr>
        <w:t>项目涉及的县级人民政府</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DIC：</w:t>
      </w:r>
      <w:r>
        <w:rPr>
          <w:rFonts w:ascii="Arial" w:cs="Arial" w:eastAsia="宋体" w:hAnsi="Arial"/>
          <w:sz w:val="22"/>
          <w:szCs w:val="24"/>
        </w:rPr>
        <w:t>各项目县相关领域的职能部门，如水利局、住建局、农业农村局、生态环境局</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TGs：</w:t>
      </w:r>
      <w:r>
        <w:rPr>
          <w:rFonts w:ascii="Arial" w:cs="Arial" w:eastAsia="宋体" w:hAnsi="Arial"/>
          <w:sz w:val="22"/>
          <w:szCs w:val="24"/>
        </w:rPr>
        <w:t>项目活动所在的乡镇政府，包括征/占地、污水处理、生活垃圾收集、分类、回收利用等活动</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VCs：</w:t>
      </w:r>
      <w:r>
        <w:rPr>
          <w:rFonts w:ascii="Arial" w:cs="Arial" w:eastAsia="宋体" w:hAnsi="Arial"/>
          <w:sz w:val="22"/>
          <w:szCs w:val="24"/>
        </w:rPr>
        <w:t>项目活动所在的村委会</w:t>
      </w:r>
    </w:p>
    <w:p>
      <w:pPr>
        <w:pStyle w:val="style179"/>
        <w:adjustRightInd w:val="false"/>
        <w:snapToGrid w:val="false"/>
        <w:spacing w:before="120" w:after="120"/>
        <w:ind w:firstLine="440"/>
        <w:rPr>
          <w:rFonts w:ascii="Arial" w:cs="Arial" w:eastAsia="宋体" w:hAnsi="Arial"/>
          <w:sz w:val="22"/>
          <w:szCs w:val="24"/>
        </w:rPr>
      </w:pPr>
    </w:p>
    <w:p>
      <w:pPr>
        <w:pStyle w:val="style179"/>
        <w:widowControl/>
        <w:adjustRightInd w:val="false"/>
        <w:snapToGrid w:val="false"/>
        <w:spacing w:before="120" w:after="120"/>
        <w:ind w:firstLine="440"/>
        <w:rPr>
          <w:rFonts w:ascii="Arial" w:cs="Arial" w:eastAsia="宋体" w:hAnsi="Arial"/>
          <w:sz w:val="22"/>
          <w:szCs w:val="24"/>
        </w:rPr>
      </w:pPr>
      <w:r>
        <w:rPr>
          <w:rFonts w:ascii="Arial" w:cs="Arial" w:eastAsia="宋体" w:hAnsi="Arial"/>
          <w:sz w:val="22"/>
          <w:szCs w:val="24"/>
        </w:rPr>
        <w:t>附表4-1是详细的利益相关方识别和分析。</w:t>
      </w:r>
    </w:p>
    <w:p>
      <w:pPr>
        <w:pStyle w:val="style0"/>
        <w:adjustRightInd w:val="false"/>
        <w:snapToGrid w:val="false"/>
        <w:spacing w:before="120" w:after="120"/>
        <w:rPr>
          <w:rFonts w:ascii="Arial" w:cs="Arial" w:eastAsia="宋体" w:hAnsi="Arial"/>
          <w:sz w:val="22"/>
          <w:szCs w:val="24"/>
        </w:rPr>
      </w:pPr>
    </w:p>
    <w:p>
      <w:pPr>
        <w:pStyle w:val="style0"/>
        <w:widowControl/>
        <w:jc w:val="left"/>
        <w:rPr>
          <w:rFonts w:ascii="Arial" w:cs="Arial" w:eastAsia="宋体" w:hAnsi="Arial"/>
          <w:b/>
          <w:bCs/>
          <w:sz w:val="22"/>
          <w:szCs w:val="24"/>
        </w:rPr>
      </w:pPr>
      <w:r>
        <w:rPr>
          <w:rFonts w:ascii="Arial" w:cs="Arial" w:eastAsia="宋体" w:hAnsi="Arial"/>
          <w:b/>
          <w:bCs/>
          <w:sz w:val="22"/>
          <w:szCs w:val="24"/>
        </w:rPr>
        <w:br w:type="page"/>
      </w:r>
    </w:p>
    <w:p>
      <w:pPr>
        <w:pStyle w:val="style0"/>
        <w:adjustRightInd w:val="false"/>
        <w:snapToGrid w:val="false"/>
        <w:spacing w:before="120" w:after="120"/>
        <w:rPr>
          <w:rFonts w:ascii="Arial" w:cs="Arial" w:eastAsia="宋体" w:hAnsi="Arial"/>
          <w:b/>
          <w:bCs/>
          <w:sz w:val="22"/>
          <w:szCs w:val="24"/>
        </w:rPr>
      </w:pPr>
      <w:r>
        <w:rPr>
          <w:rFonts w:ascii="Arial" w:cs="Arial" w:eastAsia="宋体" w:hAnsi="Arial"/>
          <w:b/>
          <w:bCs/>
          <w:sz w:val="22"/>
          <w:szCs w:val="24"/>
        </w:rPr>
        <w:t>利益相关方分布矩阵图</w:t>
      </w:r>
    </w:p>
    <w:p>
      <w:pPr>
        <w:pStyle w:val="style179"/>
        <w:widowControl/>
        <w:adjustRightInd w:val="false"/>
        <w:snapToGrid w:val="false"/>
        <w:spacing w:before="120" w:after="120"/>
        <w:ind w:firstLine="440"/>
        <w:rPr>
          <w:rFonts w:ascii="Arial" w:cs="Arial" w:eastAsia="宋体" w:hAnsi="Arial"/>
          <w:sz w:val="22"/>
          <w:szCs w:val="24"/>
        </w:rPr>
      </w:pPr>
    </w:p>
    <w:p>
      <w:pPr>
        <w:pStyle w:val="style179"/>
        <w:widowControl/>
        <w:adjustRightInd w:val="false"/>
        <w:snapToGrid w:val="false"/>
        <w:spacing w:before="120" w:after="120"/>
        <w:ind w:firstLine="440"/>
        <w:rPr>
          <w:rFonts w:ascii="Arial" w:cs="Arial" w:eastAsia="宋体" w:hAnsi="Arial"/>
          <w:sz w:val="22"/>
          <w:szCs w:val="24"/>
        </w:rPr>
      </w:pPr>
      <w:r>
        <w:rPr>
          <w:rFonts w:ascii="Arial" w:cs="Arial" w:eastAsia="宋体" w:hAnsi="Arial"/>
          <w:sz w:val="22"/>
          <w:szCs w:val="24"/>
        </w:rPr>
        <w:t>在受影响单位中，包括直接受影响单位、间接受影响单位、短期受影响者和长期受影响者。对于感兴趣的单位，包括对项目具有影响力的单位，或对项目实施效果有重要影响的单位。下面的利益相关方分布矩阵图是基于各单位受环境社会影响的程度为横轴，以各单位对项目决策的影响力为纵轴，将各利益相关方分布在不同的区域。</w:t>
      </w:r>
    </w:p>
    <w:p>
      <w:pPr>
        <w:pStyle w:val="style4109"/>
        <w:numPr>
          <w:ilvl w:val="0"/>
          <w:numId w:val="0"/>
        </w:numPr>
        <w:spacing w:before="240"/>
        <w:contextualSpacing w:val="false"/>
        <w:rPr>
          <w:rFonts w:ascii="Arial" w:cs="Arial" w:eastAsia="宋体" w:hAnsi="Arial"/>
          <w:color w:val="203864"/>
          <w:szCs w:val="28"/>
          <w:lang w:eastAsia="zh-CN"/>
        </w:rPr>
      </w:pPr>
      <w:r>
        <w:rPr>
          <w:rFonts w:ascii="Arial" w:cs="Arial" w:eastAsia="宋体" w:hAnsi="Arial"/>
          <w:color w:val="203864"/>
          <w:szCs w:val="28"/>
          <w:lang w:eastAsia="zh-CN"/>
        </w:rPr>
        <w:drawing>
          <wp:inline distL="0" distT="0" distB="0" distR="0">
            <wp:extent cx="5943600" cy="3130550"/>
            <wp:effectExtent l="0" t="0" r="0" b="0"/>
            <wp:docPr id="1026" name="图片 115" descr="Table&#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15"/>
                    <pic:cNvPicPr/>
                  </pic:nvPicPr>
                  <pic:blipFill>
                    <a:blip r:embed="rId10" cstate="print">
                      <a:duotone>
                        <a:srgbClr val="000000"/>
                        <a:srgbClr val="95d1ff"/>
                      </a:duotone>
                    </a:blip>
                    <a:srcRect l="0" t="0" r="0" b="0"/>
                    <a:stretch/>
                  </pic:blipFill>
                  <pic:spPr>
                    <a:xfrm rot="0">
                      <a:off x="0" y="0"/>
                      <a:ext cx="5943600" cy="3130550"/>
                    </a:xfrm>
                    <a:prstGeom prst="rect"/>
                  </pic:spPr>
                </pic:pic>
              </a:graphicData>
            </a:graphic>
          </wp:inline>
        </w:drawing>
      </w:r>
    </w:p>
    <w:p>
      <w:pPr>
        <w:pStyle w:val="style0"/>
        <w:spacing w:after="120"/>
        <w:rPr>
          <w:rFonts w:ascii="Arial" w:cs="Arial" w:eastAsia="宋体" w:hAnsi="Arial"/>
          <w:sz w:val="20"/>
          <w:szCs w:val="24"/>
        </w:rPr>
      </w:pPr>
    </w:p>
    <w:p>
      <w:pPr>
        <w:pStyle w:val="style0"/>
        <w:spacing w:after="120"/>
        <w:rPr>
          <w:rFonts w:ascii="Arial" w:cs="Arial" w:eastAsia="宋体" w:hAnsi="Arial"/>
          <w:sz w:val="20"/>
          <w:szCs w:val="24"/>
        </w:rPr>
        <w:sectPr>
          <w:pgSz w:w="12240" w:h="15840" w:orient="portrait"/>
          <w:pgMar w:top="1134" w:right="1134" w:bottom="1134" w:left="1134" w:header="720" w:footer="720" w:gutter="0"/>
          <w:cols w:space="720" w:num="1"/>
          <w:docGrid w:linePitch="360" w:charSpace="0"/>
        </w:sectPr>
      </w:pPr>
    </w:p>
    <w:p>
      <w:pPr>
        <w:pStyle w:val="style4109"/>
        <w:numPr>
          <w:ilvl w:val="0"/>
          <w:numId w:val="0"/>
        </w:numPr>
        <w:adjustRightInd w:val="false"/>
        <w:snapToGrid w:val="false"/>
        <w:spacing w:after="120"/>
        <w:contextualSpacing w:val="false"/>
        <w:rPr>
          <w:rFonts w:ascii="Arial" w:cs="Arial" w:eastAsia="宋体" w:hAnsi="Arial"/>
          <w:color w:val="000000"/>
          <w:sz w:val="22"/>
          <w:lang w:eastAsia="zh-CN"/>
        </w:rPr>
      </w:pPr>
      <w:r>
        <w:rPr>
          <w:rFonts w:ascii="Arial" w:cs="Arial" w:eastAsia="宋体" w:hAnsi="Arial"/>
          <w:color w:val="000000"/>
          <w:szCs w:val="28"/>
          <w:lang w:eastAsia="zh-CN"/>
        </w:rPr>
        <w:t>附表4-1：利益相关方识别与分析</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46"/>
        <w:gridCol w:w="2176"/>
        <w:gridCol w:w="1597"/>
        <w:gridCol w:w="2466"/>
        <w:gridCol w:w="2170"/>
      </w:tblGrid>
      <w:tr>
        <w:trPr>
          <w:trHeight w:val="20" w:hRule="atLeast"/>
          <w:tblHeader/>
        </w:trPr>
        <w:tc>
          <w:tcPr>
            <w:tcW w:w="734" w:type="pct"/>
            <w:tcBorders/>
            <w:shd w:val="clear" w:color="auto" w:fill="e7e6e6"/>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结果领域</w:t>
            </w:r>
          </w:p>
        </w:tc>
        <w:tc>
          <w:tcPr>
            <w:tcW w:w="1104" w:type="pct"/>
            <w:tcBorders/>
            <w:shd w:val="clear" w:color="auto" w:fill="e7e6e6"/>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活动</w:t>
            </w:r>
          </w:p>
        </w:tc>
        <w:tc>
          <w:tcPr>
            <w:tcW w:w="810" w:type="pct"/>
            <w:tcBorders/>
            <w:shd w:val="clear" w:color="auto" w:fill="e7e6e6"/>
            <w:noWrap/>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受影响单位</w:t>
            </w:r>
          </w:p>
        </w:tc>
        <w:tc>
          <w:tcPr>
            <w:tcW w:w="1251" w:type="pct"/>
            <w:tcBorders/>
            <w:shd w:val="clear" w:color="auto" w:fill="e7e6e6"/>
            <w:noWrap/>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感兴趣的单位</w:t>
            </w:r>
          </w:p>
        </w:tc>
        <w:tc>
          <w:tcPr>
            <w:tcW w:w="1101" w:type="pct"/>
            <w:tcBorders/>
            <w:shd w:val="clear" w:color="auto" w:fill="e7e6e6"/>
            <w:noWrap/>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管理机构</w:t>
            </w:r>
          </w:p>
        </w:tc>
      </w:tr>
      <w:tr>
        <w:tblPrEx/>
        <w:trPr>
          <w:trHeight w:val="20" w:hRule="atLeast"/>
        </w:trPr>
        <w:tc>
          <w:tcPr>
            <w:tcW w:w="734" w:type="pct"/>
            <w:tcBorders/>
            <w:shd w:val="clear" w:color="auto" w:fill="auto"/>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1.加强机构管理能力</w:t>
            </w:r>
          </w:p>
        </w:tc>
        <w:tc>
          <w:tcPr>
            <w:tcW w:w="1104"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建立以绿色农业规划为基础的整合财政资金预算和支出报告系统；</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支持编制或修订绿色农业发展标准、规定、导则等。</w:t>
            </w:r>
          </w:p>
        </w:tc>
        <w:tc>
          <w:tcPr>
            <w:tcW w:w="810" w:type="pct"/>
            <w:tcBorders/>
            <w:shd w:val="clear" w:color="auto" w:fill="auto"/>
            <w:noWrap/>
            <w:vAlign w:val="center"/>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color w:val="000000"/>
                <w:sz w:val="20"/>
                <w:szCs w:val="20"/>
              </w:rPr>
              <w:t>无</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b/>
                <w:bCs/>
                <w:color w:val="000000"/>
                <w:sz w:val="20"/>
                <w:szCs w:val="20"/>
              </w:rPr>
            </w:pPr>
            <w:r>
              <w:rPr>
                <w:rFonts w:ascii="Arial" w:cs="Arial" w:eastAsia="宋体" w:hAnsi="Arial"/>
                <w:color w:val="000000"/>
                <w:sz w:val="20"/>
                <w:szCs w:val="20"/>
              </w:rPr>
              <w:t>中央及省级政府部门，各级政府农业农村部门、生态环境部门、自然资源与规划部门等</w:t>
            </w:r>
          </w:p>
        </w:tc>
      </w:tr>
      <w:tr>
        <w:tblPrEx/>
        <w:trPr>
          <w:trHeight w:val="20" w:hRule="atLeast"/>
        </w:trPr>
        <w:tc>
          <w:tcPr>
            <w:tcW w:w="734" w:type="pct"/>
            <w:vMerge w:val="restart"/>
            <w:tcBorders/>
            <w:shd w:val="clear" w:color="auto" w:fill="auto"/>
            <w:vAlign w:val="center"/>
          </w:tcPr>
          <w:p>
            <w:pPr>
              <w:pStyle w:val="style0"/>
              <w:adjustRightInd w:val="false"/>
              <w:snapToGrid w:val="false"/>
              <w:jc w:val="center"/>
              <w:rPr>
                <w:rFonts w:ascii="Arial" w:cs="Arial" w:eastAsia="宋体" w:hAnsi="Arial"/>
                <w:color w:val="000000"/>
                <w:sz w:val="22"/>
              </w:rPr>
            </w:pPr>
            <w:r>
              <w:rPr>
                <w:rFonts w:ascii="Arial" w:cs="Arial" w:eastAsia="宋体" w:hAnsi="Arial"/>
                <w:b/>
                <w:bCs/>
                <w:color w:val="000000"/>
                <w:sz w:val="20"/>
                <w:szCs w:val="20"/>
              </w:rPr>
              <w:t>2.推动绿色农业全产业链发展</w:t>
            </w: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绿色种植业发展：</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农药化肥减量</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关注贫困的组织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2"/>
              </w:rPr>
            </w:pP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绿色养殖业发展：</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养殖业粪污处理与利用</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养殖户</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受征地/占地影响的农户和居民</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服务供应商</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主管部门，如省级和县级农业农村部门、生态环境部门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2"/>
              </w:rPr>
            </w:pP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废旧农用塑料管理：</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农膜、农药和化肥包装废弃物等收集</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农膜回收利用/处理服务供应商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2"/>
              </w:rPr>
            </w:pP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秸秆综合利用：</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秸秆肥料化、饲料化、原料化等综合利用</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秸秆回收利用/处理服务供应商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关注贫困的组织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restart"/>
            <w:tcBorders/>
            <w:shd w:val="clear" w:color="auto" w:fill="auto"/>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3．改善农村基础设施和公共服务</w:t>
            </w:r>
          </w:p>
        </w:tc>
        <w:tc>
          <w:tcPr>
            <w:tcW w:w="1104" w:type="pct"/>
            <w:tcBorders/>
            <w:shd w:val="clear" w:color="auto" w:fill="auto"/>
            <w:vAlign w:val="center"/>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农村建设软课题：</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编制一批“多规合一”村庄规划；</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开展绿色农业培训和人才培养</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农业种植户、养殖户</w:t>
            </w:r>
          </w:p>
        </w:tc>
        <w:tc>
          <w:tcPr>
            <w:tcW w:w="125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关注贫困和妇女发展的单位</w:t>
            </w:r>
          </w:p>
        </w:tc>
        <w:tc>
          <w:tcPr>
            <w:tcW w:w="110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中央及省级政府部门，各级政府农业农村部门、生态环境部门、自然资源与规划部门等</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当地县政府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0"/>
                <w:szCs w:val="20"/>
              </w:rPr>
            </w:pPr>
          </w:p>
        </w:tc>
        <w:tc>
          <w:tcPr>
            <w:tcW w:w="1104" w:type="pct"/>
            <w:tcBorders/>
            <w:shd w:val="clear" w:color="auto" w:fill="auto"/>
            <w:vAlign w:val="center"/>
          </w:tcPr>
          <w:p>
            <w:pPr>
              <w:pStyle w:val="style0"/>
              <w:widowControl/>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农村生活污水管理：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农村污水收集与处理，建设农村污水处理设施及管网；</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农户改厕和卫生设施改造</w:t>
            </w:r>
          </w:p>
        </w:tc>
        <w:tc>
          <w:tcPr>
            <w:tcW w:w="810" w:type="pct"/>
            <w:tcBorders/>
            <w:shd w:val="clear" w:color="auto" w:fill="auto"/>
            <w:noWrap/>
            <w:vAlign w:val="center"/>
          </w:tcPr>
          <w:p>
            <w:pPr>
              <w:pStyle w:val="style179"/>
              <w:widowControl/>
              <w:numPr>
                <w:ilvl w:val="0"/>
                <w:numId w:val="35"/>
              </w:numPr>
              <w:tabs>
                <w:tab w:val="left" w:leader="none" w:pos="325"/>
              </w:tabs>
              <w:adjustRightInd w:val="false"/>
              <w:snapToGrid w:val="false"/>
              <w:ind w:left="0" w:firstLine="0" w:firstLineChars="0"/>
              <w:jc w:val="left"/>
              <w:rPr>
                <w:rFonts w:ascii="Arial" w:cs="Arial" w:eastAsia="宋体" w:hAnsi="Arial"/>
                <w:color w:val="000000"/>
                <w:sz w:val="20"/>
                <w:szCs w:val="20"/>
              </w:rPr>
            </w:pPr>
            <w:r>
              <w:rPr>
                <w:rFonts w:ascii="Arial" w:cs="Arial" w:eastAsia="宋体" w:hAnsi="Arial"/>
                <w:color w:val="000000"/>
                <w:sz w:val="20"/>
                <w:szCs w:val="20"/>
              </w:rPr>
              <w:t>受征地/占地影响的农户和居民</w:t>
            </w:r>
          </w:p>
          <w:p>
            <w:pPr>
              <w:pStyle w:val="style179"/>
              <w:widowControl/>
              <w:numPr>
                <w:ilvl w:val="0"/>
                <w:numId w:val="35"/>
              </w:numPr>
              <w:tabs>
                <w:tab w:val="left" w:leader="none" w:pos="325"/>
              </w:tabs>
              <w:adjustRightInd w:val="false"/>
              <w:snapToGrid w:val="false"/>
              <w:ind w:left="0" w:firstLine="0" w:firstLineChars="0"/>
              <w:jc w:val="left"/>
              <w:rPr>
                <w:rFonts w:ascii="Arial" w:cs="Arial" w:eastAsia="宋体" w:hAnsi="Arial"/>
                <w:color w:val="000000"/>
                <w:sz w:val="20"/>
                <w:szCs w:val="20"/>
              </w:rPr>
            </w:pPr>
            <w:r>
              <w:rPr>
                <w:rFonts w:ascii="Arial" w:cs="Arial" w:eastAsia="宋体" w:hAnsi="Arial"/>
                <w:color w:val="000000"/>
                <w:sz w:val="20"/>
                <w:szCs w:val="20"/>
              </w:rPr>
              <w:t>需为污水收集处理付费的居民</w:t>
            </w:r>
          </w:p>
        </w:tc>
        <w:tc>
          <w:tcPr>
            <w:tcW w:w="125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污水设施运营商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服务和设备供应商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关注环境治理的人和单位</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关注贫困和妇女发展的单位</w:t>
            </w:r>
          </w:p>
        </w:tc>
        <w:tc>
          <w:tcPr>
            <w:tcW w:w="110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主管部门，如省级和县级农业农村、生态环境局或住建局</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当地县政府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受征地拆迁影响的村委会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b/>
                <w:bCs/>
                <w:color w:val="000000"/>
                <w:sz w:val="20"/>
                <w:szCs w:val="20"/>
              </w:rPr>
            </w:pPr>
          </w:p>
        </w:tc>
        <w:tc>
          <w:tcPr>
            <w:tcW w:w="1104" w:type="pct"/>
            <w:tcBorders/>
            <w:shd w:val="clear" w:color="auto" w:fill="auto"/>
            <w:vAlign w:val="center"/>
          </w:tcPr>
          <w:p>
            <w:pPr>
              <w:pStyle w:val="style179"/>
              <w:widowControl/>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农村生活垃圾管理：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农村生活垃圾收集、转运、处置，修建垃圾转运站等</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受征地/占地影响的农户和居民</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需为垃圾收集处理付费的居民</w:t>
            </w:r>
          </w:p>
        </w:tc>
        <w:tc>
          <w:tcPr>
            <w:tcW w:w="125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垃圾收集转运设施运营商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服务和设备供应商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关注环境治理的人和单位</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关注贫困和妇女发展的单位</w:t>
            </w:r>
          </w:p>
        </w:tc>
        <w:tc>
          <w:tcPr>
            <w:tcW w:w="110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主管部门，如省级和县级农业农村或住建局</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当地县政府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受征地拆迁/占地影响的村委会</w:t>
            </w:r>
          </w:p>
        </w:tc>
      </w:tr>
    </w:tbl>
    <w:p>
      <w:pPr>
        <w:pStyle w:val="style0"/>
        <w:spacing w:after="120"/>
        <w:rPr>
          <w:rFonts w:ascii="Arial" w:cs="Arial" w:eastAsia="宋体" w:hAnsi="Arial"/>
          <w:sz w:val="20"/>
          <w:szCs w:val="24"/>
          <w:lang w:val="en-GB"/>
        </w:rPr>
        <w:sectPr>
          <w:pgSz w:w="11906" w:h="16838" w:orient="portrait"/>
          <w:pgMar w:top="1134" w:right="1134" w:bottom="1134" w:left="1134" w:header="720" w:footer="720" w:gutter="0"/>
          <w:cols w:space="720" w:num="1"/>
          <w:docGrid w:linePitch="360" w:charSpace="0"/>
        </w:sectPr>
      </w:pPr>
    </w:p>
    <w:bookmarkStart w:id="802" w:name="_Toc93944854"/>
    <w:bookmarkStart w:id="803" w:name="_Toc79939284"/>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附件5：资料收集活动</w:t>
      </w:r>
      <w:bookmarkEnd w:id="802"/>
      <w:bookmarkEnd w:id="803"/>
    </w:p>
    <w:p>
      <w:pPr>
        <w:pStyle w:val="style1"/>
        <w:adjustRightInd w:val="false"/>
        <w:snapToGrid w:val="false"/>
        <w:spacing w:before="120" w:after="120" w:lineRule="auto" w:line="240"/>
        <w:rPr>
          <w:rFonts w:ascii="Arial" w:cs="Arial" w:eastAsia="宋体" w:hAnsi="Arial"/>
          <w:color w:val="000000"/>
          <w:sz w:val="28"/>
          <w:szCs w:val="28"/>
        </w:rPr>
        <w:sectPr>
          <w:pgSz w:w="11906" w:h="16838" w:orient="portrait"/>
          <w:pgMar w:top="1134" w:right="1134" w:bottom="1134" w:left="1134" w:header="851" w:footer="992" w:gutter="0"/>
          <w:cols w:space="425" w:num="1"/>
          <w:docGrid w:type="lines" w:linePitch="312" w:charSpace="0"/>
        </w:sectPr>
      </w:pPr>
    </w:p>
    <w:bookmarkStart w:id="804" w:name="_Toc79939285"/>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851"/>
        <w:gridCol w:w="1286"/>
        <w:gridCol w:w="5733"/>
        <w:gridCol w:w="1824"/>
      </w:tblGrid>
      <w:tr>
        <w:trPr/>
        <w:tc>
          <w:tcPr>
            <w:tcW w:w="439"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省份</w:t>
            </w:r>
          </w:p>
        </w:tc>
        <w:tc>
          <w:tcPr>
            <w:tcW w:w="663"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时间</w:t>
            </w:r>
          </w:p>
        </w:tc>
        <w:tc>
          <w:tcPr>
            <w:tcW w:w="2957"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部门</w:t>
            </w:r>
          </w:p>
        </w:tc>
        <w:tc>
          <w:tcPr>
            <w:tcW w:w="941"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咨询方式</w:t>
            </w:r>
          </w:p>
        </w:tc>
      </w:tr>
      <w:tr>
        <w:tblPrEx/>
        <w:trPr/>
        <w:tc>
          <w:tcPr>
            <w:tcW w:w="439" w:type="pct"/>
            <w:vMerge w:val="restart"/>
            <w:tcBorders>
              <w:top w:val="single" w:sz="4" w:space="0" w:color="auto"/>
              <w:left w:val="single" w:sz="4" w:space="0" w:color="auto"/>
              <w:right w:val="single" w:sz="4" w:space="0" w:color="auto"/>
            </w:tcBorders>
          </w:tcPr>
          <w:p>
            <w:pPr>
              <w:pStyle w:val="style0"/>
              <w:snapToGrid w:val="false"/>
              <w:jc w:val="center"/>
              <w:rPr>
                <w:rFonts w:ascii="Arial" w:cs="Arial" w:eastAsia="宋体" w:hAnsi="Arial"/>
                <w:sz w:val="20"/>
                <w:szCs w:val="20"/>
              </w:rPr>
            </w:pPr>
            <w:r>
              <w:rPr>
                <w:rFonts w:ascii="Arial" w:cs="Arial" w:eastAsia="宋体" w:hAnsi="Arial"/>
                <w:sz w:val="20"/>
                <w:szCs w:val="20"/>
              </w:rPr>
              <w:t>广西</w:t>
            </w: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2021年11月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6"/>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省级部门：</w:t>
            </w:r>
            <w:r>
              <w:rPr>
                <w:rFonts w:ascii="Arial" w:cs="Arial" w:eastAsia="宋体" w:hAnsi="Arial"/>
                <w:iCs/>
                <w:sz w:val="20"/>
                <w:szCs w:val="20"/>
              </w:rPr>
              <w:t>发改委、财政厅、农业农村厅、乡村振兴局、住建厅、生态环境厅、自然资源厅</w:t>
            </w:r>
          </w:p>
          <w:p>
            <w:pPr>
              <w:pStyle w:val="style179"/>
              <w:numPr>
                <w:ilvl w:val="0"/>
                <w:numId w:val="36"/>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样本县：</w:t>
            </w:r>
            <w:r>
              <w:rPr>
                <w:rFonts w:ascii="Arial" w:cs="Arial" w:eastAsia="宋体" w:hAnsi="Arial"/>
                <w:iCs/>
                <w:sz w:val="20"/>
                <w:szCs w:val="20"/>
              </w:rPr>
              <w:t>博白县</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现场走访咨询</w:t>
            </w:r>
          </w:p>
        </w:tc>
      </w:tr>
      <w:tr>
        <w:tblPrEx/>
        <w:trPr/>
        <w:tc>
          <w:tcPr>
            <w:tcW w:w="439" w:type="pct"/>
            <w:vMerge w:val="continue"/>
            <w:tcBorders>
              <w:left w:val="single" w:sz="4" w:space="0" w:color="auto"/>
              <w:right w:val="single" w:sz="4" w:space="0" w:color="auto"/>
            </w:tcBorders>
          </w:tcPr>
          <w:p>
            <w:pPr>
              <w:pStyle w:val="style0"/>
              <w:snapToGrid w:val="false"/>
              <w:jc w:val="center"/>
              <w:rPr>
                <w:rFonts w:ascii="Arial" w:cs="Arial" w:eastAsia="宋体" w:hAnsi="Arial"/>
                <w:sz w:val="20"/>
                <w:szCs w:val="20"/>
              </w:rPr>
            </w:pP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2021年12月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6"/>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省级部门：</w:t>
            </w:r>
            <w:r>
              <w:rPr>
                <w:rFonts w:ascii="Arial" w:cs="Arial" w:eastAsia="宋体" w:hAnsi="Arial"/>
                <w:iCs/>
                <w:sz w:val="20"/>
                <w:szCs w:val="20"/>
              </w:rPr>
              <w:t>发改委、自然自然厅、民宗委、妇联、民政厅、政法委、生态环境厅、自然资源厅、住建厅、农业农村厅、生态环境厅、住建厅、信访办、人社厅</w:t>
            </w:r>
          </w:p>
          <w:p>
            <w:pPr>
              <w:pStyle w:val="style179"/>
              <w:numPr>
                <w:ilvl w:val="0"/>
                <w:numId w:val="36"/>
              </w:numPr>
              <w:snapToGrid w:val="false"/>
              <w:ind w:left="251" w:hanging="251" w:firstLineChars="0"/>
              <w:rPr>
                <w:rFonts w:ascii="Arial" w:cs="Arial" w:eastAsia="宋体" w:hAnsi="Arial"/>
                <w:sz w:val="20"/>
                <w:szCs w:val="20"/>
              </w:rPr>
            </w:pPr>
            <w:r>
              <w:rPr>
                <w:rFonts w:ascii="Arial" w:cs="Arial" w:eastAsia="宋体" w:hAnsi="Arial"/>
                <w:b/>
                <w:bCs/>
                <w:iCs/>
                <w:sz w:val="20"/>
                <w:szCs w:val="20"/>
              </w:rPr>
              <w:t>样本县：</w:t>
            </w:r>
            <w:r>
              <w:rPr>
                <w:rFonts w:ascii="Arial" w:cs="Arial" w:eastAsia="宋体" w:hAnsi="Arial"/>
                <w:iCs/>
                <w:sz w:val="20"/>
                <w:szCs w:val="20"/>
              </w:rPr>
              <w:t>资源县、罗城县和桂平区</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在线视频咨询</w:t>
            </w:r>
          </w:p>
        </w:tc>
      </w:tr>
      <w:tr>
        <w:tblPrEx/>
        <w:trPr/>
        <w:tc>
          <w:tcPr>
            <w:tcW w:w="439" w:type="pct"/>
            <w:vMerge w:val="restart"/>
            <w:tcBorders>
              <w:top w:val="single" w:sz="4" w:space="0" w:color="auto"/>
              <w:left w:val="single" w:sz="4" w:space="0" w:color="auto"/>
              <w:bottom w:val="single" w:sz="4" w:space="0" w:color="auto"/>
              <w:right w:val="single" w:sz="4" w:space="0" w:color="auto"/>
            </w:tcBorders>
          </w:tcPr>
          <w:p>
            <w:pPr>
              <w:pStyle w:val="style0"/>
              <w:snapToGrid w:val="false"/>
              <w:jc w:val="center"/>
              <w:rPr>
                <w:rFonts w:ascii="Arial" w:cs="Arial" w:eastAsia="宋体" w:hAnsi="Arial"/>
                <w:sz w:val="20"/>
                <w:szCs w:val="20"/>
              </w:rPr>
            </w:pPr>
            <w:r>
              <w:rPr>
                <w:rFonts w:ascii="Arial" w:cs="Arial" w:eastAsia="宋体" w:hAnsi="Arial"/>
                <w:sz w:val="20"/>
                <w:szCs w:val="20"/>
                <w:lang w:val="en-GB"/>
              </w:rPr>
              <w:t>贵州</w:t>
            </w: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2021年11月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7"/>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省级部门：</w:t>
            </w:r>
            <w:r>
              <w:rPr>
                <w:rFonts w:ascii="Arial" w:cs="Arial" w:eastAsia="宋体" w:hAnsi="Arial"/>
                <w:iCs/>
                <w:sz w:val="20"/>
                <w:szCs w:val="20"/>
              </w:rPr>
              <w:t>发改委、财政厅、乡村振兴局、农业农村厅、住建厅、生态环境厅、自然资源厅</w:t>
            </w:r>
          </w:p>
          <w:p>
            <w:pPr>
              <w:pStyle w:val="style179"/>
              <w:numPr>
                <w:ilvl w:val="0"/>
                <w:numId w:val="37"/>
              </w:numPr>
              <w:snapToGrid w:val="false"/>
              <w:ind w:left="251" w:hanging="251" w:firstLineChars="0"/>
              <w:rPr>
                <w:rFonts w:ascii="Arial" w:cs="Arial" w:eastAsia="宋体" w:hAnsi="Arial"/>
                <w:sz w:val="20"/>
                <w:szCs w:val="20"/>
              </w:rPr>
            </w:pPr>
            <w:r>
              <w:rPr>
                <w:rFonts w:ascii="Arial" w:cs="Arial" w:eastAsia="宋体" w:hAnsi="Arial"/>
                <w:b/>
                <w:bCs/>
                <w:iCs/>
                <w:sz w:val="20"/>
                <w:szCs w:val="20"/>
              </w:rPr>
              <w:t>样本县：</w:t>
            </w:r>
            <w:r>
              <w:rPr>
                <w:rFonts w:ascii="Arial" w:cs="Arial" w:eastAsia="宋体" w:hAnsi="Arial"/>
                <w:iCs/>
                <w:sz w:val="20"/>
                <w:szCs w:val="20"/>
              </w:rPr>
              <w:t>息烽县、兴仁市</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现场走访咨询</w:t>
            </w:r>
          </w:p>
        </w:tc>
      </w:tr>
      <w:tr>
        <w:tblPrEx/>
        <w:trPr/>
        <w:tc>
          <w:tcPr>
            <w:tcW w:w="439" w:type="pct"/>
            <w:vMerge w:val="continue"/>
            <w:tcBorders>
              <w:top w:val="single" w:sz="4" w:space="0" w:color="auto"/>
              <w:left w:val="single" w:sz="4" w:space="0" w:color="auto"/>
              <w:bottom w:val="single" w:sz="4" w:space="0" w:color="auto"/>
              <w:right w:val="single" w:sz="4" w:space="0" w:color="auto"/>
            </w:tcBorders>
          </w:tcPr>
          <w:p>
            <w:pPr>
              <w:pStyle w:val="style0"/>
              <w:widowControl/>
              <w:jc w:val="left"/>
              <w:rPr>
                <w:rFonts w:ascii="Arial" w:cs="Arial" w:eastAsia="宋体" w:hAnsi="Arial"/>
                <w:sz w:val="20"/>
                <w:szCs w:val="20"/>
              </w:rPr>
            </w:pP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2021年12月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7"/>
              </w:numPr>
              <w:snapToGrid w:val="false"/>
              <w:ind w:left="251" w:hanging="251" w:firstLineChars="0"/>
              <w:rPr>
                <w:rFonts w:ascii="Arial" w:cs="Arial" w:eastAsia="宋体" w:hAnsi="Arial"/>
                <w:b/>
                <w:bCs/>
                <w:iCs/>
                <w:sz w:val="20"/>
                <w:szCs w:val="20"/>
              </w:rPr>
            </w:pPr>
            <w:r>
              <w:rPr>
                <w:rFonts w:ascii="Arial" w:cs="Arial" w:eastAsia="宋体" w:hAnsi="Arial"/>
                <w:b/>
                <w:bCs/>
                <w:iCs/>
                <w:sz w:val="20"/>
                <w:szCs w:val="20"/>
              </w:rPr>
              <w:t>省级部门：</w:t>
            </w:r>
            <w:r>
              <w:rPr>
                <w:rFonts w:ascii="Arial" w:cs="Arial" w:eastAsia="宋体" w:hAnsi="Arial"/>
                <w:iCs/>
                <w:sz w:val="20"/>
                <w:szCs w:val="20"/>
              </w:rPr>
              <w:t>发改委、自然自然厅、民宗委、妇联、民政厅、政法委、生态环境厅、自然资源厅、住建厅、农业农村厅、生态环境厅、住建厅、信访办、人社厅</w:t>
            </w:r>
          </w:p>
          <w:p>
            <w:pPr>
              <w:pStyle w:val="style179"/>
              <w:numPr>
                <w:ilvl w:val="0"/>
                <w:numId w:val="37"/>
              </w:numPr>
              <w:snapToGrid w:val="false"/>
              <w:ind w:left="251" w:hanging="251" w:firstLineChars="0"/>
              <w:rPr>
                <w:rFonts w:ascii="Arial" w:cs="Arial" w:eastAsia="宋体" w:hAnsi="Arial"/>
                <w:b/>
                <w:bCs/>
                <w:iCs/>
                <w:sz w:val="20"/>
                <w:szCs w:val="20"/>
              </w:rPr>
            </w:pPr>
            <w:r>
              <w:rPr>
                <w:rFonts w:ascii="Arial" w:cs="Arial" w:eastAsia="宋体" w:hAnsi="Arial"/>
                <w:b/>
                <w:bCs/>
                <w:iCs/>
                <w:sz w:val="20"/>
                <w:szCs w:val="20"/>
              </w:rPr>
              <w:t>样本县：</w:t>
            </w:r>
            <w:r>
              <w:rPr>
                <w:rFonts w:ascii="Arial" w:cs="Arial" w:eastAsia="宋体" w:hAnsi="Arial"/>
                <w:iCs/>
                <w:sz w:val="20"/>
                <w:szCs w:val="20"/>
              </w:rPr>
              <w:t>息烽县、三都县、施秉县</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在线咨询</w:t>
            </w:r>
          </w:p>
        </w:tc>
      </w:tr>
    </w:tbl>
    <w:p>
      <w:pPr>
        <w:pStyle w:val="style0"/>
        <w:widowControl/>
        <w:jc w:val="left"/>
        <w:rPr>
          <w:rFonts w:ascii="Arial" w:cs="Arial" w:eastAsia="宋体" w:hAnsi="Arial"/>
          <w:b/>
          <w:bCs/>
          <w:kern w:val="44"/>
          <w:sz w:val="28"/>
          <w:szCs w:val="32"/>
        </w:rPr>
      </w:pPr>
      <w:r>
        <w:rPr>
          <w:rFonts w:ascii="Arial" w:cs="Arial" w:eastAsia="宋体" w:hAnsi="Arial"/>
          <w:sz w:val="28"/>
          <w:szCs w:val="32"/>
        </w:rPr>
        <w:br w:type="page"/>
      </w:r>
    </w:p>
    <w:bookmarkStart w:id="805" w:name="_Ref91190735"/>
    <w:bookmarkStart w:id="806" w:name="_Toc93944855"/>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附件6：利益相关方参与情况</w:t>
      </w:r>
      <w:bookmarkEnd w:id="804"/>
      <w:bookmarkEnd w:id="805"/>
      <w:bookmarkEnd w:id="806"/>
    </w:p>
    <w:p>
      <w:pPr>
        <w:pStyle w:val="style34"/>
        <w:jc w:val="center"/>
        <w:rPr>
          <w:rFonts w:ascii="Arial" w:cs="Arial" w:eastAsia="宋体" w:hAnsi="Arial"/>
          <w:b/>
          <w:bCs/>
          <w:sz w:val="22"/>
          <w:szCs w:val="24"/>
        </w:rPr>
      </w:pPr>
      <w:r>
        <w:rPr>
          <w:rFonts w:ascii="Arial" w:cs="Arial" w:eastAsia="宋体" w:hAnsi="Arial"/>
          <w:b/>
          <w:bCs/>
          <w:sz w:val="22"/>
          <w:szCs w:val="24"/>
        </w:rPr>
        <w:t>广西已开展的利益相关方参与情况</w:t>
      </w:r>
    </w:p>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605"/>
        <w:gridCol w:w="1219"/>
        <w:gridCol w:w="762"/>
        <w:gridCol w:w="3356"/>
        <w:gridCol w:w="3752"/>
      </w:tblGrid>
      <w:tr>
        <w:trPr>
          <w:tblHeader/>
        </w:trPr>
        <w:tc>
          <w:tcPr>
            <w:tcW w:w="312" w:type="pct"/>
            <w:tcBorders/>
            <w:shd w:val="clear" w:color="auto" w:fill="e7e6e6"/>
          </w:tcPr>
          <w:p>
            <w:pPr>
              <w:pStyle w:val="style0"/>
              <w:jc w:val="center"/>
              <w:rPr>
                <w:rFonts w:ascii="Arial" w:cs="Arial" w:eastAsia="宋体" w:hAnsi="Arial"/>
                <w:b/>
                <w:bCs/>
                <w:sz w:val="20"/>
                <w:szCs w:val="20"/>
              </w:rPr>
            </w:pPr>
            <w:r>
              <w:rPr>
                <w:rFonts w:ascii="Arial" w:cs="Arial" w:eastAsia="宋体" w:hAnsi="Arial"/>
                <w:b/>
                <w:bCs/>
                <w:sz w:val="20"/>
                <w:szCs w:val="20"/>
              </w:rPr>
              <w:t>序号</w:t>
            </w:r>
          </w:p>
        </w:tc>
        <w:tc>
          <w:tcPr>
            <w:tcW w:w="629"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时间</w:t>
            </w:r>
          </w:p>
        </w:tc>
        <w:tc>
          <w:tcPr>
            <w:tcW w:w="393"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会议</w:t>
            </w:r>
          </w:p>
          <w:p>
            <w:pPr>
              <w:pStyle w:val="style0"/>
              <w:jc w:val="left"/>
              <w:rPr>
                <w:rFonts w:ascii="Arial" w:cs="Arial" w:eastAsia="宋体" w:hAnsi="Arial"/>
                <w:b/>
                <w:bCs/>
                <w:sz w:val="20"/>
                <w:szCs w:val="20"/>
              </w:rPr>
            </w:pPr>
            <w:r>
              <w:rPr>
                <w:rFonts w:ascii="Arial" w:cs="Arial" w:eastAsia="宋体" w:hAnsi="Arial"/>
                <w:b/>
                <w:bCs/>
                <w:sz w:val="20"/>
                <w:szCs w:val="20"/>
              </w:rPr>
              <w:t>地点</w:t>
            </w:r>
          </w:p>
        </w:tc>
        <w:tc>
          <w:tcPr>
            <w:tcW w:w="1731"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参与讨论的政府部门</w:t>
            </w:r>
          </w:p>
        </w:tc>
        <w:tc>
          <w:tcPr>
            <w:tcW w:w="1935"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讨论的环境与社会相关问题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2021.11.18上午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农业农村厅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中国国际扶贫中心、省项目办、自治区乡村振兴局、农业农村厅、财政厅等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广西农业农村厅启动会：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项目目标、范围、领域、支付指标等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环境与社会系统评估工作安排</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2</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2021.11.18下午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乡村振兴局</w:t>
            </w:r>
          </w:p>
        </w:tc>
        <w:tc>
          <w:tcPr>
            <w:tcW w:w="1731" w:type="pct"/>
            <w:tcBorders/>
          </w:tcPr>
          <w:p>
            <w:pPr>
              <w:pStyle w:val="style0"/>
              <w:jc w:val="left"/>
              <w:rPr>
                <w:rFonts w:ascii="Arial" w:cs="Arial" w:eastAsia="宋体" w:hAnsi="Arial"/>
                <w:sz w:val="20"/>
                <w:szCs w:val="20"/>
                <w:lang w:val="en-GB"/>
              </w:rPr>
            </w:pPr>
            <w:r>
              <w:rPr>
                <w:rFonts w:ascii="Arial" w:cs="Arial" w:eastAsia="宋体" w:hAnsi="Arial"/>
                <w:sz w:val="20"/>
                <w:szCs w:val="20"/>
              </w:rPr>
              <w:t>中国国际扶贫中心、省项目办、自治区乡村振兴局、农业农村厅等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广西乡村振兴局启动会：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项目目标、范围、领域、支付指标等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环境与社会系统评估工作安排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3</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2021.11.20上午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博白县</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中国国际扶贫中心、省项目办、县常务副县长、县财政局、县发改局、县农业农村局、县乡村振兴局、县自然资源局、县住建局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博白县启动会：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绿色农业和乡村振兴发展情况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环境与社会评估工作安排</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县废弃农用塑料收集与利用情况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县垃圾填埋场运行维护情况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县农村生活污水收集与处理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4</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2021.11.25上午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生态环境厅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中国国际扶贫中心；省项目办；生态环境厅土壤处、环评处、大气处、环科院</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自治区环境专题讨论会：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化肥、农药减量</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养殖业粪污处理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农膜、包装废弃物污染防治</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农产品加工</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农村垃圾管理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农村污水管理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农村供水管理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村庄规划环评要求</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农村环保十四五规划</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生态红线及环评正面清单</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5</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2021.11.26上午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农业农村厅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中国国际扶贫中心、省项目办、自治区财政厅、发改委、农业农村厅、乡村振兴局、扶贫中心</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广西总结会：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关于PforR项目范围、领域、支付指标等的进一步讨论</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环境调查工作主要发现、环境与社会系统评估下一步工作安排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6</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2021.12.15上午</w:t>
            </w:r>
          </w:p>
        </w:tc>
        <w:tc>
          <w:tcPr>
            <w:tcW w:w="393" w:type="pct"/>
            <w:tcBorders/>
          </w:tcPr>
          <w:p>
            <w:pPr>
              <w:pStyle w:val="style0"/>
              <w:jc w:val="left"/>
              <w:rPr>
                <w:rFonts w:ascii="Arial" w:cs="Arial" w:eastAsia="宋体" w:hAnsi="Arial"/>
                <w:sz w:val="20"/>
                <w:szCs w:val="20"/>
                <w:lang w:val="en-GB"/>
              </w:rPr>
            </w:pPr>
            <w:r>
              <w:rPr>
                <w:rFonts w:ascii="Arial" w:cs="Arial" w:eastAsia="宋体" w:hAnsi="Arial"/>
                <w:sz w:val="20"/>
                <w:szCs w:val="20"/>
              </w:rPr>
              <w:t xml:space="preserve">罗成县、平桂区 </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restart"/>
            <w:tcBorders/>
          </w:tcPr>
          <w:p>
            <w:pPr>
              <w:pStyle w:val="style0"/>
              <w:jc w:val="left"/>
              <w:rPr>
                <w:rFonts w:ascii="Arial" w:cs="Arial" w:eastAsia="宋体" w:hAnsi="Arial"/>
                <w:sz w:val="20"/>
                <w:szCs w:val="20"/>
              </w:rPr>
            </w:pPr>
            <w:r>
              <w:rPr>
                <w:rFonts w:ascii="Arial" w:cs="Arial" w:eastAsia="宋体" w:hAnsi="Arial"/>
                <w:sz w:val="20"/>
                <w:szCs w:val="20"/>
              </w:rPr>
              <w:t>省项目办、县农业农村局、县住建局、县水务局、县自然资源局、县生态环境局、县规委办、县妇联、县卫健委、县民政局、县民宗委、县文旅局、县人社局、县乡村振兴局、县信访局、县政法委</w:t>
            </w:r>
          </w:p>
        </w:tc>
        <w:tc>
          <w:tcPr>
            <w:tcW w:w="1935" w:type="pct"/>
            <w:vMerge w:val="restart"/>
            <w:tcBorders/>
          </w:tcPr>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县废弃农用塑料、秸秆收集与利用情况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县农村生活垃圾收集与处理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县农村生活污水收集与处理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县高素质农民培育工作开展情况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县征地拆迁、土地流转、设施农业用地管理及实施情况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社会稳定风险评估及实施情况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职业健康卫生监督管理情况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申诉机制运行情况，如信访、劳动仲裁等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少数民族发展情况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弱势群体扶持情况、脱贫人口管理与监测情况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妇女权益保护情况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文物保护</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7</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2021.12.15下午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资源县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continue"/>
            <w:tcBorders/>
          </w:tcPr>
          <w:p>
            <w:pPr>
              <w:pStyle w:val="style0"/>
              <w:jc w:val="left"/>
              <w:rPr>
                <w:rFonts w:ascii="Arial" w:cs="Arial" w:eastAsia="宋体" w:hAnsi="Arial"/>
                <w:sz w:val="20"/>
                <w:szCs w:val="20"/>
              </w:rPr>
            </w:pPr>
          </w:p>
        </w:tc>
        <w:tc>
          <w:tcPr>
            <w:tcW w:w="1935" w:type="pct"/>
            <w:vMerge w:val="continue"/>
            <w:tcBorders/>
          </w:tcPr>
          <w:p>
            <w:pPr>
              <w:pStyle w:val="style179"/>
              <w:numPr>
                <w:ilvl w:val="0"/>
                <w:numId w:val="38"/>
              </w:numPr>
              <w:ind w:left="109" w:hanging="109" w:firstLineChars="0"/>
              <w:jc w:val="left"/>
              <w:rPr>
                <w:rFonts w:ascii="Arial" w:cs="Arial" w:eastAsia="宋体" w:hAnsi="Arial"/>
                <w:sz w:val="20"/>
                <w:szCs w:val="20"/>
              </w:rPr>
            </w:pPr>
          </w:p>
        </w:tc>
      </w:tr>
    </w:tbl>
    <w:p>
      <w:pPr>
        <w:pStyle w:val="style34"/>
        <w:jc w:val="center"/>
        <w:rPr>
          <w:rFonts w:ascii="Arial" w:cs="Arial" w:eastAsia="宋体" w:hAnsi="Arial"/>
          <w:b/>
          <w:bCs/>
          <w:sz w:val="22"/>
          <w:szCs w:val="24"/>
        </w:rPr>
      </w:pPr>
    </w:p>
    <w:p>
      <w:pPr>
        <w:pStyle w:val="style34"/>
        <w:jc w:val="center"/>
        <w:rPr>
          <w:rFonts w:ascii="Arial" w:cs="Arial" w:eastAsia="宋体" w:hAnsi="Arial"/>
          <w:b/>
          <w:bCs/>
          <w:sz w:val="22"/>
          <w:szCs w:val="24"/>
        </w:rPr>
      </w:pPr>
      <w:r>
        <w:rPr>
          <w:rFonts w:ascii="Arial" w:cs="Arial" w:eastAsia="宋体" w:hAnsi="Arial"/>
          <w:b/>
          <w:bCs/>
          <w:sz w:val="22"/>
          <w:szCs w:val="24"/>
        </w:rPr>
        <w:t>贵州已开展的利益相关方参与情况</w:t>
      </w:r>
    </w:p>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blGrid>
        <w:gridCol w:w="601"/>
        <w:gridCol w:w="1212"/>
        <w:gridCol w:w="757"/>
        <w:gridCol w:w="3336"/>
        <w:gridCol w:w="3729"/>
      </w:tblGrid>
      <w:tr>
        <w:trPr>
          <w:tblHeader/>
        </w:trPr>
        <w:tc>
          <w:tcPr>
            <w:tcW w:w="312" w:type="pct"/>
            <w:tcBorders/>
            <w:shd w:val="clear" w:color="auto" w:fill="e7e6e6"/>
          </w:tcPr>
          <w:p>
            <w:pPr>
              <w:pStyle w:val="style0"/>
              <w:jc w:val="center"/>
              <w:rPr>
                <w:rFonts w:ascii="Arial" w:cs="Arial" w:eastAsia="宋体" w:hAnsi="Arial"/>
                <w:b/>
                <w:bCs/>
                <w:sz w:val="20"/>
                <w:szCs w:val="20"/>
              </w:rPr>
            </w:pPr>
            <w:r>
              <w:rPr>
                <w:rFonts w:ascii="Arial" w:cs="Arial" w:eastAsia="宋体" w:hAnsi="Arial"/>
                <w:b/>
                <w:bCs/>
                <w:sz w:val="20"/>
                <w:szCs w:val="20"/>
              </w:rPr>
              <w:t>序号</w:t>
            </w:r>
          </w:p>
        </w:tc>
        <w:tc>
          <w:tcPr>
            <w:tcW w:w="629"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时间</w:t>
            </w:r>
          </w:p>
        </w:tc>
        <w:tc>
          <w:tcPr>
            <w:tcW w:w="393"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会议</w:t>
            </w:r>
          </w:p>
          <w:p>
            <w:pPr>
              <w:pStyle w:val="style0"/>
              <w:jc w:val="left"/>
              <w:rPr>
                <w:rFonts w:ascii="Arial" w:cs="Arial" w:eastAsia="宋体" w:hAnsi="Arial"/>
                <w:b/>
                <w:bCs/>
                <w:sz w:val="20"/>
                <w:szCs w:val="20"/>
              </w:rPr>
            </w:pPr>
            <w:r>
              <w:rPr>
                <w:rFonts w:ascii="Arial" w:cs="Arial" w:eastAsia="宋体" w:hAnsi="Arial"/>
                <w:b/>
                <w:bCs/>
                <w:sz w:val="20"/>
                <w:szCs w:val="20"/>
              </w:rPr>
              <w:t>地点</w:t>
            </w:r>
          </w:p>
        </w:tc>
        <w:tc>
          <w:tcPr>
            <w:tcW w:w="1731"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参与讨论的政府部门</w:t>
            </w:r>
          </w:p>
        </w:tc>
        <w:tc>
          <w:tcPr>
            <w:tcW w:w="1935"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讨论的环境与社会相关问题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2021.11.25上午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中国国际扶贫中心、省乡村振兴局、省项目办、省财政厅、省生态环境厅、住建厅、省应急厅、省卫健委等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项目目标、范围、领域、支付指标等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环境与社会系统评估工作安排</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2</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2021.11.25下午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中国国际扶贫中心、省乡村振兴局、省项目办、省生态环境厅、省住建厅、省自然资源厅处等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贵州省各省厅集中讨论会：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乡村振兴行动方案</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村庄规划</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废弃农用塑料收集与利用</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农村生活污水管理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农村生活垃圾管理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畜禽粪污管理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3</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2021.11.26上午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贵州省农业农村厅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中国国际扶贫中心、省乡村振兴局、省项目办、省农业农村厅（科技教育处、畜牲发展处、发展规划处、土壤肥料工作总站、植保植检站）等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贵州省绿色农业讨论会：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废弃农用塑料收集与利用情况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秸秆综合利用</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4</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2021.11.27上午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中国国际扶贫中心、省项目办、副县长、县财政局、县发改局、县农业农村局、县住建局、县水务局、县自然资源局、县综合行政执法局、县生态环境局等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绿色农业和乡村振兴发展情况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环境与社会评估工作安排</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5</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2021.11.27下午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市农业农村局、市乡村振兴服务中心、县农业农村局、县住建局、县水务局、县综合行政执法局、县生态环境局、养龙司镇人民政府、流长镇人民政府、鹿窝镇人民政府、贵州中康农业科技有限公司、贵州堡润原生态农业科技有限公司、息烽江盛源农业有限公司、浙黔煜瀚农业发展有限公司</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息烽县现场讨论：</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息烽县废弃农用塑料收集与利用情况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息烽县垃圾填埋场运行维护情况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息烽县农村生活污水收集与处理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6</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2021.11.28上午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中国国际扶贫中心、省项目办、县住建局、县水务局、县自然资源局、县综合行政执法局、县生态环境局、县规委办、县农业农村局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息烽县环境专题座谈：</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息烽县国土空间规划、村庄规划编制</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息烽县村庄规划环评编制要求</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息烽县农村污水管理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息烽县农村生活垃圾管理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7</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2021.11.28上午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中国国际扶贫中心、省项目办、县住建局、县水务局、县自然资源局、县综合行政执法局、县生态环境局、县规委办、县农业农村局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环境调查主要发现</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环境系统评估资料需求</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8</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2021.11.30上午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兴仁市政府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中国国际扶贫中心、市政协、市农业农村局、市生态环境局、市人社局、市场监管局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兴仁市启动会及环境专题讨论会：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绿色农业和乡村振兴发展情况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农药化肥减量和污染防治</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农膜及农药化肥包装废弃物管理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畜禽粪便资源化利用等</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9</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2021.11.30上午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兴仁市政府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中国国际扶贫中心、省项目办、市住建局、市自然资源局、市生态环境局、市农业农村局、市监局、市交通局、市应急管理局、市人社局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兴仁市总结会：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环境调查主要发现</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环境系统评估资料需求</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10</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2021.12.01上午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中国国际扶贫中心、省乡村振兴局、省项目办、省财政厅</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贵州省沟通会：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环境调查初步发现</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各省厅分组讨论安排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11</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2021.12.01下午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贵州省生态环境厅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中国国际扶贫中心、省项目办、省生态环境厅（环评与排放管理处、土壤生态环境处、大气处等）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贵州省生态环境厅座谈会：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三线一单、环评分类管理与分级审批、农村生活污水、养殖业污染、农膜及农药包装废弃物、化肥农药面源污染、秸秆焚烧等</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12</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2021.12.02上午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贵州省乡村振兴局</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中国国际扶贫中心、省项目办、省农业农村厅、种植业和养殖业专家</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农业专家座谈会：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农药化肥减量和污染防治、农膜及农药化肥包装废弃物管理、畜禽粪便资源化利用、户厕改造等问题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13</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2021.12.02下午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贵州省住建厅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中国国际扶贫中心、省项目办、省住建厅</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贵州省住建厅座谈会：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农村生活垃圾收集与处理、建筑垃圾、消防管理等</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14</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2021.12.02下午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贵州省乡村振兴局</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中国国际扶贫中心、省项目办、省农业农村厅（种植业处、畜牧发展处、社会事业促进处、生态站、外经中心）</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贵州省农业农村厅座谈会：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农药化肥减量和污染防治、农膜及农药化肥包装废弃物管理、畜禽粪便资源化利用、户厕改造等问题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15</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2021.12.03上午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中国国际扶贫中心、省乡村振兴局、省项目办、省发改委、省财政厅、省农业农村厅等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关于PforR项目范围、领域、支付指标等的进一步讨论</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环境调查工作主要发现、环境与社会系统评估下一步工作安排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16</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2021.12.13</w:t>
            </w:r>
          </w:p>
          <w:p>
            <w:pPr>
              <w:pStyle w:val="style0"/>
              <w:jc w:val="left"/>
              <w:rPr>
                <w:rFonts w:ascii="Arial" w:cs="Arial" w:eastAsia="宋体" w:hAnsi="Arial"/>
                <w:sz w:val="20"/>
                <w:szCs w:val="20"/>
              </w:rPr>
            </w:pPr>
            <w:r>
              <w:rPr>
                <w:rFonts w:ascii="Arial" w:cs="Arial" w:eastAsia="宋体" w:hAnsi="Arial"/>
                <w:sz w:val="20"/>
                <w:szCs w:val="20"/>
              </w:rPr>
              <w:t>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restart"/>
            <w:tcBorders/>
          </w:tcPr>
          <w:p>
            <w:pPr>
              <w:pStyle w:val="style0"/>
              <w:jc w:val="left"/>
              <w:rPr>
                <w:rFonts w:ascii="Arial" w:cs="Arial" w:eastAsia="宋体" w:hAnsi="Arial"/>
                <w:sz w:val="20"/>
                <w:szCs w:val="20"/>
              </w:rPr>
            </w:pPr>
            <w:r>
              <w:rPr>
                <w:rFonts w:ascii="Arial" w:cs="Arial" w:eastAsia="宋体" w:hAnsi="Arial"/>
                <w:sz w:val="20"/>
                <w:szCs w:val="20"/>
              </w:rPr>
              <w:t>省项目办、县农业农村局、县住建局、县水务局、县自然资源局、县生态环境局、县规委办、县妇联、县卫健委、县民政局、县民宗委、县文旅局、县人社局、县乡村振兴局、县信访局、县政法委</w:t>
            </w:r>
          </w:p>
        </w:tc>
        <w:tc>
          <w:tcPr>
            <w:tcW w:w="1935" w:type="pct"/>
            <w:vMerge w:val="restart"/>
            <w:tcBorders/>
          </w:tcPr>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县废弃农用塑料、秸秆收集与利用情况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县农村生活垃圾收集与处理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县农村生活污水收集与处理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县高素质农民培育工作开展情况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县征地拆迁、土地流转、设施农业用地管理及实施情况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社会稳定风险评估及实施情况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职业健康卫生监督管理情况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申诉机制运行情况，如信访、劳动仲裁</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少数民族发展情况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弱势群体扶持情况、脱贫人口管理与监测情况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妇女权益保护情况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文物保护</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17</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2021.12.14上午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施秉县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continue"/>
            <w:tcBorders/>
          </w:tcPr>
          <w:p>
            <w:pPr>
              <w:pStyle w:val="style0"/>
              <w:jc w:val="left"/>
              <w:rPr>
                <w:rFonts w:ascii="Arial" w:cs="Arial" w:eastAsia="宋体" w:hAnsi="Arial"/>
                <w:sz w:val="20"/>
                <w:szCs w:val="20"/>
              </w:rPr>
            </w:pPr>
          </w:p>
        </w:tc>
        <w:tc>
          <w:tcPr>
            <w:tcW w:w="1935" w:type="pct"/>
            <w:vMerge w:val="continue"/>
            <w:tcBorders/>
          </w:tcPr>
          <w:p>
            <w:pPr>
              <w:pStyle w:val="style179"/>
              <w:numPr>
                <w:ilvl w:val="0"/>
                <w:numId w:val="38"/>
              </w:numPr>
              <w:ind w:left="109" w:hanging="109" w:firstLineChars="0"/>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18</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2021.12.14下午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三都县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continue"/>
            <w:tcBorders/>
          </w:tcPr>
          <w:p>
            <w:pPr>
              <w:pStyle w:val="style0"/>
              <w:jc w:val="left"/>
              <w:rPr>
                <w:rFonts w:ascii="Arial" w:cs="Arial" w:eastAsia="宋体" w:hAnsi="Arial"/>
                <w:sz w:val="20"/>
                <w:szCs w:val="20"/>
              </w:rPr>
            </w:pPr>
          </w:p>
        </w:tc>
        <w:tc>
          <w:tcPr>
            <w:tcW w:w="1935" w:type="pct"/>
            <w:vMerge w:val="continue"/>
            <w:tcBorders/>
          </w:tcPr>
          <w:p>
            <w:pPr>
              <w:pStyle w:val="style179"/>
              <w:numPr>
                <w:ilvl w:val="0"/>
                <w:numId w:val="38"/>
              </w:numPr>
              <w:ind w:left="109" w:hanging="109" w:firstLineChars="0"/>
              <w:jc w:val="left"/>
              <w:rPr>
                <w:rFonts w:ascii="Arial" w:cs="Arial" w:eastAsia="宋体" w:hAnsi="Arial"/>
                <w:sz w:val="20"/>
                <w:szCs w:val="20"/>
              </w:rPr>
            </w:pPr>
          </w:p>
        </w:tc>
      </w:tr>
    </w:tbl>
    <w:p>
      <w:pPr>
        <w:pStyle w:val="style0"/>
        <w:rPr>
          <w:rFonts w:ascii="Arial" w:cs="Arial" w:eastAsia="宋体" w:hAnsi="Arial"/>
        </w:rPr>
      </w:pPr>
    </w:p>
    <w:p>
      <w:pPr>
        <w:pStyle w:val="style0"/>
        <w:rPr>
          <w:rFonts w:ascii="Arial" w:cs="Arial" w:eastAsia="宋体" w:hAnsi="Arial"/>
        </w:rPr>
      </w:pPr>
    </w:p>
    <w:p>
      <w:pPr>
        <w:pStyle w:val="style0"/>
        <w:rPr>
          <w:rFonts w:ascii="Arial" w:cs="Arial" w:eastAsia="宋体" w:hAnsi="Arial"/>
          <w:sz w:val="20"/>
          <w:lang w:val="en-GB"/>
        </w:rPr>
      </w:pPr>
    </w:p>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sz w:val="21"/>
        </w:rPr>
        <w:br w:type="page"/>
      </w:r>
      <w:bookmarkStart w:id="807" w:name="_Toc79939286"/>
      <w:bookmarkStart w:id="808" w:name="_Toc77865671"/>
      <w:bookmarkStart w:id="809" w:name="_Toc93944856"/>
      <w:bookmarkStart w:id="810" w:name="_Hlk79165819"/>
      <w:r>
        <w:rPr>
          <w:rFonts w:ascii="Arial" w:cs="Arial" w:eastAsia="宋体" w:hAnsi="Arial"/>
          <w:color w:val="000000"/>
          <w:sz w:val="28"/>
          <w:szCs w:val="28"/>
        </w:rPr>
        <w:t>附件7：本项目ESSA报告公众协商记录</w:t>
      </w:r>
      <w:bookmarkEnd w:id="807"/>
      <w:bookmarkEnd w:id="808"/>
      <w:bookmarkEnd w:id="809"/>
    </w:p>
    <w:p>
      <w:pPr>
        <w:pStyle w:val="style0"/>
        <w:rPr>
          <w:rFonts w:ascii="Arial" w:cs="Arial" w:eastAsia="宋体" w:hAnsi="Arial"/>
        </w:rPr>
      </w:pPr>
    </w:p>
    <w:p>
      <w:pPr>
        <w:pStyle w:val="style0"/>
        <w:rPr>
          <w:rFonts w:ascii="Arial" w:cs="Arial" w:eastAsia="宋体" w:hAnsi="Arial"/>
        </w:rPr>
      </w:pPr>
      <w:r>
        <w:rPr>
          <w:rFonts w:ascii="Arial" w:cs="Arial" w:eastAsia="宋体" w:hAnsi="Arial"/>
          <w:b/>
          <w:bCs/>
          <w:sz w:val="22"/>
          <w:szCs w:val="24"/>
        </w:rPr>
        <w:t>1. ESSA报告咨询会主要意见及回应汇总</w:t>
      </w:r>
    </w:p>
    <w:p>
      <w:pPr>
        <w:pStyle w:val="style1"/>
        <w:spacing w:before="120" w:after="120" w:lineRule="auto" w:line="240"/>
        <w:rPr>
          <w:rFonts w:ascii="Arial" w:cs="Arial" w:eastAsia="宋体" w:hAnsi="Arial"/>
          <w:sz w:val="28"/>
          <w:szCs w:val="32"/>
        </w:rPr>
        <w:sectPr>
          <w:type w:val="continuous"/>
          <w:pgSz w:w="11906" w:h="16838" w:orient="portrait"/>
          <w:pgMar w:top="1134" w:right="1134" w:bottom="1134" w:left="1134" w:header="851" w:footer="760" w:gutter="0"/>
          <w:cols w:space="425" w:num="1"/>
          <w:docGrid w:type="lines" w:linePitch="312" w:charSpace="0"/>
        </w:sectPr>
      </w:pPr>
    </w:p>
    <w:tbl>
      <w:tblPr>
        <w:tblStyle w:val="style15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618"/>
        <w:gridCol w:w="3230"/>
        <w:gridCol w:w="2568"/>
        <w:gridCol w:w="1286"/>
        <w:gridCol w:w="1992"/>
      </w:tblGrid>
      <w:tr>
        <w:trPr>
          <w:trHeight w:val="227" w:hRule="atLeast"/>
          <w:tblHeader/>
          <w:jc w:val="center"/>
        </w:trPr>
        <w:tc>
          <w:tcPr>
            <w:tcW w:w="319"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编号</w:t>
            </w:r>
          </w:p>
        </w:tc>
        <w:tc>
          <w:tcPr>
            <w:tcW w:w="1666"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问题</w:t>
            </w:r>
          </w:p>
        </w:tc>
        <w:tc>
          <w:tcPr>
            <w:tcW w:w="1325"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意见</w:t>
            </w:r>
          </w:p>
        </w:tc>
        <w:tc>
          <w:tcPr>
            <w:tcW w:w="663"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参与方</w:t>
            </w:r>
          </w:p>
        </w:tc>
        <w:tc>
          <w:tcPr>
            <w:tcW w:w="1027"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报告的修改</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关于政策文件的时效性</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关于表4-1中社会稳定风险评估相关政策文件的时效性</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建议采用最新公开发布的文件</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贵州省政法委</w:t>
            </w:r>
            <w:r>
              <w:rPr>
                <w:rFonts w:ascii="Arial" w:cs="Arial" w:eastAsia="宋体" w:hAnsi="Arial" w:hint="eastAsia"/>
                <w:sz w:val="20"/>
                <w:szCs w:val="20"/>
              </w:rPr>
              <w:t>、</w:t>
            </w:r>
            <w:r>
              <w:rPr>
                <w:rFonts w:ascii="Arial" w:cs="Arial" w:eastAsia="宋体" w:hAnsi="Arial"/>
                <w:sz w:val="20"/>
                <w:szCs w:val="20"/>
              </w:rPr>
              <w:t>息烽县政法委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本报告中采用目前公开发布的政策文件，若此后出台并发布了新的政策文件，将按最新公布的政策执行</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表4-1中提及的“《建设项目用地预审管理办法》(2008)” 已于2016年修订并自2017年1月1日起施行。</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建议修改为“《建设项目用地预审管理办法》(2017)”</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三都水族自治县自然资源局</w:t>
            </w:r>
          </w:p>
        </w:tc>
        <w:tc>
          <w:tcPr>
            <w:tcW w:w="1027"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已对表</w:t>
            </w:r>
            <w:r>
              <w:rPr>
                <w:rFonts w:ascii="Arial" w:cs="Arial" w:eastAsia="宋体" w:hAnsi="Arial"/>
                <w:color w:val="000000"/>
                <w:sz w:val="20"/>
                <w:szCs w:val="20"/>
              </w:rPr>
              <w:t>4-1</w:t>
            </w:r>
            <w:r>
              <w:rPr>
                <w:rFonts w:ascii="Arial" w:cs="Arial" w:eastAsia="宋体" w:hAnsi="Arial" w:hint="eastAsia"/>
                <w:color w:val="000000"/>
                <w:sz w:val="20"/>
                <w:szCs w:val="20"/>
              </w:rPr>
              <w:t>、第</w:t>
            </w:r>
            <w:r>
              <w:rPr>
                <w:rFonts w:ascii="Arial" w:cs="Arial" w:eastAsia="宋体" w:hAnsi="Arial"/>
                <w:color w:val="000000"/>
                <w:sz w:val="20"/>
                <w:szCs w:val="20"/>
              </w:rPr>
              <w:t>201</w:t>
            </w:r>
            <w:r>
              <w:rPr>
                <w:rFonts w:ascii="Arial" w:cs="Arial" w:eastAsia="宋体" w:hAnsi="Arial" w:hint="eastAsia"/>
                <w:color w:val="000000"/>
                <w:sz w:val="20"/>
                <w:szCs w:val="20"/>
              </w:rPr>
              <w:t>、</w:t>
            </w:r>
            <w:r>
              <w:rPr>
                <w:rFonts w:ascii="Arial" w:cs="Arial" w:eastAsia="宋体" w:hAnsi="Arial"/>
                <w:color w:val="000000"/>
                <w:sz w:val="20"/>
                <w:szCs w:val="20"/>
              </w:rPr>
              <w:t>217</w:t>
            </w:r>
            <w:r>
              <w:rPr>
                <w:rFonts w:ascii="Arial" w:cs="Arial" w:eastAsia="宋体" w:hAnsi="Arial" w:hint="eastAsia"/>
                <w:color w:val="000000"/>
                <w:sz w:val="20"/>
                <w:szCs w:val="20"/>
              </w:rPr>
              <w:t>段以及附件</w:t>
            </w:r>
            <w:r>
              <w:rPr>
                <w:rFonts w:ascii="Arial" w:cs="Arial" w:eastAsia="宋体" w:hAnsi="Arial"/>
                <w:color w:val="000000"/>
                <w:sz w:val="20"/>
                <w:szCs w:val="20"/>
              </w:rPr>
              <w:t>3</w:t>
            </w:r>
            <w:r>
              <w:rPr>
                <w:rFonts w:ascii="Arial" w:cs="Arial" w:eastAsia="宋体" w:hAnsi="Arial" w:hint="eastAsia"/>
                <w:color w:val="000000"/>
                <w:sz w:val="20"/>
                <w:szCs w:val="20"/>
              </w:rPr>
              <w:t>中相应内容进行了修订</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表4-1中《中华人民共和国职业病防治法》（2017.11）和《职业病分类和目录》（2021）的时效性</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建议修改为“《中华人民共和国职业病防治法》（2018.12）”和“《职业病分类和目录》（2013）”</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广西卫生健康委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已对表4-1中相应政策文件进行更新</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对政策的分析理解问题</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4</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RA3-村庄规划环境与社会风险等级</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建议由中等风险降为低风险</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贵州息烽县自然资源局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世行团队认为村庄规划的下游活动类型复杂、影响各类较多，涉及部门众多，潜在的综合风险保持中等较为合适</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5</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第67页中典型活动经社会稳定和安全风险分析评估结果为中等风险</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提出具体防范化解风险的处理措施，待典型活动风险降到低风险等级后方可以实施，典型活动经社会稳定和安全风险分析评估结果为较高风险的，应该做出不实施的决策，或调整决策方案降低典型活动风险为底风险后在作出决策实施</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施秉县政法委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世行ESSA团队就本PforR的环境与社会风险评估等级以及国家社会稳定风险评估等级的区别进行了说明，对此施秉县政法委表示理解和认可。</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6</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关于核心原则5：少数民族和弱势群体的管理体系，贵州省属于少数民族大杂居小聚区地区，少数民族与汉族全员平等参与国家建设并享受国家政策、福利。少数民族并不等于弱势群体。</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关于少数民族的相关称谓表述不规范</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建议将少数民族单独作为一项内容进行阐述，与弱势群体的相关内容分开。</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建议根据反馈意见规范表述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贵州省民族宗教委员会</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已在报告中对少数民族与弱势群体按要素分开阐述，并向贵州省民宗委进行了解释说明。</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相关少数民族事务、市州的表述已修改</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世行政策原文内容保持不变</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7</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表3-2</w:t>
            </w:r>
            <w:r>
              <w:rPr>
                <w:rFonts w:ascii="Arial" w:cs="Arial" w:eastAsia="宋体" w:hAnsi="Arial"/>
                <w:color w:val="000000"/>
                <w:sz w:val="20"/>
                <w:szCs w:val="20"/>
              </w:rPr>
              <w:t>人畜粪便处置：</w:t>
            </w:r>
            <w:r>
              <w:rPr>
                <w:rFonts w:ascii="Arial" w:cs="Arial" w:eastAsia="宋体" w:hAnsi="Arial"/>
                <w:sz w:val="20"/>
                <w:szCs w:val="20"/>
              </w:rPr>
              <w:t>畜禽粪污处置设施日处理大于50吨做报告表，小于50吨不要求环评</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建议征求有关职能部门意见</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广西农业农村厅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已按建议要求修改报告，说明该表仅为指示性分析，项目活动具体环评分类将在实施阶段由地方生态环境部门确定</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8</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第60页，关于户厕改造的指标要求表述不准确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建议根据反馈意见进行更新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广西农业农村厅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已删除相关数据</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第70页，附件2中RA-3 的2项活动的机构能力和复杂性风险，建议增加乡村振兴部门</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建议增加乡村振兴部门</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10</w:t>
            </w:r>
          </w:p>
        </w:tc>
        <w:tc>
          <w:tcPr>
            <w:tcW w:w="1666" w:type="pct"/>
            <w:tcBorders/>
          </w:tcPr>
          <w:p>
            <w:pPr>
              <w:pStyle w:val="style0"/>
              <w:adjustRightInd w:val="false"/>
              <w:snapToGrid w:val="false"/>
              <w:rPr>
                <w:rFonts w:ascii="Arial" w:cs="Arial" w:eastAsia="宋体" w:hAnsi="Arial"/>
                <w:color w:val="000000"/>
                <w:sz w:val="20"/>
                <w:szCs w:val="20"/>
                <w:lang w:val="en-GB"/>
              </w:rPr>
            </w:pPr>
            <w:r>
              <w:rPr>
                <w:rFonts w:ascii="Arial" w:cs="Arial" w:eastAsia="宋体" w:hAnsi="Arial"/>
                <w:sz w:val="20"/>
                <w:szCs w:val="20"/>
              </w:rPr>
              <w:t>表3-2环境管理系统评价中“</w:t>
            </w:r>
            <w:r>
              <w:rPr>
                <w:rFonts w:ascii="Arial" w:cs="Arial" w:eastAsia="宋体" w:hAnsi="Arial"/>
                <w:color w:val="000000"/>
                <w:sz w:val="20"/>
                <w:szCs w:val="20"/>
                <w:lang w:val="en-GB"/>
              </w:rPr>
              <w:t>本项目排除涉及环境敏感区的活动，且不新建灌溉设施，仅涉及节水改造等措施，不需要开展环评</w:t>
            </w:r>
            <w:r>
              <w:rPr>
                <w:rFonts w:ascii="Arial" w:cs="Arial" w:eastAsia="宋体" w:hAnsi="Arial"/>
                <w:sz w:val="20"/>
                <w:szCs w:val="20"/>
              </w:rPr>
              <w:t>”</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w:t>
            </w:r>
            <w:r>
              <w:rPr>
                <w:rFonts w:ascii="Arial" w:cs="Arial" w:eastAsia="宋体" w:hAnsi="Arial"/>
                <w:color w:val="000000"/>
                <w:sz w:val="20"/>
                <w:szCs w:val="20"/>
                <w:lang w:val="en-GB"/>
              </w:rPr>
              <w:t>本项目排除涉及环境敏感区的活动，不新建灌溉设施，仅涉及节水改造等措施，</w:t>
            </w:r>
            <w:r>
              <w:rPr>
                <w:rFonts w:ascii="Arial" w:cs="Arial" w:eastAsia="宋体" w:hAnsi="Arial"/>
                <w:sz w:val="20"/>
                <w:szCs w:val="20"/>
              </w:rPr>
              <w:t>灌区的节水改造配套，根据实际工程措施情况按照规定要求开展环评”</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w:t>
            </w:r>
            <w:r>
              <w:rPr>
                <w:rFonts w:ascii="Arial" w:cs="Arial" w:eastAsia="宋体" w:hAnsi="Arial" w:hint="eastAsia"/>
                <w:sz w:val="20"/>
                <w:szCs w:val="20"/>
              </w:rPr>
              <w:t>删除该列内容，所有项目活动环评文件类型将在其筹备期间由当地生态环境部门确定</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11</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大坝安全管理相关表述不准确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w:t>
            </w:r>
            <w:r>
              <w:rPr>
                <w:rFonts w:ascii="Arial" w:cs="Arial" w:eastAsia="宋体" w:hAnsi="Arial" w:hint="eastAsia"/>
                <w:sz w:val="20"/>
                <w:szCs w:val="20"/>
              </w:rPr>
              <w:t>将“现有水库”改为“现有水库（大中型、小一型、小二型）”</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仅为个别县意见，考虑多数县情况仍保留原来的描述</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12</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关于设施农用地管理政策需补充</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建议增加“《自然资源部农业农村部国家林业和草原局关于严格耕地用途管制有关问题的通知》</w:t>
            </w:r>
            <w:r>
              <w:rPr>
                <w:rFonts w:ascii="Arial" w:cs="Arial" w:eastAsia="宋体" w:hAnsi="Arial"/>
                <w:sz w:val="20"/>
                <w:szCs w:val="20"/>
              </w:rPr>
              <w:t xml:space="preserve"> （自</w:t>
            </w:r>
            <w:r>
              <w:rPr>
                <w:rFonts w:ascii="Arial" w:cs="Arial" w:eastAsia="宋体" w:hAnsi="Arial" w:hint="eastAsia"/>
                <w:sz w:val="20"/>
                <w:szCs w:val="20"/>
              </w:rPr>
              <w:t>然资发〔</w:t>
            </w:r>
            <w:r>
              <w:rPr>
                <w:rFonts w:ascii="Arial" w:cs="Arial" w:eastAsia="宋体" w:hAnsi="Arial"/>
                <w:sz w:val="20"/>
                <w:szCs w:val="20"/>
              </w:rPr>
              <w:t>2021〕16 号）及相关条款</w:t>
            </w:r>
            <w:r>
              <w:rPr>
                <w:rFonts w:ascii="Arial" w:cs="Arial" w:eastAsia="宋体" w:hAnsi="Arial" w:hint="eastAsia"/>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贵州省自然资源厅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已补充</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对系统运行情况的调查分析的反馈意见</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3</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第40页关于“用地审批机构”、“设施农用地”部门职责描述以及第240段中以贵州省施秉县为例中关于设施农用地申请审批程序的表述不准确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建议根据书面意见进行修改</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施秉县自然资源局</w:t>
            </w:r>
            <w:r>
              <w:rPr>
                <w:rFonts w:ascii="Arial" w:cs="Arial" w:eastAsia="宋体" w:hAnsi="Arial" w:hint="eastAsia"/>
                <w:sz w:val="20"/>
                <w:szCs w:val="20"/>
              </w:rPr>
              <w:t>、</w:t>
            </w:r>
            <w:r>
              <w:rPr>
                <w:rFonts w:ascii="Arial" w:cs="Arial" w:eastAsia="宋体" w:hAnsi="Arial"/>
                <w:sz w:val="20"/>
                <w:szCs w:val="20"/>
              </w:rPr>
              <w:t>台乡乡村振兴局</w:t>
            </w:r>
          </w:p>
        </w:tc>
        <w:tc>
          <w:tcPr>
            <w:tcW w:w="1027"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已根据反馈意见进行了修改，见</w:t>
            </w:r>
            <w:r>
              <w:rPr>
                <w:rFonts w:ascii="Arial" w:cs="Arial" w:eastAsia="宋体" w:hAnsi="Arial"/>
                <w:color w:val="000000"/>
                <w:sz w:val="20"/>
                <w:szCs w:val="20"/>
              </w:rPr>
              <w:t xml:space="preserve">4.3.3 </w:t>
            </w:r>
            <w:r>
              <w:rPr>
                <w:rFonts w:ascii="Arial" w:cs="Arial" w:eastAsia="宋体" w:hAnsi="Arial" w:hint="eastAsia"/>
                <w:color w:val="000000"/>
                <w:sz w:val="20"/>
                <w:szCs w:val="20"/>
              </w:rPr>
              <w:t>以及第</w:t>
            </w:r>
            <w:r>
              <w:rPr>
                <w:rFonts w:ascii="Arial" w:cs="Arial" w:eastAsia="宋体" w:hAnsi="Arial"/>
                <w:color w:val="000000"/>
                <w:sz w:val="20"/>
                <w:szCs w:val="20"/>
              </w:rPr>
              <w:t>244</w:t>
            </w:r>
            <w:r>
              <w:rPr>
                <w:rFonts w:ascii="Arial" w:cs="Arial" w:eastAsia="宋体" w:hAnsi="Arial" w:hint="eastAsia"/>
                <w:color w:val="000000"/>
                <w:sz w:val="20"/>
                <w:szCs w:val="20"/>
              </w:rPr>
              <w:t>段</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14</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第37页228段，“特殊职业培训</w:t>
            </w:r>
            <w:r>
              <w:rPr>
                <w:rFonts w:ascii="Arial" w:cs="Arial" w:eastAsia="宋体" w:hAnsi="Arial"/>
                <w:sz w:val="20"/>
                <w:szCs w:val="20"/>
              </w:rPr>
              <w:t>”</w:t>
            </w:r>
            <w:r>
              <w:rPr>
                <w:rFonts w:ascii="Arial" w:cs="Arial" w:eastAsia="宋体" w:hAnsi="Arial" w:hint="eastAsia"/>
                <w:sz w:val="20"/>
                <w:szCs w:val="20"/>
              </w:rPr>
              <w:t>表述不规范</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第50页288段，贵州基础养老金最低标准为每月98元</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第64页，“涉农职业院校”表述建议增加“（含技工院校）”</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建议根据书面意见进行修改</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贵州省人力资源和社会保障厅</w:t>
            </w:r>
          </w:p>
        </w:tc>
        <w:tc>
          <w:tcPr>
            <w:tcW w:w="1027"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已修改</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对机构设置和职责划分的意见</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5</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第24页171 条中“自然资源、林业、生态环境等与自然生态保护和生态保护红线相关的部门……责令相关的地方自然资源部门进行核查、整改或接受惩治”</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建议修改为“责令相关的地方自然资源、林业、生态环境等与自然生态保护和生态保护红线相关的部门进行核查、整改或接受惩治”</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三都水族自治县自然资源局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r>
              <w:rPr>
                <w:rFonts w:ascii="Arial" w:cs="Arial" w:eastAsia="宋体" w:hAnsi="Arial" w:hint="eastAsia"/>
                <w:sz w:val="20"/>
                <w:szCs w:val="20"/>
              </w:rPr>
              <w:t>为“</w:t>
            </w:r>
            <w:r>
              <w:rPr>
                <w:rFonts w:ascii="Arial" w:cs="Arial" w:eastAsia="宋体" w:hAnsi="Arial"/>
                <w:sz w:val="20"/>
                <w:szCs w:val="20"/>
              </w:rPr>
              <w:t>责令地方相关部门进行核查、整改或接受惩治</w:t>
            </w:r>
            <w:r>
              <w:rPr>
                <w:rFonts w:ascii="Arial" w:cs="Arial" w:eastAsia="宋体" w:hAnsi="Arial" w:hint="eastAsia"/>
                <w:sz w:val="20"/>
                <w:szCs w:val="20"/>
              </w:rPr>
              <w:t>”</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6</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第3页第12段，关于农业农村部门的职责</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建议增加</w:t>
            </w:r>
            <w:r>
              <w:rPr>
                <w:rFonts w:ascii="Arial" w:cs="Arial" w:eastAsia="宋体" w:hAnsi="Arial"/>
                <w:sz w:val="20"/>
                <w:szCs w:val="20"/>
              </w:rPr>
              <w:t>“</w:t>
            </w:r>
            <w:r>
              <w:rPr>
                <w:rFonts w:ascii="Arial" w:cs="Arial" w:eastAsia="宋体" w:hAnsi="Arial" w:hint="eastAsia"/>
                <w:sz w:val="20"/>
                <w:szCs w:val="20"/>
              </w:rPr>
              <w:t>农村户厕改造及粪污处理与利用</w:t>
            </w:r>
            <w:r>
              <w:rPr>
                <w:rFonts w:ascii="Arial" w:cs="Arial" w:eastAsia="宋体" w:hAnsi="Arial"/>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广西农业农村厅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7</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第3页第12段，住建部门职能描述建议修改为“住建部门负责农村生活垃圾收运的调度”</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修文县住建局</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与本报告表达意思一致</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8</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第3页12条中“本项目将....自然资源部门负责村庄规划、土地利用； ..”，</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建议修改为：“本项目将….自然资源部门负责土地利用”；……</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三都水族自治县自然资源局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第3页第12段中的“生态环境部门负责农村生活污水管理、秸秆焚烧和畜禽粪污监管水土环境监测等”内容描述不准确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建议把“秸秆焚烧和畜禽粪污监管”删除，并根据书面反馈意见进行更新。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施秉县生态环境局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20</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第3页第12段，生态环境部门负责农村生活污水管理、秸秆焚烧和畜禽粪污监管、水土环境监测</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建议删除秸秆焚烧和畜禽粪污监管</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息烽县生态环境局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总体来说污染监管是生态环境部门的职责，因此仍然保留但修改为秸秆焚烧污染监管、畜禽养殖污染监管</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21</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第22页第151段，本项目下的农村生活垃圾收集与转运活动由区县级住建或相关部门具体负责监管，不同区县的具体责任部门有所不同</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本项目下的农村生活垃圾收集与转运活动由区县级农业农村、住建、乡村振兴发展中心等相关部门具体负责监管，不同区县的具体责任部门有所不同</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各县情况不同，但总体来说两省大部分地区农村生活垃圾收集和转运由住建部门牵头管理，因此仍然保留原描述</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2</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第24页141段，本项目涉及的农村生活污水处理设施建设与运行由区县级生态环境局具体负责监管，一般设有业务股或综合股(2-3人)负责农村污水处理设施建设与运行管理。</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修改为“本项目涉及的农村生活污水处理设施建设与运行由区县级生态环境局具体负责监管，一般设有业务股或综合股(2-3人) 负责监管农村污水处理设施的建设与运行”。</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息烽县生态环境局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已修改，增加“监管”两字</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3</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第169段</w:t>
            </w:r>
            <w:r>
              <w:rPr>
                <w:rFonts w:ascii="Arial" w:cs="Arial" w:eastAsia="宋体" w:hAnsi="Arial"/>
                <w:color w:val="000000"/>
                <w:sz w:val="20"/>
                <w:szCs w:val="20"/>
              </w:rPr>
              <w:t>区县级林业局</w:t>
            </w:r>
            <w:r>
              <w:rPr>
                <w:rFonts w:ascii="Arial" w:cs="Arial" w:eastAsia="宋体" w:hAnsi="Arial"/>
                <w:bCs/>
                <w:color w:val="000000"/>
                <w:sz w:val="20"/>
                <w:szCs w:val="20"/>
              </w:rPr>
              <w:t>负责辖区内自然保护地规划、管理等职责</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建议将林业局改为世界自然遗产和风景区管理局</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w:t>
            </w:r>
            <w:r>
              <w:rPr>
                <w:rFonts w:ascii="Arial" w:cs="Arial" w:eastAsia="宋体" w:hAnsi="Arial"/>
                <w:color w:val="000000"/>
                <w:sz w:val="20"/>
                <w:szCs w:val="20"/>
              </w:rPr>
              <w:t>施秉县林业局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仅个别县情况不同，但基本上都是隶属于林业部门的职责，报告补充了一个说明“个别区县由不同部门负责该项具体工作”</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4</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附件2“住建部门负责农村生活垃圾管理”，根据工作职责职能，农村生活垃圾属于市综合执法局职责职能</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建议调整为市综合执法局</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兴仁市住房和城乡建设局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已包含综合执法部门，见RA3</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5</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第272段：劳动纠纷解决机制，各项程序处理时限表述不规范</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印江县人力资源与社会保障局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6</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第43页，关于民政局职责中“留守、困境儿童”表述不规范</w:t>
            </w:r>
          </w:p>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第38页和86页中，关于贫困及扶贫制度表述不规范</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建议将“儿童”修改为“未成年人”。</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印江土家族苗族自治县民政局</w:t>
            </w:r>
            <w:r>
              <w:rPr>
                <w:rFonts w:ascii="Arial" w:cs="Arial" w:eastAsia="宋体" w:hAnsi="Arial" w:hint="eastAsia"/>
                <w:sz w:val="20"/>
                <w:szCs w:val="20"/>
              </w:rPr>
              <w:t>、</w:t>
            </w:r>
            <w:r>
              <w:rPr>
                <w:rFonts w:ascii="Arial" w:cs="Arial" w:eastAsia="宋体" w:hAnsi="Arial"/>
                <w:sz w:val="20"/>
                <w:szCs w:val="20"/>
              </w:rPr>
              <w:t>息烽县民政局、广西民政厅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7</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w:t>
            </w:r>
            <w:r>
              <w:rPr>
                <w:rFonts w:ascii="Arial" w:cs="Arial" w:eastAsia="宋体" w:hAnsi="Arial"/>
                <w:sz w:val="20"/>
                <w:szCs w:val="20"/>
              </w:rPr>
              <w:t>43</w:t>
            </w:r>
            <w:r>
              <w:rPr>
                <w:rFonts w:ascii="Arial" w:cs="Arial" w:eastAsia="宋体" w:hAnsi="Arial" w:hint="eastAsia"/>
                <w:sz w:val="20"/>
                <w:szCs w:val="20"/>
              </w:rPr>
              <w:t>页</w:t>
            </w:r>
            <w:r>
              <w:rPr>
                <w:rFonts w:ascii="Arial" w:cs="Arial" w:eastAsia="宋体" w:hAnsi="Arial"/>
                <w:sz w:val="20"/>
                <w:szCs w:val="20"/>
              </w:rPr>
              <w:t>“4.3.4</w:t>
            </w:r>
            <w:r>
              <w:rPr>
                <w:rFonts w:ascii="Arial" w:cs="Arial" w:eastAsia="宋体" w:hAnsi="Arial" w:hint="eastAsia"/>
                <w:sz w:val="20"/>
                <w:szCs w:val="20"/>
              </w:rPr>
              <w:t>公众安全、劳动者健康安全和应急管理机构</w:t>
            </w:r>
            <w:r>
              <w:rPr>
                <w:rFonts w:ascii="Arial" w:cs="Arial" w:eastAsia="宋体" w:hAnsi="Arial"/>
                <w:sz w:val="20"/>
                <w:szCs w:val="20"/>
              </w:rPr>
              <w:t>”</w:t>
            </w:r>
            <w:r>
              <w:rPr>
                <w:rFonts w:ascii="Arial" w:cs="Arial" w:eastAsia="宋体" w:hAnsi="Arial" w:hint="eastAsia"/>
                <w:sz w:val="20"/>
                <w:szCs w:val="20"/>
              </w:rPr>
              <w:t>中</w:t>
            </w:r>
            <w:r>
              <w:rPr>
                <w:rFonts w:ascii="Arial" w:cs="Arial" w:eastAsia="宋体" w:hAnsi="Arial"/>
                <w:sz w:val="20"/>
                <w:szCs w:val="20"/>
              </w:rPr>
              <w:t>“</w:t>
            </w:r>
            <w:r>
              <w:rPr>
                <w:rFonts w:ascii="Arial" w:cs="Arial" w:eastAsia="宋体" w:hAnsi="Arial" w:hint="eastAsia"/>
                <w:sz w:val="20"/>
                <w:szCs w:val="20"/>
              </w:rPr>
              <w:t>职业健康检查机构的表述不规范</w:t>
            </w:r>
          </w:p>
        </w:tc>
        <w:tc>
          <w:tcPr>
            <w:tcW w:w="1325"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建议将文中多处</w:t>
            </w:r>
            <w:r>
              <w:rPr>
                <w:rFonts w:ascii="Arial" w:cs="Arial" w:eastAsia="宋体" w:hAnsi="Arial"/>
                <w:color w:val="000000"/>
                <w:sz w:val="20"/>
                <w:szCs w:val="20"/>
              </w:rPr>
              <w:t>“</w:t>
            </w:r>
            <w:r>
              <w:rPr>
                <w:rFonts w:ascii="Arial" w:cs="Arial" w:eastAsia="宋体" w:hAnsi="Arial" w:hint="eastAsia"/>
                <w:color w:val="000000"/>
                <w:sz w:val="20"/>
                <w:szCs w:val="20"/>
              </w:rPr>
              <w:t>职业健康危害因素</w:t>
            </w:r>
            <w:r>
              <w:rPr>
                <w:rFonts w:ascii="Arial" w:cs="Arial" w:eastAsia="宋体" w:hAnsi="Arial"/>
                <w:color w:val="000000"/>
                <w:sz w:val="20"/>
                <w:szCs w:val="20"/>
              </w:rPr>
              <w:t>”</w:t>
            </w:r>
            <w:r>
              <w:rPr>
                <w:rFonts w:ascii="Arial" w:cs="Arial" w:eastAsia="宋体" w:hAnsi="Arial" w:hint="eastAsia"/>
                <w:color w:val="000000"/>
                <w:sz w:val="20"/>
                <w:szCs w:val="20"/>
              </w:rPr>
              <w:t>修改为</w:t>
            </w:r>
            <w:r>
              <w:rPr>
                <w:rFonts w:ascii="Arial" w:cs="Arial" w:eastAsia="宋体" w:hAnsi="Arial"/>
                <w:color w:val="000000"/>
                <w:sz w:val="20"/>
                <w:szCs w:val="20"/>
              </w:rPr>
              <w:t>“</w:t>
            </w:r>
            <w:r>
              <w:rPr>
                <w:rFonts w:ascii="Arial" w:cs="Arial" w:eastAsia="宋体" w:hAnsi="Arial" w:hint="eastAsia"/>
                <w:color w:val="000000"/>
                <w:sz w:val="20"/>
                <w:szCs w:val="20"/>
              </w:rPr>
              <w:t>职业病危害因素</w:t>
            </w:r>
            <w:r>
              <w:rPr>
                <w:rFonts w:ascii="Arial" w:cs="Arial" w:eastAsia="宋体" w:hAnsi="Arial"/>
                <w:color w:val="000000"/>
                <w:sz w:val="20"/>
                <w:szCs w:val="20"/>
              </w:rPr>
              <w:t>”</w:t>
            </w:r>
            <w:r>
              <w:rPr>
                <w:rFonts w:ascii="Arial" w:cs="Arial" w:eastAsia="宋体" w:hAnsi="Arial" w:hint="eastAsia"/>
                <w:color w:val="000000"/>
                <w:sz w:val="20"/>
                <w:szCs w:val="20"/>
              </w:rPr>
              <w:t>，</w:t>
            </w:r>
            <w:r>
              <w:rPr>
                <w:rFonts w:ascii="Arial" w:cs="Arial" w:eastAsia="宋体" w:hAnsi="Arial"/>
                <w:color w:val="000000"/>
                <w:sz w:val="20"/>
                <w:szCs w:val="20"/>
              </w:rPr>
              <w:t>“</w:t>
            </w:r>
            <w:r>
              <w:rPr>
                <w:rFonts w:ascii="Arial" w:cs="Arial" w:eastAsia="宋体" w:hAnsi="Arial" w:hint="eastAsia"/>
                <w:color w:val="000000"/>
                <w:sz w:val="20"/>
                <w:szCs w:val="20"/>
              </w:rPr>
              <w:t>职业健康预评估</w:t>
            </w:r>
            <w:r>
              <w:rPr>
                <w:rFonts w:ascii="Arial" w:cs="Arial" w:eastAsia="宋体" w:hAnsi="Arial"/>
                <w:color w:val="000000"/>
                <w:sz w:val="20"/>
                <w:szCs w:val="20"/>
              </w:rPr>
              <w:t>”</w:t>
            </w:r>
            <w:r>
              <w:rPr>
                <w:rFonts w:ascii="Arial" w:cs="Arial" w:eastAsia="宋体" w:hAnsi="Arial" w:hint="eastAsia"/>
                <w:color w:val="000000"/>
                <w:sz w:val="20"/>
                <w:szCs w:val="20"/>
              </w:rPr>
              <w:t>修改为</w:t>
            </w:r>
            <w:r>
              <w:rPr>
                <w:rFonts w:ascii="Arial" w:cs="Arial" w:eastAsia="宋体" w:hAnsi="Arial"/>
                <w:color w:val="000000"/>
                <w:sz w:val="20"/>
                <w:szCs w:val="20"/>
              </w:rPr>
              <w:t>“</w:t>
            </w:r>
            <w:r>
              <w:rPr>
                <w:rFonts w:ascii="Arial" w:cs="Arial" w:eastAsia="宋体" w:hAnsi="Arial" w:hint="eastAsia"/>
                <w:color w:val="000000"/>
                <w:sz w:val="20"/>
                <w:szCs w:val="20"/>
              </w:rPr>
              <w:t>职业病危害预评价</w:t>
            </w:r>
            <w:r>
              <w:rPr>
                <w:rFonts w:ascii="Arial" w:cs="Arial" w:eastAsia="宋体" w:hAnsi="Arial"/>
                <w:color w:val="000000"/>
                <w:sz w:val="20"/>
                <w:szCs w:val="20"/>
              </w:rPr>
              <w:t>”</w:t>
            </w:r>
            <w:r>
              <w:rPr>
                <w:rFonts w:ascii="Arial" w:cs="Arial" w:eastAsia="宋体" w:hAnsi="Arial" w:hint="eastAsia"/>
                <w:color w:val="000000"/>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广西卫生健康委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8</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第16页第93段，农业技术推广站(或植保站、农培站)负责向农药使用者提供技术服务和培训，包括农药安全使用方面的培训</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w:t>
            </w:r>
            <w:r>
              <w:rPr>
                <w:rFonts w:ascii="Arial" w:cs="Arial" w:eastAsia="宋体" w:hAnsi="Arial" w:hint="eastAsia"/>
                <w:sz w:val="20"/>
                <w:szCs w:val="20"/>
              </w:rPr>
              <w:t>改为“</w:t>
            </w:r>
            <w:r>
              <w:rPr>
                <w:rFonts w:ascii="Arial" w:cs="Arial" w:eastAsia="宋体" w:hAnsi="Arial"/>
                <w:sz w:val="20"/>
                <w:szCs w:val="20"/>
              </w:rPr>
              <w:t>植保站(农业技术推广站、农培站)负责向农药使用者提供技术服务和培训，包括农药安全使 用方面的培训</w:t>
            </w:r>
            <w:r>
              <w:rPr>
                <w:rFonts w:ascii="Arial" w:cs="Arial" w:eastAsia="宋体" w:hAnsi="Arial" w:hint="eastAsia"/>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台乡乡村振兴局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各县情况不同，</w:t>
            </w:r>
            <w:r>
              <w:rPr>
                <w:rFonts w:ascii="Arial" w:cs="Arial" w:eastAsia="宋体" w:hAnsi="Arial" w:hint="eastAsia"/>
                <w:sz w:val="20"/>
                <w:szCs w:val="20"/>
              </w:rPr>
              <w:t>因此改为“</w:t>
            </w:r>
            <w:r>
              <w:rPr>
                <w:rFonts w:ascii="Arial" w:cs="Arial" w:eastAsia="宋体" w:hAnsi="Arial"/>
                <w:sz w:val="20"/>
                <w:szCs w:val="20"/>
              </w:rPr>
              <w:t>农业机构（如农业技术推广站、植保站、农培站等）</w:t>
            </w:r>
            <w:r>
              <w:rPr>
                <w:rFonts w:ascii="Arial" w:cs="Arial" w:eastAsia="宋体" w:hAnsi="Arial" w:hint="eastAsia"/>
                <w:sz w:val="20"/>
                <w:szCs w:val="20"/>
              </w:rPr>
              <w:t>”</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第20页127段，</w:t>
            </w:r>
            <w:r>
              <w:rPr>
                <w:rFonts w:ascii="Arial" w:cs="Arial" w:eastAsia="宋体" w:hAnsi="Arial"/>
                <w:sz w:val="22"/>
                <w:lang w:val="en-GB"/>
              </w:rPr>
              <w:t>县级以上农业农村部门负责畜禽养殖废弃物综合利用的指导、服务和监管</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w:t>
            </w:r>
            <w:r>
              <w:rPr>
                <w:rFonts w:ascii="Arial" w:cs="Arial" w:eastAsia="宋体" w:hAnsi="Arial" w:hint="eastAsia"/>
                <w:sz w:val="20"/>
                <w:szCs w:val="20"/>
              </w:rPr>
              <w:t>删除“监管”</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台乡乡村振兴局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两省农业农村部门总体监管畜粪污管理，因此仍然保留原描述</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30</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第4.3.1章节，关于弱势群体权益保护机构中“社区和村建立妇女主任机制”修改为“建立妇联主席机制”</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建议修改为“建立妇联主席机制”</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修文县妇联</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31</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第53页第295段，行中残障人员归属残联部门进行管理</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修文县民政局</w:t>
            </w:r>
          </w:p>
        </w:tc>
        <w:tc>
          <w:tcPr>
            <w:tcW w:w="1027" w:type="pct"/>
            <w:tcBorders/>
            <w:shd w:val="clear" w:color="auto" w:fill="auto"/>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已修改，见</w:t>
            </w:r>
            <w:r>
              <w:rPr>
                <w:rFonts w:ascii="Arial" w:cs="Arial" w:eastAsia="宋体" w:hAnsi="Arial"/>
                <w:color w:val="000000"/>
                <w:sz w:val="20"/>
                <w:szCs w:val="20"/>
              </w:rPr>
              <w:t>53</w:t>
            </w:r>
            <w:r>
              <w:rPr>
                <w:rFonts w:ascii="Arial" w:cs="Arial" w:eastAsia="宋体" w:hAnsi="Arial" w:hint="eastAsia"/>
                <w:color w:val="000000"/>
                <w:sz w:val="20"/>
                <w:szCs w:val="20"/>
              </w:rPr>
              <w:t>页</w:t>
            </w:r>
            <w:r>
              <w:rPr>
                <w:rFonts w:ascii="Arial" w:cs="Arial" w:eastAsia="宋体" w:hAnsi="Arial"/>
                <w:color w:val="000000"/>
                <w:sz w:val="20"/>
                <w:szCs w:val="20"/>
              </w:rPr>
              <w:t>300</w:t>
            </w:r>
            <w:r>
              <w:rPr>
                <w:rFonts w:ascii="Arial" w:cs="Arial" w:eastAsia="宋体" w:hAnsi="Arial" w:hint="eastAsia"/>
                <w:color w:val="000000"/>
                <w:sz w:val="20"/>
                <w:szCs w:val="20"/>
              </w:rPr>
              <w:t>段</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r>
              <w:rPr>
                <w:rFonts w:ascii="Arial" w:cs="Arial" w:eastAsia="宋体" w:hAnsi="Arial" w:hint="eastAsia"/>
                <w:sz w:val="20"/>
                <w:szCs w:val="20"/>
              </w:rPr>
              <w:t>2</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附件1,</w:t>
            </w:r>
            <w:r>
              <w:rPr>
                <w:rFonts w:ascii="Arial" w:cs="Arial" w:eastAsia="宋体" w:hAnsi="Arial"/>
                <w:sz w:val="20"/>
                <w:szCs w:val="20"/>
              </w:rPr>
              <w:t>“农村饮水安全”建议修改为“农村供水保障”</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广西水利厅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r>
              <w:rPr>
                <w:rFonts w:ascii="Arial" w:cs="Arial" w:eastAsia="宋体" w:hAnsi="Arial" w:hint="eastAsia"/>
                <w:sz w:val="20"/>
                <w:szCs w:val="20"/>
              </w:rPr>
              <w:t>3</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第1</w:t>
            </w:r>
            <w:r>
              <w:rPr>
                <w:rFonts w:ascii="Arial" w:cs="Arial" w:eastAsia="宋体" w:hAnsi="Arial"/>
                <w:sz w:val="20"/>
                <w:szCs w:val="20"/>
              </w:rPr>
              <w:t>42</w:t>
            </w:r>
            <w:r>
              <w:rPr>
                <w:rFonts w:ascii="Arial" w:cs="Arial" w:eastAsia="宋体" w:hAnsi="Arial" w:hint="eastAsia"/>
                <w:sz w:val="20"/>
                <w:szCs w:val="20"/>
              </w:rPr>
              <w:t>段农村生活污水管理系统“</w:t>
            </w:r>
            <w:r>
              <w:rPr>
                <w:rFonts w:ascii="Arial" w:cs="Arial" w:eastAsia="宋体" w:hAnsi="Arial"/>
                <w:sz w:val="20"/>
                <w:szCs w:val="20"/>
              </w:rPr>
              <w:t>机构设置与管理绩效</w:t>
            </w:r>
            <w:r>
              <w:rPr>
                <w:rFonts w:ascii="Arial" w:cs="Arial" w:eastAsia="宋体" w:hAnsi="Arial" w:hint="eastAsia"/>
                <w:sz w:val="20"/>
                <w:szCs w:val="20"/>
              </w:rPr>
              <w:t>”中关于贵州省农村生活污水处理设施的数量不准确</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建议根据书面意见进行修改</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贵州省生态环境厅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color w:val="000000"/>
                <w:sz w:val="20"/>
                <w:szCs w:val="20"/>
              </w:rPr>
              <w:t>由于该数量是变量且与管理绩效相关性不大，已删除</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34</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第1</w:t>
            </w:r>
            <w:r>
              <w:rPr>
                <w:rFonts w:ascii="Arial" w:cs="Arial" w:eastAsia="宋体" w:hAnsi="Arial"/>
                <w:sz w:val="20"/>
                <w:szCs w:val="20"/>
              </w:rPr>
              <w:t>70</w:t>
            </w:r>
            <w:r>
              <w:rPr>
                <w:rFonts w:ascii="Arial" w:cs="Arial" w:eastAsia="宋体" w:hAnsi="Arial" w:hint="eastAsia"/>
                <w:sz w:val="20"/>
                <w:szCs w:val="20"/>
              </w:rPr>
              <w:t>段</w:t>
            </w:r>
            <w:r>
              <w:rPr>
                <w:rFonts w:ascii="Arial" w:cs="Arial" w:eastAsia="宋体" w:hAnsi="Arial"/>
                <w:sz w:val="20"/>
                <w:szCs w:val="20"/>
              </w:rPr>
              <w:t>自然保护地破坏等违法违规行为一般由生态环境部门下设的环境执法大队（10人左右）管理</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建议改为“</w:t>
            </w:r>
            <w:r>
              <w:rPr>
                <w:rFonts w:ascii="Arial" w:cs="Arial" w:eastAsia="宋体" w:hAnsi="Arial"/>
                <w:sz w:val="20"/>
                <w:szCs w:val="20"/>
              </w:rPr>
              <w:t>自然保护地内非法开矿、修路、筑坝等造成生态破坏行为由生态环境部门实施行政处罚</w:t>
            </w:r>
            <w:r>
              <w:rPr>
                <w:rFonts w:ascii="Arial" w:cs="Arial" w:eastAsia="宋体" w:hAnsi="Arial" w:hint="eastAsia"/>
                <w:sz w:val="20"/>
                <w:szCs w:val="20"/>
              </w:rPr>
              <w:t>”</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贵州省生态环境厅</w:t>
            </w:r>
          </w:p>
        </w:tc>
        <w:tc>
          <w:tcPr>
            <w:tcW w:w="1027" w:type="pct"/>
            <w:tcBorders/>
            <w:shd w:val="clear" w:color="auto" w:fill="auto"/>
          </w:tcPr>
          <w:p>
            <w:pPr>
              <w:pStyle w:val="style0"/>
              <w:widowControl/>
              <w:spacing w:lineRule="auto" w:line="259"/>
              <w:jc w:val="left"/>
              <w:rPr>
                <w:rFonts w:ascii="Arial" w:cs="Arial" w:eastAsia="宋体" w:hAnsi="Arial"/>
                <w:color w:val="000000"/>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35</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本报告中关于人力资源社会保障部门等名称表述不规范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建议根据书面意见进行修改</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广西壮族自治区人力资源和社会保障厅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已根据反馈意见修改，针对各地称谓略有不同的，按更高一级部门名称统一，如“人力资源和社会保障局”</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36</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“未满16周岁的儿童”、“救助供养机构”、“残障人员”表述不规范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建议修改为“未满18周岁的。。”、“供养救助服务机构”和“残疾人”</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贵州省民政厅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37</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关于卫生健康委的相关职责表述不规范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建议更具反馈意见进行更新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贵州省卫生健康委</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38</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第39页，关于自然资源部门相关职责表述不规范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建议更具反馈意见进行更新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贵州省自然资源厅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已修改</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关于行动建议</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r>
              <w:rPr>
                <w:rFonts w:ascii="Arial" w:cs="Arial" w:eastAsia="宋体" w:hAnsi="Arial" w:hint="eastAsia"/>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w:t>
            </w:r>
            <w:r>
              <w:rPr>
                <w:rFonts w:ascii="Arial" w:cs="Arial" w:eastAsia="宋体" w:hAnsi="Arial"/>
                <w:sz w:val="20"/>
                <w:szCs w:val="20"/>
              </w:rPr>
              <w:t>50</w:t>
            </w:r>
            <w:r>
              <w:rPr>
                <w:rFonts w:ascii="Arial" w:cs="Arial" w:eastAsia="宋体" w:hAnsi="Arial" w:hint="eastAsia"/>
                <w:sz w:val="20"/>
                <w:szCs w:val="20"/>
              </w:rPr>
              <w:t>页第</w:t>
            </w:r>
            <w:r>
              <w:rPr>
                <w:rFonts w:ascii="Arial" w:cs="Arial" w:eastAsia="宋体" w:hAnsi="Arial"/>
                <w:sz w:val="20"/>
                <w:szCs w:val="20"/>
              </w:rPr>
              <w:t>275</w:t>
            </w:r>
            <w:r>
              <w:rPr>
                <w:rFonts w:ascii="Arial" w:cs="Arial" w:eastAsia="宋体" w:hAnsi="Arial" w:hint="eastAsia"/>
                <w:sz w:val="20"/>
                <w:szCs w:val="20"/>
              </w:rPr>
              <w:t>段职业健康管理</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建议增加</w:t>
            </w:r>
            <w:r>
              <w:rPr>
                <w:rFonts w:ascii="Arial" w:cs="Arial" w:eastAsia="宋体" w:hAnsi="Arial"/>
                <w:sz w:val="20"/>
                <w:szCs w:val="20"/>
              </w:rPr>
              <w:t>“</w:t>
            </w:r>
            <w:r>
              <w:rPr>
                <w:rFonts w:ascii="Arial" w:cs="Arial" w:eastAsia="宋体" w:hAnsi="Arial" w:hint="eastAsia"/>
                <w:sz w:val="20"/>
                <w:szCs w:val="20"/>
              </w:rPr>
              <w:t>应当按照国家相关规定开展建设项目职业病防护设施</w:t>
            </w:r>
            <w:r>
              <w:rPr>
                <w:rFonts w:ascii="Arial" w:cs="Arial" w:eastAsia="宋体" w:hAnsi="Arial"/>
                <w:sz w:val="20"/>
                <w:szCs w:val="20"/>
              </w:rPr>
              <w:t>“</w:t>
            </w:r>
            <w:r>
              <w:rPr>
                <w:rFonts w:ascii="Arial" w:cs="Arial" w:eastAsia="宋体" w:hAnsi="Arial" w:hint="eastAsia"/>
                <w:sz w:val="20"/>
                <w:szCs w:val="20"/>
              </w:rPr>
              <w:t>三同时</w:t>
            </w:r>
            <w:r>
              <w:rPr>
                <w:rFonts w:ascii="Arial" w:cs="Arial" w:eastAsia="宋体" w:hAnsi="Arial"/>
                <w:sz w:val="20"/>
                <w:szCs w:val="20"/>
              </w:rPr>
              <w:t>”</w:t>
            </w:r>
            <w:r>
              <w:rPr>
                <w:rFonts w:ascii="Arial" w:cs="Arial" w:eastAsia="宋体" w:hAnsi="Arial" w:hint="eastAsia"/>
                <w:sz w:val="20"/>
                <w:szCs w:val="20"/>
              </w:rPr>
              <w:t>，并落实职业病防治主体责任，按规定开展职业病危害因素检测</w:t>
            </w:r>
            <w:r>
              <w:rPr>
                <w:rFonts w:ascii="Arial" w:cs="Arial" w:eastAsia="宋体" w:hAnsi="Arial"/>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广西卫生健康委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已根据反馈意见进行了修改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40</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第56页行动计划表6-1中第一项责任部门表述不准确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建议修改为“省住建厅、项目县住建局、乡村振兴发展中心、城市管理综合执法局”</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bl>
    <w:p>
      <w:pPr>
        <w:pStyle w:val="style0"/>
        <w:widowControl/>
        <w:jc w:val="left"/>
        <w:rPr>
          <w:rFonts w:ascii="Arial" w:cs="Arial" w:eastAsia="宋体" w:hAnsi="Arial"/>
          <w:b/>
          <w:bCs/>
        </w:rPr>
      </w:pPr>
      <w:r>
        <w:rPr>
          <w:rFonts w:ascii="Arial" w:cs="Arial" w:eastAsia="宋体" w:hAnsi="Arial"/>
          <w:b/>
          <w:bCs/>
        </w:rPr>
        <w:br w:type="page"/>
      </w:r>
    </w:p>
    <w:p>
      <w:pPr>
        <w:pStyle w:val="style0"/>
        <w:widowControl/>
        <w:spacing w:after="160" w:lineRule="auto" w:line="256"/>
        <w:jc w:val="left"/>
        <w:rPr>
          <w:rFonts w:ascii="Arial" w:cs="Arial" w:eastAsia="宋体" w:hAnsi="Arial"/>
          <w:b/>
          <w:bCs/>
        </w:rPr>
      </w:pPr>
      <w:r>
        <w:rPr>
          <w:rFonts w:ascii="Arial" w:cs="Arial" w:eastAsia="宋体" w:hAnsi="Arial"/>
          <w:b/>
          <w:bCs/>
        </w:rPr>
        <w:t>2. ESSA报告咨询会签到表、会场照片及书面意见记录（部分）</w:t>
      </w:r>
    </w:p>
    <w:tbl>
      <w:tblPr>
        <w:tblStyle w:val="style154"/>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529"/>
        <w:gridCol w:w="2386"/>
        <w:gridCol w:w="2423"/>
        <w:gridCol w:w="2133"/>
      </w:tblGrid>
      <w:tr>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203960" cy="1611630"/>
                  <wp:effectExtent l="0" t="0" r="0" b="7620"/>
                  <wp:docPr id="1027" name="图片 32" descr="一些文字和图片的手机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32"/>
                          <pic:cNvPicPr/>
                        </pic:nvPicPr>
                        <pic:blipFill>
                          <a:blip r:embed="rId11" cstate="print"/>
                          <a:srcRect l="0" t="0" r="0" b="0"/>
                          <a:stretch/>
                        </pic:blipFill>
                        <pic:spPr>
                          <a:xfrm rot="0">
                            <a:off x="0" y="0"/>
                            <a:ext cx="1203960" cy="1611630"/>
                          </a:xfrm>
                          <a:prstGeom prst="rect"/>
                          <a:ln>
                            <a:noFill/>
                          </a:ln>
                        </pic:spPr>
                      </pic:pic>
                    </a:graphicData>
                  </a:graphic>
                </wp:inline>
              </w:drawing>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310005" cy="1612265"/>
                  <wp:effectExtent l="0" t="0" r="4445" b="6985"/>
                  <wp:docPr id="1028" name="图片 42" descr="一些文字和图片的手机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42"/>
                          <pic:cNvPicPr/>
                        </pic:nvPicPr>
                        <pic:blipFill>
                          <a:blip r:embed="rId12" cstate="print"/>
                          <a:srcRect l="0" t="0" r="0" b="0"/>
                          <a:stretch/>
                        </pic:blipFill>
                        <pic:spPr>
                          <a:xfrm rot="0">
                            <a:off x="0" y="0"/>
                            <a:ext cx="1310005" cy="1612265"/>
                          </a:xfrm>
                          <a:prstGeom prst="rect"/>
                          <a:ln>
                            <a:noFill/>
                          </a:ln>
                        </pic:spPr>
                      </pic:pic>
                    </a:graphicData>
                  </a:graphic>
                </wp:inline>
              </w:drawing>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252220" cy="1612265"/>
                  <wp:effectExtent l="0" t="0" r="5080" b="6985"/>
                  <wp:docPr id="1029" name="图片 43" descr="图片包含 图示&#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3"/>
                          <pic:cNvPicPr/>
                        </pic:nvPicPr>
                        <pic:blipFill>
                          <a:blip r:embed="rId13" cstate="print"/>
                          <a:srcRect l="0" t="0" r="0" b="0"/>
                          <a:stretch/>
                        </pic:blipFill>
                        <pic:spPr>
                          <a:xfrm rot="0">
                            <a:off x="0" y="0"/>
                            <a:ext cx="1252220" cy="1612265"/>
                          </a:xfrm>
                          <a:prstGeom prst="rect"/>
                          <a:ln>
                            <a:noFill/>
                          </a:ln>
                        </pic:spPr>
                      </pic:pic>
                    </a:graphicData>
                  </a:graphic>
                </wp:inline>
              </w:drawing>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193800" cy="1612265"/>
                  <wp:effectExtent l="0" t="0" r="6350" b="6985"/>
                  <wp:docPr id="1030" name="图片 45" descr="手机屏幕的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45"/>
                          <pic:cNvPicPr/>
                        </pic:nvPicPr>
                        <pic:blipFill>
                          <a:blip r:embed="rId14" cstate="print"/>
                          <a:srcRect l="0" t="0" r="0" b="0"/>
                          <a:stretch/>
                        </pic:blipFill>
                        <pic:spPr>
                          <a:xfrm rot="0">
                            <a:off x="0" y="0"/>
                            <a:ext cx="1193800" cy="1612265"/>
                          </a:xfrm>
                          <a:prstGeom prst="rect"/>
                          <a:ln>
                            <a:noFill/>
                          </a:ln>
                        </pic:spPr>
                      </pic:pic>
                    </a:graphicData>
                  </a:graphic>
                </wp:inline>
              </w:drawing>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贵州三都县会场签到</w:t>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贵州息烽县会场签到</w:t>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广西资源县会场签订</w:t>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广西平桂区会场签到</w:t>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209675" cy="906780"/>
                  <wp:effectExtent l="0" t="0" r="0" b="7620"/>
                  <wp:docPr id="1031" name="图片 46" descr="a1220ed9e3493619f97541ca16015a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46"/>
                          <pic:cNvPicPr/>
                        </pic:nvPicPr>
                        <pic:blipFill>
                          <a:blip r:embed="rId15" cstate="print"/>
                          <a:srcRect l="0" t="0" r="0" b="0"/>
                          <a:stretch/>
                        </pic:blipFill>
                        <pic:spPr>
                          <a:xfrm rot="0">
                            <a:off x="0" y="0"/>
                            <a:ext cx="1209675" cy="906780"/>
                          </a:xfrm>
                          <a:prstGeom prst="rect"/>
                        </pic:spPr>
                      </pic:pic>
                    </a:graphicData>
                  </a:graphic>
                </wp:inline>
              </w:drawing>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171575" cy="878205"/>
                  <wp:effectExtent l="0" t="0" r="0" b="0"/>
                  <wp:docPr id="1032" name="图片 40" descr="房间里的餐厅&#10;&#10;中度可信度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40"/>
                          <pic:cNvPicPr/>
                        </pic:nvPicPr>
                        <pic:blipFill>
                          <a:blip r:embed="rId16" cstate="print"/>
                          <a:srcRect l="0" t="0" r="0" b="0"/>
                          <a:stretch/>
                        </pic:blipFill>
                        <pic:spPr>
                          <a:xfrm rot="0">
                            <a:off x="0" y="0"/>
                            <a:ext cx="1171575" cy="878205"/>
                          </a:xfrm>
                          <a:prstGeom prst="rect"/>
                          <a:ln>
                            <a:noFill/>
                          </a:ln>
                        </pic:spPr>
                      </pic:pic>
                    </a:graphicData>
                  </a:graphic>
                </wp:inline>
              </w:drawing>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210945" cy="906780"/>
                  <wp:effectExtent l="0" t="0" r="8255" b="7620"/>
                  <wp:docPr id="1033" name="图片 44" descr="房间里的餐厅&#10;&#10;中度可信度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44"/>
                          <pic:cNvPicPr/>
                        </pic:nvPicPr>
                        <pic:blipFill>
                          <a:blip r:embed="rId17" cstate="print"/>
                          <a:srcRect l="0" t="0" r="0" b="0"/>
                          <a:stretch/>
                        </pic:blipFill>
                        <pic:spPr>
                          <a:xfrm rot="0">
                            <a:off x="0" y="0"/>
                            <a:ext cx="1210945" cy="906780"/>
                          </a:xfrm>
                          <a:prstGeom prst="rect"/>
                          <a:ln>
                            <a:noFill/>
                          </a:ln>
                        </pic:spPr>
                      </pic:pic>
                    </a:graphicData>
                  </a:graphic>
                </wp:inline>
              </w:drawing>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207770" cy="906145"/>
                  <wp:effectExtent l="0" t="0" r="0" b="8255"/>
                  <wp:docPr id="1034" name="图片 41" descr="餐厅里的人们&#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41"/>
                          <pic:cNvPicPr/>
                        </pic:nvPicPr>
                        <pic:blipFill>
                          <a:blip r:embed="rId18" cstate="print"/>
                          <a:srcRect l="0" t="0" r="0" b="0"/>
                          <a:stretch/>
                        </pic:blipFill>
                        <pic:spPr>
                          <a:xfrm rot="0">
                            <a:off x="0" y="0"/>
                            <a:ext cx="1207770" cy="906145"/>
                          </a:xfrm>
                          <a:prstGeom prst="rect"/>
                          <a:ln>
                            <a:noFill/>
                          </a:ln>
                        </pic:spPr>
                      </pic:pic>
                    </a:graphicData>
                  </a:graphic>
                </wp:inline>
              </w:drawing>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广西平桂区会场</w:t>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贵州三都县会场</w:t>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广西资源县会场</w:t>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贵州息烽县会场</w:t>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459230" cy="906780"/>
                  <wp:effectExtent l="0" t="0" r="7620" b="7620"/>
                  <wp:docPr id="1035" name="图片 47" descr="图形用户界面&#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47"/>
                          <pic:cNvPicPr/>
                        </pic:nvPicPr>
                        <pic:blipFill>
                          <a:blip r:embed="rId19" cstate="print"/>
                          <a:srcRect l="0" t="0" r="0" b="0"/>
                          <a:stretch/>
                        </pic:blipFill>
                        <pic:spPr>
                          <a:xfrm rot="0">
                            <a:off x="0" y="0"/>
                            <a:ext cx="1459230" cy="906780"/>
                          </a:xfrm>
                          <a:prstGeom prst="rect"/>
                          <a:ln>
                            <a:noFill/>
                          </a:ln>
                        </pic:spPr>
                      </pic:pic>
                    </a:graphicData>
                  </a:graphic>
                </wp:inline>
              </w:drawing>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368425" cy="906780"/>
                  <wp:effectExtent l="0" t="0" r="3175" b="7620"/>
                  <wp:docPr id="1036" name="图片 49" descr="图形用户界面&#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49"/>
                          <pic:cNvPicPr/>
                        </pic:nvPicPr>
                        <pic:blipFill>
                          <a:blip r:embed="rId20" cstate="print"/>
                          <a:srcRect l="0" t="0" r="0" b="0"/>
                          <a:stretch/>
                        </pic:blipFill>
                        <pic:spPr>
                          <a:xfrm rot="0">
                            <a:off x="0" y="0"/>
                            <a:ext cx="1368425" cy="906780"/>
                          </a:xfrm>
                          <a:prstGeom prst="rect"/>
                          <a:ln>
                            <a:noFill/>
                          </a:ln>
                        </pic:spPr>
                      </pic:pic>
                    </a:graphicData>
                  </a:graphic>
                </wp:inline>
              </w:drawing>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391920" cy="906780"/>
                  <wp:effectExtent l="0" t="0" r="0" b="7620"/>
                  <wp:docPr id="1037" name="图片 50" descr="电脑屏幕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50"/>
                          <pic:cNvPicPr/>
                        </pic:nvPicPr>
                        <pic:blipFill>
                          <a:blip r:embed="rId21" cstate="print"/>
                          <a:srcRect l="0" t="0" r="0" b="0"/>
                          <a:stretch/>
                        </pic:blipFill>
                        <pic:spPr>
                          <a:xfrm rot="0">
                            <a:off x="0" y="0"/>
                            <a:ext cx="1391920" cy="906780"/>
                          </a:xfrm>
                          <a:prstGeom prst="rect"/>
                          <a:ln>
                            <a:noFill/>
                          </a:ln>
                        </pic:spPr>
                      </pic:pic>
                    </a:graphicData>
                  </a:graphic>
                </wp:inline>
              </w:drawing>
            </w:r>
          </w:p>
        </w:tc>
        <w:tc>
          <w:tcPr>
            <w:tcW w:w="2081" w:type="dxa"/>
            <w:tcBorders/>
          </w:tcPr>
          <w:p>
            <w:pPr>
              <w:pStyle w:val="style0"/>
              <w:widowControl/>
              <w:spacing w:after="160" w:lineRule="auto" w:line="256"/>
              <w:jc w:val="center"/>
              <w:rPr>
                <w:rFonts w:ascii="Arial" w:cs="Arial" w:eastAsia="宋体" w:hAnsi="Arial"/>
                <w:sz w:val="20"/>
                <w:szCs w:val="20"/>
              </w:rPr>
            </w:pPr>
            <w:r>
              <w:rPr>
                <w:rFonts w:ascii="Arial" w:cs="Arial" w:eastAsia="宋体" w:hAnsi="Arial"/>
                <w:sz w:val="20"/>
                <w:szCs w:val="20"/>
              </w:rPr>
              <w:drawing>
                <wp:inline distL="0" distT="0" distB="0" distR="0">
                  <wp:extent cx="1181100" cy="906145"/>
                  <wp:effectExtent l="0" t="0" r="0" b="8255"/>
                  <wp:docPr id="1038" name="图片 51" descr="文本, 信件&#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51"/>
                          <pic:cNvPicPr/>
                        </pic:nvPicPr>
                        <pic:blipFill>
                          <a:blip r:embed="rId22" cstate="print"/>
                          <a:srcRect l="0" t="0" r="0" b="0"/>
                          <a:stretch/>
                        </pic:blipFill>
                        <pic:spPr>
                          <a:xfrm rot="0">
                            <a:off x="0" y="0"/>
                            <a:ext cx="1181100" cy="906145"/>
                          </a:xfrm>
                          <a:prstGeom prst="rect"/>
                          <a:ln>
                            <a:noFill/>
                          </a:ln>
                        </pic:spPr>
                      </pic:pic>
                    </a:graphicData>
                  </a:graphic>
                </wp:inline>
              </w:drawing>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贵州县级在线会场</w:t>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广西县级在线会场</w:t>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hint="eastAsia"/>
                <w:sz w:val="20"/>
                <w:szCs w:val="20"/>
                <w:lang w:eastAsia="zh-CN"/>
              </w:rPr>
              <w:t>广西壮族自治区</w:t>
            </w:r>
            <w:r>
              <w:rPr>
                <w:rFonts w:ascii="Arial" w:cs="Arial" w:eastAsia="宋体" w:hAnsi="Arial"/>
                <w:sz w:val="20"/>
                <w:szCs w:val="20"/>
              </w:rPr>
              <w:t>级在线会场</w:t>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贵州施秉县反馈意见</w:t>
            </w:r>
          </w:p>
        </w:tc>
      </w:tr>
    </w:tbl>
    <w:p>
      <w:pPr>
        <w:pStyle w:val="style0"/>
        <w:widowControl/>
        <w:spacing w:after="160" w:lineRule="auto" w:line="256"/>
        <w:jc w:val="left"/>
        <w:rPr>
          <w:rFonts w:ascii="Arial" w:cs="Arial" w:eastAsia="宋体" w:hAnsi="Arial"/>
        </w:rPr>
      </w:pPr>
    </w:p>
    <w:p>
      <w:pPr>
        <w:pStyle w:val="style1"/>
        <w:spacing w:before="120" w:after="120" w:lineRule="auto" w:line="240"/>
        <w:rPr>
          <w:rFonts w:ascii="Arial" w:cs="Arial" w:eastAsia="宋体" w:hAnsi="Arial"/>
          <w:sz w:val="28"/>
          <w:szCs w:val="32"/>
        </w:rPr>
        <w:sectPr>
          <w:type w:val="continuous"/>
          <w:pgSz w:w="11906" w:h="16838" w:orient="portrait"/>
          <w:pgMar w:top="1134" w:right="1134" w:bottom="1134" w:left="1134" w:header="851" w:footer="760" w:gutter="0"/>
          <w:cols w:space="425" w:num="1"/>
          <w:docGrid w:type="lines" w:linePitch="312" w:charSpace="0"/>
        </w:sectPr>
      </w:pPr>
    </w:p>
    <w:bookmarkStart w:id="811" w:name="_Toc79939287"/>
    <w:bookmarkEnd w:id="810"/>
    <w:p>
      <w:pPr>
        <w:pStyle w:val="style0"/>
        <w:widowControl/>
        <w:jc w:val="left"/>
        <w:rPr>
          <w:rFonts w:ascii="Arial" w:cs="Arial" w:eastAsia="宋体" w:hAnsi="Arial"/>
          <w:b/>
          <w:bCs/>
          <w:kern w:val="44"/>
          <w:sz w:val="28"/>
          <w:szCs w:val="32"/>
        </w:rPr>
      </w:pPr>
      <w:r>
        <w:rPr>
          <w:rFonts w:ascii="Arial" w:cs="Arial" w:eastAsia="宋体" w:hAnsi="Arial"/>
          <w:sz w:val="28"/>
          <w:szCs w:val="32"/>
        </w:rPr>
        <w:br w:type="page"/>
      </w:r>
    </w:p>
    <w:bookmarkStart w:id="812" w:name="_Toc93944857"/>
    <w:bookmarkEnd w:id="811"/>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附件8：现场考察记录</w:t>
      </w:r>
      <w:bookmarkEnd w:id="812"/>
    </w:p>
    <w:tbl>
      <w:tblPr>
        <w:tblStyle w:val="style15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jc w:val="center"/>
        </w:trPr>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285" cy="1043305"/>
                  <wp:effectExtent l="0" t="0" r="5715" b="0"/>
                  <wp:docPr id="1039" name="Picture 13" descr="A building under construction&#10;&#10;Description automatically generated with low confiden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srcRect l="0" t="0" r="0" b="0"/>
                          <a:stretch/>
                        </pic:blipFill>
                        <pic:spPr>
                          <a:xfrm rot="0">
                            <a:off x="0" y="0"/>
                            <a:ext cx="1391285" cy="104330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285" cy="1043940"/>
                  <wp:effectExtent l="0" t="0" r="5715" b="0"/>
                  <wp:docPr id="1040" name="Picture 19" descr="A picture containing building, ground, dirt, dirty&#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24" cstate="print"/>
                          <a:srcRect l="0" t="0" r="0" b="0"/>
                          <a:stretch/>
                        </pic:blipFill>
                        <pic:spPr>
                          <a:xfrm rot="0">
                            <a:off x="0" y="0"/>
                            <a:ext cx="1391285" cy="1043940"/>
                          </a:xfrm>
                          <a:prstGeom prst="rect"/>
                        </pic:spPr>
                      </pic:pic>
                    </a:graphicData>
                  </a:graphic>
                </wp:inline>
              </w:drawing>
            </w:r>
          </w:p>
        </w:tc>
        <w:tc>
          <w:tcPr>
            <w:tcW w:w="1250" w:type="pct"/>
            <w:tcBorders/>
          </w:tcPr>
          <w:p>
            <w:pPr>
              <w:pStyle w:val="style0"/>
              <w:ind w:left="-106"/>
              <w:jc w:val="center"/>
              <w:rPr>
                <w:rFonts w:ascii="Arial" w:cs="Arial" w:eastAsia="宋体" w:hAnsi="Arial"/>
                <w:lang w:val="en-GB"/>
              </w:rPr>
            </w:pPr>
            <w:r>
              <w:rPr>
                <w:rFonts w:ascii="Arial" w:cs="Arial" w:eastAsia="宋体" w:hAnsi="Arial"/>
                <w:lang w:val="en-GB"/>
              </w:rPr>
              <w:drawing>
                <wp:inline distL="0" distT="0" distB="0" distR="0">
                  <wp:extent cx="1391920" cy="1043940"/>
                  <wp:effectExtent l="0" t="0" r="5080" b="0"/>
                  <wp:docPr id="1041" name="Picture 2" descr="A picture containing groun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5" cstate="print"/>
                          <a:srcRect l="0" t="0" r="0" b="0"/>
                          <a:stretch/>
                        </pic:blipFill>
                        <pic:spPr>
                          <a:xfrm rot="0">
                            <a:off x="0" y="0"/>
                            <a:ext cx="1391920" cy="1043940"/>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0650" cy="1043305"/>
                  <wp:effectExtent l="0" t="0" r="6350" b="0"/>
                  <wp:docPr id="1042" name="Picture 18" descr="A picture containing ground, outdoor, dirt, stadium&#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26" cstate="print"/>
                          <a:srcRect l="0" t="0" r="0" b="0"/>
                          <a:stretch/>
                        </pic:blipFill>
                        <pic:spPr>
                          <a:xfrm rot="0">
                            <a:off x="0" y="0"/>
                            <a:ext cx="1390650" cy="1043305"/>
                          </a:xfrm>
                          <a:prstGeom prst="rect"/>
                        </pic:spPr>
                      </pic:pic>
                    </a:graphicData>
                  </a:graphic>
                </wp:inline>
              </w:drawing>
            </w:r>
          </w:p>
        </w:tc>
      </w:tr>
      <w:tr>
        <w:tblPrEx/>
        <w:trPr>
          <w:jc w:val="center"/>
        </w:trPr>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贵州•养牛场粪污简单堆肥处理</w:t>
            </w:r>
          </w:p>
        </w:tc>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广西•养猪场粪污异位发酵床处理</w:t>
            </w:r>
          </w:p>
        </w:tc>
      </w:tr>
    </w:tbl>
    <w:p>
      <w:pPr>
        <w:pStyle w:val="style179"/>
        <w:ind w:firstLine="0" w:firstLineChars="0"/>
        <w:rPr>
          <w:rFonts w:ascii="Arial" w:cs="Arial" w:eastAsia="宋体" w:hAnsi="Arial"/>
          <w:b/>
          <w:bCs/>
          <w:sz w:val="20"/>
        </w:rPr>
      </w:pPr>
    </w:p>
    <w:tbl>
      <w:tblPr>
        <w:tblStyle w:val="style154"/>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28" w:type="dxa"/>
          <w:bottom w:w="0" w:type="dxa"/>
          <w:right w:w="28" w:type="dxa"/>
        </w:tblCellMar>
      </w:tblPr>
      <w:tblGrid>
        <w:gridCol w:w="2425"/>
        <w:gridCol w:w="2425"/>
        <w:gridCol w:w="1427"/>
        <w:gridCol w:w="1427"/>
        <w:gridCol w:w="1989"/>
      </w:tblGrid>
      <w:tr>
        <w:trPr>
          <w:jc w:val="right"/>
        </w:trPr>
        <w:tc>
          <w:tcPr>
            <w:tcW w:w="1251"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1487170" cy="1115695"/>
                  <wp:effectExtent l="0" t="0" r="0" b="1905"/>
                  <wp:docPr id="1043" name="Picture 7" descr="A picture containing building, outdoor, groun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27" cstate="print"/>
                          <a:srcRect l="0" t="0" r="0" b="0"/>
                          <a:stretch/>
                        </pic:blipFill>
                        <pic:spPr>
                          <a:xfrm rot="0">
                            <a:off x="0" y="0"/>
                            <a:ext cx="1487170" cy="1115695"/>
                          </a:xfrm>
                          <a:prstGeom prst="rect"/>
                        </pic:spPr>
                      </pic:pic>
                    </a:graphicData>
                  </a:graphic>
                </wp:inline>
              </w:drawing>
            </w:r>
          </w:p>
        </w:tc>
        <w:tc>
          <w:tcPr>
            <w:tcW w:w="1251"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1487170" cy="1115695"/>
                  <wp:effectExtent l="0" t="0" r="0" b="1905"/>
                  <wp:docPr id="1044" name="Picture 17" descr="A picture containing text, sky, outdoo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28" cstate="print"/>
                          <a:srcRect l="0" t="0" r="0" b="0"/>
                          <a:stretch/>
                        </pic:blipFill>
                        <pic:spPr>
                          <a:xfrm rot="0">
                            <a:off x="0" y="0"/>
                            <a:ext cx="1487170" cy="1115695"/>
                          </a:xfrm>
                          <a:prstGeom prst="rect"/>
                        </pic:spPr>
                      </pic:pic>
                    </a:graphicData>
                  </a:graphic>
                </wp:inline>
              </w:drawing>
            </w:r>
          </w:p>
        </w:tc>
        <w:tc>
          <w:tcPr>
            <w:tcW w:w="736"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836295" cy="1115695"/>
                  <wp:effectExtent l="0" t="0" r="1905" b="1905"/>
                  <wp:docPr id="1045" name="Picture 21" descr="A picture containing text, indoor, device&#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1"/>
                          <pic:cNvPicPr/>
                        </pic:nvPicPr>
                        <pic:blipFill>
                          <a:blip r:embed="rId29" cstate="print"/>
                          <a:srcRect l="0" t="0" r="0" b="0"/>
                          <a:stretch/>
                        </pic:blipFill>
                        <pic:spPr>
                          <a:xfrm rot="0">
                            <a:off x="0" y="0"/>
                            <a:ext cx="836295" cy="1115695"/>
                          </a:xfrm>
                          <a:prstGeom prst="rect"/>
                        </pic:spPr>
                      </pic:pic>
                    </a:graphicData>
                  </a:graphic>
                </wp:inline>
              </w:drawing>
            </w:r>
          </w:p>
        </w:tc>
        <w:tc>
          <w:tcPr>
            <w:tcW w:w="736"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836930" cy="1115695"/>
                  <wp:effectExtent l="0" t="0" r="1270" b="1905"/>
                  <wp:docPr id="1046" name="Picture 6" descr="A picture containing text, ground, outdoo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6"/>
                          <pic:cNvPicPr/>
                        </pic:nvPicPr>
                        <pic:blipFill>
                          <a:blip r:embed="rId30" cstate="print"/>
                          <a:srcRect l="0" t="0" r="0" b="0"/>
                          <a:stretch/>
                        </pic:blipFill>
                        <pic:spPr>
                          <a:xfrm rot="0">
                            <a:off x="0" y="0"/>
                            <a:ext cx="836930" cy="1115695"/>
                          </a:xfrm>
                          <a:prstGeom prst="rect"/>
                        </pic:spPr>
                      </pic:pic>
                    </a:graphicData>
                  </a:graphic>
                </wp:inline>
              </w:drawing>
            </w:r>
          </w:p>
        </w:tc>
        <w:tc>
          <w:tcPr>
            <w:tcW w:w="1026"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514985" cy="1115695"/>
                  <wp:effectExtent l="0" t="0" r="5715" b="1905"/>
                  <wp:docPr id="1047" name="Picture 30" descr="A picture containing indoor, wall, bathroom, tile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30"/>
                          <pic:cNvPicPr/>
                        </pic:nvPicPr>
                        <pic:blipFill>
                          <a:blip r:embed="rId31" cstate="print"/>
                          <a:srcRect l="0" t="0" r="0" b="0"/>
                          <a:stretch/>
                        </pic:blipFill>
                        <pic:spPr>
                          <a:xfrm rot="0">
                            <a:off x="0" y="0"/>
                            <a:ext cx="514985" cy="1115695"/>
                          </a:xfrm>
                          <a:prstGeom prst="rect"/>
                        </pic:spPr>
                      </pic:pic>
                    </a:graphicData>
                  </a:graphic>
                </wp:inline>
              </w:drawing>
            </w:r>
            <w:r>
              <w:rPr>
                <w:rFonts w:ascii="Arial" w:cs="Arial" w:eastAsia="宋体" w:hAnsi="Arial"/>
                <w:lang w:val="en-GB"/>
              </w:rPr>
              <w:t xml:space="preserve"> </w:t>
            </w:r>
            <w:r>
              <w:rPr>
                <w:rFonts w:ascii="Arial" w:cs="Arial" w:eastAsia="宋体" w:hAnsi="Arial"/>
                <w:lang w:val="en-GB"/>
              </w:rPr>
              <w:drawing>
                <wp:inline distL="0" distT="0" distB="0" distR="0">
                  <wp:extent cx="514985" cy="1115695"/>
                  <wp:effectExtent l="0" t="0" r="5715" b="1905"/>
                  <wp:docPr id="1048" name="Picture 20" descr="A picture containing indoor, floor, wall, room&#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20"/>
                          <pic:cNvPicPr/>
                        </pic:nvPicPr>
                        <pic:blipFill>
                          <a:blip r:embed="rId32" cstate="print"/>
                          <a:srcRect l="0" t="0" r="0" b="0"/>
                          <a:stretch/>
                        </pic:blipFill>
                        <pic:spPr>
                          <a:xfrm rot="0">
                            <a:off x="0" y="0"/>
                            <a:ext cx="514985" cy="1115695"/>
                          </a:xfrm>
                          <a:prstGeom prst="rect"/>
                        </pic:spPr>
                      </pic:pic>
                    </a:graphicData>
                  </a:graphic>
                </wp:inline>
              </w:drawing>
            </w:r>
          </w:p>
        </w:tc>
      </w:tr>
      <w:tr>
        <w:tblPrEx/>
        <w:trPr>
          <w:jc w:val="right"/>
        </w:trPr>
        <w:tc>
          <w:tcPr>
            <w:tcW w:w="1251" w:type="pct"/>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广西•乡镇垃圾中转站</w:t>
            </w:r>
          </w:p>
        </w:tc>
        <w:tc>
          <w:tcPr>
            <w:tcW w:w="3749" w:type="pct"/>
            <w:gridSpan w:val="4"/>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贵州•乡镇级垃圾中转站</w:t>
            </w:r>
          </w:p>
          <w:p>
            <w:pPr>
              <w:pStyle w:val="style0"/>
              <w:jc w:val="center"/>
              <w:rPr>
                <w:rFonts w:ascii="Arial" w:cs="Arial" w:eastAsia="宋体" w:hAnsi="Arial"/>
                <w:sz w:val="18"/>
                <w:szCs w:val="18"/>
                <w:lang w:val="en-GB"/>
              </w:rPr>
            </w:pPr>
            <w:r>
              <w:rPr>
                <w:rFonts w:ascii="Arial" w:cs="Arial" w:eastAsia="宋体" w:hAnsi="Arial"/>
                <w:sz w:val="18"/>
                <w:szCs w:val="18"/>
                <w:lang w:val="en-GB"/>
              </w:rPr>
              <w:t>（站亭、臭气喷淋、渗滤液收集与转运、工人洗漱与休息场所等）</w:t>
            </w:r>
          </w:p>
        </w:tc>
      </w:tr>
    </w:tbl>
    <w:p>
      <w:pPr>
        <w:pStyle w:val="style2"/>
        <w:ind w:left="426" w:hanging="426"/>
        <w:rPr>
          <w:sz w:val="18"/>
          <w:szCs w:val="18"/>
          <w:lang w:val="en-GB"/>
        </w:rPr>
      </w:pPr>
    </w:p>
    <w:tbl>
      <w:tblPr>
        <w:tblStyle w:val="style15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jc w:val="center"/>
        </w:trPr>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488440" cy="1115695"/>
                  <wp:effectExtent l="0" t="0" r="0" b="1905"/>
                  <wp:docPr id="1049" name="Picture 15" descr="A picture containing sky, outdoor, grass, building&#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5"/>
                          <pic:cNvPicPr/>
                        </pic:nvPicPr>
                        <pic:blipFill>
                          <a:blip r:embed="rId33" cstate="print"/>
                          <a:srcRect l="0" t="0" r="0" b="0"/>
                          <a:stretch/>
                        </pic:blipFill>
                        <pic:spPr>
                          <a:xfrm rot="0">
                            <a:off x="0" y="0"/>
                            <a:ext cx="1488440" cy="111569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82395" cy="1115060"/>
                  <wp:effectExtent l="0" t="0" r="1905" b="2540"/>
                  <wp:docPr id="1050" name="Picture 16" descr="A picture containing text, indoor, several&#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6"/>
                          <pic:cNvPicPr/>
                        </pic:nvPicPr>
                        <pic:blipFill>
                          <a:blip r:embed="rId34" cstate="print"/>
                          <a:srcRect l="3773" t="0" r="3308" b="0"/>
                          <a:stretch/>
                        </pic:blipFill>
                        <pic:spPr>
                          <a:xfrm rot="0">
                            <a:off x="0" y="0"/>
                            <a:ext cx="1382395" cy="1115060"/>
                          </a:xfrm>
                          <a:prstGeom prst="rect"/>
                          <a:ln>
                            <a:noFill/>
                          </a:ln>
                        </pic:spPr>
                      </pic:pic>
                    </a:graphicData>
                  </a:graphic>
                </wp:inline>
              </w:drawing>
            </w:r>
          </w:p>
        </w:tc>
        <w:tc>
          <w:tcPr>
            <w:tcW w:w="1250" w:type="pct"/>
            <w:tcBorders/>
          </w:tcPr>
          <w:p>
            <w:pPr>
              <w:pStyle w:val="style0"/>
              <w:ind w:left="-106"/>
              <w:jc w:val="center"/>
              <w:rPr>
                <w:rFonts w:ascii="Arial" w:cs="Arial" w:eastAsia="宋体" w:hAnsi="Arial"/>
                <w:lang w:val="en-GB"/>
              </w:rPr>
            </w:pPr>
            <w:r>
              <w:rPr>
                <w:rFonts w:ascii="Arial" w:cs="Arial" w:eastAsia="宋体" w:hAnsi="Arial"/>
                <w:lang w:val="en-GB"/>
              </w:rPr>
              <w:drawing>
                <wp:inline distL="0" distT="0" distB="0" distR="0">
                  <wp:extent cx="1487805" cy="1115695"/>
                  <wp:effectExtent l="0" t="0" r="0" b="1905"/>
                  <wp:docPr id="1051" name="Picture 12" descr="A picture containing sky, outdoor, nature, hillside&#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2"/>
                          <pic:cNvPicPr/>
                        </pic:nvPicPr>
                        <pic:blipFill>
                          <a:blip r:embed="rId35" cstate="print"/>
                          <a:srcRect l="0" t="0" r="0" b="0"/>
                          <a:stretch/>
                        </pic:blipFill>
                        <pic:spPr>
                          <a:xfrm rot="0">
                            <a:off x="0" y="0"/>
                            <a:ext cx="1487805" cy="111569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487805" cy="1115695"/>
                  <wp:effectExtent l="0" t="0" r="0" b="1905"/>
                  <wp:docPr id="1052" name="Picture 4" descr="A picture containing outdoor, tree, grass, mountain&#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4"/>
                          <pic:cNvPicPr/>
                        </pic:nvPicPr>
                        <pic:blipFill>
                          <a:blip r:embed="rId36" cstate="print"/>
                          <a:srcRect l="0" t="0" r="0" b="0"/>
                          <a:stretch/>
                        </pic:blipFill>
                        <pic:spPr>
                          <a:xfrm rot="0">
                            <a:off x="0" y="0"/>
                            <a:ext cx="1487805" cy="1115695"/>
                          </a:xfrm>
                          <a:prstGeom prst="rect"/>
                        </pic:spPr>
                      </pic:pic>
                    </a:graphicData>
                  </a:graphic>
                </wp:inline>
              </w:drawing>
            </w:r>
          </w:p>
        </w:tc>
      </w:tr>
      <w:tr>
        <w:tblPrEx/>
        <w:trPr>
          <w:jc w:val="center"/>
        </w:trPr>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广西•垃圾焚烧发电厂（厂房、中控室）</w:t>
            </w:r>
          </w:p>
        </w:tc>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贵州•垃圾填埋场（填埋区、渗滤液处理设施）</w:t>
            </w:r>
          </w:p>
        </w:tc>
      </w:tr>
    </w:tbl>
    <w:p>
      <w:pPr>
        <w:pStyle w:val="style179"/>
        <w:ind w:firstLine="0" w:firstLineChars="0"/>
        <w:rPr>
          <w:rFonts w:ascii="Arial" w:cs="Arial" w:eastAsia="宋体" w:hAnsi="Arial"/>
          <w:b/>
          <w:bCs/>
          <w:sz w:val="20"/>
        </w:rPr>
      </w:pPr>
    </w:p>
    <w:tbl>
      <w:tblPr>
        <w:tblStyle w:val="style15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475740" cy="1106805"/>
                  <wp:effectExtent l="0" t="0" r="0" b="0"/>
                  <wp:docPr id="1053" name="Picture 26" descr="A picture containing indoor, stone, dirty&#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37" cstate="print"/>
                          <a:srcRect l="0" t="0" r="0" b="0"/>
                          <a:stretch/>
                        </pic:blipFill>
                        <pic:spPr>
                          <a:xfrm rot="0">
                            <a:off x="0" y="0"/>
                            <a:ext cx="1475740" cy="1106805"/>
                          </a:xfrm>
                          <a:prstGeom prst="rect"/>
                        </pic:spPr>
                      </pic:pic>
                    </a:graphicData>
                  </a:graphic>
                </wp:inline>
              </w:drawing>
            </w:r>
          </w:p>
        </w:tc>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475740" cy="1106170"/>
                  <wp:effectExtent l="0" t="0" r="0" b="0"/>
                  <wp:docPr id="1054" name="Picture 33" descr="A picture containing grass, sky, outdoor, groun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33"/>
                          <pic:cNvPicPr/>
                        </pic:nvPicPr>
                        <pic:blipFill>
                          <a:blip r:embed="rId38" cstate="print"/>
                          <a:srcRect l="0" t="0" r="0" b="0"/>
                          <a:stretch/>
                        </pic:blipFill>
                        <pic:spPr>
                          <a:xfrm rot="0">
                            <a:off x="0" y="0"/>
                            <a:ext cx="1475740" cy="1106170"/>
                          </a:xfrm>
                          <a:prstGeom prst="rect"/>
                        </pic:spPr>
                      </pic:pic>
                    </a:graphicData>
                  </a:graphic>
                </wp:inline>
              </w:drawing>
            </w:r>
          </w:p>
        </w:tc>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475740" cy="1106170"/>
                  <wp:effectExtent l="0" t="0" r="0" b="0"/>
                  <wp:docPr id="1055" name="Picture 34" descr="A picture containing grass, outdoo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34"/>
                          <pic:cNvPicPr/>
                        </pic:nvPicPr>
                        <pic:blipFill>
                          <a:blip r:embed="rId39" cstate="print"/>
                          <a:srcRect l="0" t="0" r="0" b="0"/>
                          <a:stretch/>
                        </pic:blipFill>
                        <pic:spPr>
                          <a:xfrm rot="0">
                            <a:off x="0" y="0"/>
                            <a:ext cx="1475740" cy="1106170"/>
                          </a:xfrm>
                          <a:prstGeom prst="rect"/>
                        </pic:spPr>
                      </pic:pic>
                    </a:graphicData>
                  </a:graphic>
                </wp:inline>
              </w:drawing>
            </w:r>
          </w:p>
        </w:tc>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390650" cy="1043305"/>
                  <wp:effectExtent l="0" t="0" r="6350" b="0"/>
                  <wp:docPr id="1056" name="Picture 35" descr="A picture containing grass, outdoor, sky, wooden&#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5"/>
                          <pic:cNvPicPr/>
                        </pic:nvPicPr>
                        <pic:blipFill>
                          <a:blip r:embed="rId40" cstate="print"/>
                          <a:srcRect l="0" t="0" r="0" b="0"/>
                          <a:stretch/>
                        </pic:blipFill>
                        <pic:spPr>
                          <a:xfrm rot="0">
                            <a:off x="0" y="0"/>
                            <a:ext cx="1390650" cy="1043305"/>
                          </a:xfrm>
                          <a:prstGeom prst="rect"/>
                        </pic:spPr>
                      </pic:pic>
                    </a:graphicData>
                  </a:graphic>
                </wp:inline>
              </w:drawing>
            </w:r>
          </w:p>
        </w:tc>
      </w:tr>
      <w:tr>
        <w:tblPrEx/>
        <w:trPr/>
        <w:tc>
          <w:tcPr>
            <w:tcW w:w="1250" w:type="pct"/>
            <w:tcBorders/>
          </w:tcPr>
          <w:p>
            <w:pPr>
              <w:pStyle w:val="style0"/>
              <w:adjustRightInd w:val="false"/>
              <w:snapToGrid w:val="false"/>
              <w:jc w:val="center"/>
              <w:rPr>
                <w:rFonts w:ascii="Arial" w:cs="Arial" w:eastAsia="宋体" w:hAnsi="Arial"/>
                <w:sz w:val="18"/>
                <w:szCs w:val="18"/>
                <w:lang w:val="en-GB"/>
              </w:rPr>
            </w:pPr>
            <w:r>
              <w:rPr>
                <w:rFonts w:ascii="Arial" w:cs="Arial" w:eastAsia="宋体" w:hAnsi="Arial"/>
                <w:sz w:val="18"/>
                <w:szCs w:val="18"/>
                <w:lang w:val="en-GB"/>
              </w:rPr>
              <w:t>贵州•农村旱厕 (待整治)</w:t>
            </w:r>
          </w:p>
        </w:tc>
        <w:tc>
          <w:tcPr>
            <w:tcW w:w="2500" w:type="pct"/>
            <w:gridSpan w:val="2"/>
            <w:tcBorders/>
          </w:tcPr>
          <w:p>
            <w:pPr>
              <w:pStyle w:val="style0"/>
              <w:adjustRightInd w:val="false"/>
              <w:snapToGrid w:val="false"/>
              <w:jc w:val="center"/>
              <w:rPr>
                <w:rFonts w:ascii="Arial" w:cs="Arial" w:eastAsia="宋体" w:hAnsi="Arial"/>
                <w:sz w:val="18"/>
                <w:szCs w:val="18"/>
                <w:lang w:val="en-GB"/>
              </w:rPr>
            </w:pPr>
            <w:r>
              <w:rPr>
                <w:rFonts w:ascii="Arial" w:cs="Arial" w:eastAsia="宋体" w:hAnsi="Arial"/>
                <w:sz w:val="18"/>
                <w:szCs w:val="18"/>
                <w:lang w:val="en-GB"/>
              </w:rPr>
              <w:t>贵州•农村污水处理站（地埋设施、出水监测设备）</w:t>
            </w:r>
          </w:p>
        </w:tc>
        <w:tc>
          <w:tcPr>
            <w:tcW w:w="1250" w:type="pct"/>
            <w:tcBorders/>
          </w:tcPr>
          <w:p>
            <w:pPr>
              <w:pStyle w:val="style0"/>
              <w:adjustRightInd w:val="false"/>
              <w:snapToGrid w:val="false"/>
              <w:jc w:val="center"/>
              <w:rPr>
                <w:rFonts w:ascii="Arial" w:cs="Arial" w:eastAsia="宋体" w:hAnsi="Arial"/>
                <w:sz w:val="18"/>
                <w:szCs w:val="18"/>
                <w:lang w:val="en-GB"/>
              </w:rPr>
            </w:pPr>
            <w:r>
              <w:rPr>
                <w:rFonts w:ascii="Arial" w:cs="Arial" w:eastAsia="宋体" w:hAnsi="Arial"/>
                <w:sz w:val="18"/>
                <w:szCs w:val="18"/>
                <w:lang w:val="en-GB"/>
              </w:rPr>
              <w:t>贵州•农村污水尾水湿地</w:t>
            </w:r>
          </w:p>
        </w:tc>
      </w:tr>
    </w:tbl>
    <w:p>
      <w:pPr>
        <w:pStyle w:val="style179"/>
        <w:ind w:firstLine="0" w:firstLineChars="0"/>
        <w:rPr>
          <w:rFonts w:ascii="Arial" w:cs="Arial" w:eastAsia="宋体" w:hAnsi="Arial"/>
          <w:b/>
          <w:bCs/>
          <w:sz w:val="20"/>
        </w:rPr>
      </w:pPr>
    </w:p>
    <w:tbl>
      <w:tblPr>
        <w:tblStyle w:val="style15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jc w:val="center"/>
        </w:trPr>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920" cy="1043940"/>
                  <wp:effectExtent l="0" t="0" r="5080" b="0"/>
                  <wp:docPr id="1057" name="Picture 39" descr="A picture containing ground, outdoor, dirt, soil&#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39"/>
                          <pic:cNvPicPr/>
                        </pic:nvPicPr>
                        <pic:blipFill>
                          <a:blip r:embed="rId41" cstate="print"/>
                          <a:srcRect l="0" t="0" r="0" b="0"/>
                          <a:stretch/>
                        </pic:blipFill>
                        <pic:spPr>
                          <a:xfrm rot="0">
                            <a:off x="0" y="0"/>
                            <a:ext cx="1391920" cy="1043940"/>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920" cy="1043940"/>
                  <wp:effectExtent l="0" t="0" r="5080" b="0"/>
                  <wp:docPr id="1058" name="Picture 38" descr="A close-up of a greenhouse&#10;&#10;Description automatically generated with low confiden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38"/>
                          <pic:cNvPicPr/>
                        </pic:nvPicPr>
                        <pic:blipFill>
                          <a:blip r:embed="rId42" cstate="print"/>
                          <a:srcRect l="0" t="0" r="0" b="0"/>
                          <a:stretch/>
                        </pic:blipFill>
                        <pic:spPr>
                          <a:xfrm rot="0">
                            <a:off x="0" y="0"/>
                            <a:ext cx="1391920" cy="1043940"/>
                          </a:xfrm>
                          <a:prstGeom prst="rect"/>
                        </pic:spPr>
                      </pic:pic>
                    </a:graphicData>
                  </a:graphic>
                </wp:inline>
              </w:drawing>
            </w:r>
          </w:p>
        </w:tc>
        <w:tc>
          <w:tcPr>
            <w:tcW w:w="1250" w:type="pct"/>
            <w:tcBorders/>
          </w:tcPr>
          <w:p>
            <w:pPr>
              <w:pStyle w:val="style0"/>
              <w:ind w:left="-106"/>
              <w:jc w:val="center"/>
              <w:rPr>
                <w:rFonts w:ascii="Arial" w:cs="Arial" w:eastAsia="宋体" w:hAnsi="Arial"/>
                <w:lang w:val="en-GB"/>
              </w:rPr>
            </w:pPr>
            <w:r>
              <w:rPr>
                <w:rFonts w:ascii="Arial" w:cs="Arial" w:eastAsia="宋体" w:hAnsi="Arial"/>
                <w:lang w:val="en-GB"/>
              </w:rPr>
              <w:drawing>
                <wp:inline distL="0" distT="0" distB="0" distR="0">
                  <wp:extent cx="1391920" cy="1043305"/>
                  <wp:effectExtent l="0" t="0" r="5080" b="0"/>
                  <wp:docPr id="1059" name="Picture 36" descr="A picture containing sky, outdoor, grass, traile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36"/>
                          <pic:cNvPicPr/>
                        </pic:nvPicPr>
                        <pic:blipFill>
                          <a:blip r:embed="rId43" cstate="print"/>
                          <a:srcRect l="0" t="0" r="0" b="0"/>
                          <a:stretch/>
                        </pic:blipFill>
                        <pic:spPr>
                          <a:xfrm rot="0">
                            <a:off x="0" y="0"/>
                            <a:ext cx="1391920" cy="104330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920" cy="1043305"/>
                  <wp:effectExtent l="0" t="0" r="5080" b="0"/>
                  <wp:docPr id="1060" name="Picture 37" descr="A picture containing indoor, floor, wall, cluttere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37"/>
                          <pic:cNvPicPr/>
                        </pic:nvPicPr>
                        <pic:blipFill>
                          <a:blip r:embed="rId44" cstate="print"/>
                          <a:srcRect l="0" t="0" r="0" b="0"/>
                          <a:stretch/>
                        </pic:blipFill>
                        <pic:spPr>
                          <a:xfrm rot="0">
                            <a:off x="0" y="0"/>
                            <a:ext cx="1391920" cy="1043305"/>
                          </a:xfrm>
                          <a:prstGeom prst="rect"/>
                        </pic:spPr>
                      </pic:pic>
                    </a:graphicData>
                  </a:graphic>
                </wp:inline>
              </w:drawing>
            </w:r>
          </w:p>
        </w:tc>
      </w:tr>
      <w:tr>
        <w:tblPrEx/>
        <w:trPr>
          <w:jc w:val="center"/>
        </w:trPr>
        <w:tc>
          <w:tcPr>
            <w:tcW w:w="2499"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贵州•农膜使用情况</w:t>
            </w:r>
          </w:p>
        </w:tc>
        <w:tc>
          <w:tcPr>
            <w:tcW w:w="2501"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贵州•种植企业农药包装废弃物收集和储存</w:t>
            </w:r>
          </w:p>
        </w:tc>
      </w:tr>
    </w:tbl>
    <w:p>
      <w:pPr>
        <w:pStyle w:val="style179"/>
        <w:ind w:firstLine="0" w:firstLineChars="0"/>
        <w:jc w:val="center"/>
        <w:rPr>
          <w:rFonts w:ascii="Arial" w:cs="Arial" w:eastAsia="宋体" w:hAnsi="Arial"/>
          <w:b/>
          <w:bCs/>
          <w:sz w:val="20"/>
        </w:rPr>
      </w:pPr>
      <w:r>
        <w:rPr>
          <w:rFonts w:ascii="Arial" w:cs="Arial" w:eastAsia="宋体" w:hAnsi="Arial"/>
        </w:rPr>
        <w:drawing>
          <wp:inline distL="0" distT="0" distB="0" distR="0">
            <wp:extent cx="1216660" cy="1531620"/>
            <wp:effectExtent l="0" t="0" r="2540" b="5080"/>
            <wp:docPr id="1061" name="图片 1" descr="Graphical user interface, text, application, Wor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图片 1"/>
                    <pic:cNvPicPr/>
                  </pic:nvPicPr>
                  <pic:blipFill>
                    <a:blip r:embed="rId45" cstate="print"/>
                    <a:srcRect l="0" t="0" r="0" b="0"/>
                    <a:stretch/>
                  </pic:blipFill>
                  <pic:spPr>
                    <a:xfrm rot="0">
                      <a:off x="0" y="0"/>
                      <a:ext cx="1216660" cy="1531620"/>
                    </a:xfrm>
                    <a:prstGeom prst="rect"/>
                  </pic:spPr>
                </pic:pic>
              </a:graphicData>
            </a:graphic>
          </wp:inline>
        </w:drawing>
      </w:r>
      <w:r>
        <w:rPr>
          <w:rFonts w:ascii="Arial" w:cs="Arial" w:eastAsia="宋体" w:hAnsi="Arial"/>
        </w:rPr>
        <w:drawing>
          <wp:inline distL="0" distT="0" distB="0" distR="0">
            <wp:extent cx="1165860" cy="1501140"/>
            <wp:effectExtent l="0" t="0" r="2540" b="0"/>
            <wp:docPr id="1062" name="图片 3" descr="Text, lette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图片 3"/>
                    <pic:cNvPicPr/>
                  </pic:nvPicPr>
                  <pic:blipFill>
                    <a:blip r:embed="rId46" cstate="print"/>
                    <a:srcRect l="0" t="0" r="0" b="0"/>
                    <a:stretch/>
                  </pic:blipFill>
                  <pic:spPr>
                    <a:xfrm rot="0">
                      <a:off x="0" y="0"/>
                      <a:ext cx="1165860" cy="1501140"/>
                    </a:xfrm>
                    <a:prstGeom prst="rect"/>
                  </pic:spPr>
                </pic:pic>
              </a:graphicData>
            </a:graphic>
          </wp:inline>
        </w:drawing>
      </w:r>
      <w:r>
        <w:rPr>
          <w:rFonts w:ascii="Arial" w:cs="Arial" w:eastAsia="宋体" w:hAnsi="Arial"/>
        </w:rPr>
        <w:drawing>
          <wp:inline distL="0" distT="0" distB="0" distR="0">
            <wp:extent cx="2023744" cy="1430655"/>
            <wp:effectExtent l="0" t="0" r="0" b="4445"/>
            <wp:docPr id="1063" name="图片 5" descr="Text&#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图片 5"/>
                    <pic:cNvPicPr/>
                  </pic:nvPicPr>
                  <pic:blipFill>
                    <a:blip r:embed="rId47" cstate="print"/>
                    <a:srcRect l="0" t="0" r="0" b="0"/>
                    <a:stretch/>
                  </pic:blipFill>
                  <pic:spPr>
                    <a:xfrm rot="10800000" flipV="1">
                      <a:off x="0" y="0"/>
                      <a:ext cx="2023744" cy="1430655"/>
                    </a:xfrm>
                    <a:prstGeom prst="rect"/>
                    <a:ln>
                      <a:noFill/>
                    </a:ln>
                  </pic:spPr>
                </pic:pic>
              </a:graphicData>
            </a:graphic>
          </wp:inline>
        </w:drawing>
      </w:r>
      <w:r>
        <w:rPr>
          <w:rFonts w:ascii="Arial" w:cs="Arial" w:eastAsia="宋体" w:hAnsi="Arial"/>
        </w:rPr>
        <w:drawing>
          <wp:inline distL="0" distT="0" distB="0" distR="0">
            <wp:extent cx="1016000" cy="1399540"/>
            <wp:effectExtent l="0" t="0" r="0" b="0"/>
            <wp:docPr id="1064" name="图片 8" descr="A picture containing chart&#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图片 8"/>
                    <pic:cNvPicPr/>
                  </pic:nvPicPr>
                  <pic:blipFill>
                    <a:blip r:embed="rId48" cstate="print"/>
                    <a:srcRect l="0" t="0" r="0" b="0"/>
                    <a:stretch/>
                  </pic:blipFill>
                  <pic:spPr>
                    <a:xfrm rot="0" flipH="1">
                      <a:off x="0" y="0"/>
                      <a:ext cx="1016000" cy="1399540"/>
                    </a:xfrm>
                    <a:prstGeom prst="rect"/>
                    <a:ln>
                      <a:noFill/>
                    </a:ln>
                  </pic:spPr>
                </pic:pic>
              </a:graphicData>
            </a:graphic>
          </wp:inline>
        </w:drawing>
      </w:r>
    </w:p>
    <w:sectPr>
      <w:type w:val="continuous"/>
      <w:pgSz w:w="11906" w:h="16838" w:orient="portrait"/>
      <w:pgMar w:top="1134" w:right="1134" w:bottom="1134" w:left="1134" w:header="851" w:footer="75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AFF" w:usb1="C0007843"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A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00002FF" w:usb1="4000ACFF" w:usb2="00000001" w:usb3="00000000" w:csb0="2000019F" w:csb1="00000000"/>
  </w:font>
  <w:font w:name="等线">
    <w:altName w:val="微软雅黑"/>
    <w:panose1 w:val="02010600030000010101"/>
    <w:charset w:val="86"/>
    <w:family w:val="auto"/>
    <w:pitch w:val="default"/>
    <w:sig w:usb0="00000000" w:usb1="00000000" w:usb2="00000016" w:usb3="00000000" w:csb0="0004000F" w:csb1="00000000"/>
  </w:font>
  <w:font w:name="等线 Light">
    <w:altName w:val="宋体"/>
    <w:panose1 w:val="02010600030000010101"/>
    <w:charset w:val="86"/>
    <w:family w:val="auto"/>
    <w:pitch w:val="default"/>
    <w:sig w:usb0="00000000" w:usb1="00000000" w:usb2="00000016" w:usb3="00000000" w:csb0="0004000F" w:csb1="00000000"/>
  </w:font>
  <w:font w:name="Times New Roman (Body CS)">
    <w:altName w:val="Times New Roman"/>
    <w:panose1 w:val="00000000000000000000"/>
    <w:charset w:val="00"/>
    <w:family w:val="roman"/>
    <w:pitch w:val="default"/>
    <w:sig w:usb0="00000000" w:usb1="00000000" w:usb2="00000000" w:usb3="00000000" w:csb0="00000000" w:csb1="00000000"/>
  </w:font>
  <w:font w:name="Verdana">
    <w:altName w:val="Verdana"/>
    <w:panose1 w:val="020b0604030000040204"/>
    <w:charset w:val="00"/>
    <w:family w:val="swiss"/>
    <w:pitch w:val="default"/>
    <w:sig w:usb0="A10006FF" w:usb1="4000205B" w:usb2="00000010" w:usb3="00000000" w:csb0="2000019F" w:csb1="00000000"/>
  </w:font>
  <w:font w:name="Tahoma">
    <w:altName w:val="Tahoma"/>
    <w:panose1 w:val="020b0604030000040204"/>
    <w:charset w:val="00"/>
    <w:family w:val="swiss"/>
    <w:pitch w:val="default"/>
    <w:sig w:usb0="E1002EFF" w:usb1="C000605B" w:usb2="00000029" w:usb3="00000000" w:csb0="200101FF" w:csb1="20280000"/>
  </w:font>
  <w:font w:name="PingFang SC">
    <w:altName w:val="微软雅黑"/>
    <w:panose1 w:val="00000000000000000000"/>
    <w:charset w:val="86"/>
    <w:family w:val="swiss"/>
    <w:pitch w:val="default"/>
    <w:sig w:usb0="00000000" w:usb1="00000000" w:usb2="00000017" w:usb3="00000000" w:csb0="00040001" w:csb1="00000000"/>
  </w:font>
  <w:font w:name="Cambria Math">
    <w:altName w:val="Cambria Math"/>
    <w:panose1 w:val="02040503050000030204"/>
    <w:charset w:val="00"/>
    <w:family w:val="roman"/>
    <w:pitch w:val="default"/>
    <w:sig w:usb0="E00002FF" w:usb1="420024FF" w:usb2="00000000" w:usb3="00000000" w:csb0="2000019F" w:csb1="00000000"/>
  </w:font>
  <w:font w:name="微软雅黑">
    <w:altName w:val="微软雅黑"/>
    <w:panose1 w:val="020b0503020000020204"/>
    <w:charset w:val="86"/>
    <w:family w:val="auto"/>
    <w:pitch w:val="default"/>
    <w:sig w:usb0="80000287" w:usb1="280F3C52" w:usb2="00000016" w:usb3="00000000" w:csb0="0004001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rFonts w:ascii="Arial" w:hAnsi="Arial"/>
      </w:rPr>
    </w:pPr>
    <w:r>
      <w:rPr>
        <w:rFonts w:ascii="Arial" w:hAnsi="Arial"/>
      </w:rPr>
      <mc:AlternateContent>
        <mc:Choice Requires="wps">
          <w:drawing>
            <wp:anchor distT="0" distB="0" distL="0" distR="0" simplePos="false" relativeHeight="2" behindDoc="false" locked="false" layoutInCell="false" allowOverlap="true">
              <wp:simplePos x="0" y="0"/>
              <wp:positionH relativeFrom="page">
                <wp:align>right</wp:align>
              </wp:positionH>
              <wp:positionV relativeFrom="page">
                <wp:align>bottom</wp:align>
              </wp:positionV>
              <wp:extent cx="7772400" cy="463549"/>
              <wp:effectExtent l="0" t="0" r="0" b="12700"/>
              <wp:wrapNone/>
              <wp:docPr id="4097" name="MSIPCMc47f4a5b8e62db04c69d5e9a" descr="{&quot;HashCode&quot;:1990712160,&quot;Height&quot;:9999999.0,&quot;Width&quot;:9999999.0,&quot;Placement&quot;:&quot;Footer&quot;,&quot;Index&quot;:&quot;Primary&quot;,&quot;Section&quot;:1,&quot;Top&quot;:0.0,&quot;Left&quot;: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2400" cy="463549"/>
                      </a:xfrm>
                      <a:prstGeom prst="rect"/>
                      <a:ln>
                        <a:noFill/>
                      </a:ln>
                    </wps:spPr>
                    <wps:txbx id="4097">
                      <w:txbxContent>
                        <w:p>
                          <w:pPr>
                            <w:pStyle w:val="style0"/>
                            <w:jc w:val="right"/>
                            <w:rPr>
                              <w:rFonts w:ascii="Calibri" w:cs="Calibri" w:hAnsi="Calibri"/>
                              <w:color w:val="000000"/>
                              <w:sz w:val="24"/>
                            </w:rPr>
                          </w:pPr>
                          <w:r>
                            <w:rPr>
                              <w:rFonts w:ascii="Calibri" w:cs="Calibri" w:hAnsi="Calibri"/>
                              <w:color w:val="000000"/>
                              <w:sz w:val="24"/>
                            </w:rPr>
                            <w:t>Official Use</w:t>
                          </w:r>
                        </w:p>
                      </w:txbxContent>
                    </wps:txbx>
                    <wps:bodyPr lIns="91440" rIns="254000" tIns="0" bIns="0" vert="horz" anchor="ctr" wrap="square">
                      <a:prstTxWarp prst="textNoShape"/>
                      <a:noAutofit/>
                    </wps:bodyPr>
                  </wps:wsp>
                </a:graphicData>
              </a:graphic>
            </wp:anchor>
          </w:drawing>
        </mc:Choice>
        <mc:Fallback>
          <w:pict>
            <v:rect id="4097" filled="f" stroked="f" alt="{&quot;HashCode&quot;:1990712160,&quot;Height&quot;:9999999.0,&quot;Width&quot;:9999999.0,&quot;Placement&quot;:&quot;Footer&quot;,&quot;Index&quot;:&quot;Primary&quot;,&quot;Section&quot;:1,&quot;Top&quot;:0.0,&quot;Left&quot;:0.0}" style="position:absolute;margin-left:0.0pt;margin-top:0.0pt;width:612.0pt;height:36.5pt;z-index:2;mso-position-horizontal:right;mso-position-vertical:bottom;mso-position-horizontal-relative:page;mso-position-vertical-relative:page;mso-width-relative:page;mso-height-relative:page;mso-wrap-distance-left:0.0pt;mso-wrap-distance-right:0.0pt;visibility:visible;v-text-anchor:middle;" o:allowincell="false">
              <v:stroke on="f"/>
              <v:fill/>
              <v:textbox inset="7.2pt,0.0pt,20.0pt,0.0pt">
                <w:txbxContent>
                  <w:p>
                    <w:pPr>
                      <w:pStyle w:val="style0"/>
                      <w:jc w:val="right"/>
                      <w:rPr>
                        <w:rFonts w:ascii="Calibri" w:cs="Calibri" w:hAnsi="Calibri"/>
                        <w:color w:val="000000"/>
                        <w:sz w:val="24"/>
                      </w:rPr>
                    </w:pPr>
                    <w:r>
                      <w:rPr>
                        <w:rFonts w:ascii="Calibri" w:cs="Calibri" w:hAnsi="Calibri"/>
                        <w:color w:val="000000"/>
                        <w:sz w:val="24"/>
                      </w:rPr>
                      <w:t>Official Use</w:t>
                    </w:r>
                  </w:p>
                </w:txbxContent>
              </v:textbox>
            </v:rect>
          </w:pict>
        </mc:Fallback>
      </mc:AlternateContent>
    </w:r>
    <w:r>
      <w:rPr>
        <w:rFonts w:ascii="Arial" w:hAnsi="Arial"/>
      </w:rPr>
      <w:fldChar w:fldCharType="begin"/>
    </w:r>
    <w:r>
      <w:rPr>
        <w:rFonts w:ascii="Arial" w:hAnsi="Arial"/>
      </w:rPr>
      <w:instrText>PAGE   \* MERGEFORMAT</w:instrText>
    </w:r>
    <w:r>
      <w:rPr>
        <w:rFonts w:ascii="Arial" w:hAnsi="Arial"/>
      </w:rPr>
      <w:fldChar w:fldCharType="separate"/>
    </w:r>
    <w:r>
      <w:rPr>
        <w:rFonts w:ascii="Arial" w:hAnsi="Arial"/>
        <w:lang w:val="zh-CN"/>
      </w:rPr>
      <w:t>54</w:t>
    </w:r>
    <w:r>
      <w:rPr>
        <w:rFonts w:ascii="Arial" w:hAnsi="Arial"/>
      </w:rPr>
      <w:fldChar w:fldCharType="end"/>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3" behindDoc="false" locked="false" layoutInCell="false" allowOverlap="true">
              <wp:simplePos x="0" y="0"/>
              <wp:positionH relativeFrom="page">
                <wp:align>right</wp:align>
              </wp:positionH>
              <wp:positionV relativeFrom="page">
                <wp:align>bottom</wp:align>
              </wp:positionV>
              <wp:extent cx="7772400" cy="463549"/>
              <wp:effectExtent l="0" t="0" r="0" b="12700"/>
              <wp:wrapNone/>
              <wp:docPr id="4098" name="MSIPCM34d743dbb075a8620965afd5" descr="{&quot;HashCode&quot;:1990712160,&quot;Height&quot;:9999999.0,&quot;Width&quot;:9999999.0,&quot;Placement&quot;:&quot;Footer&quot;,&quot;Index&quot;:&quot;FirstPage&quot;,&quot;Section&quot;:1,&quot;Top&quot;:0.0,&quot;Left&quot;: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2400" cy="463549"/>
                      </a:xfrm>
                      <a:prstGeom prst="rect"/>
                      <a:ln>
                        <a:noFill/>
                      </a:ln>
                    </wps:spPr>
                    <wps:txbx id="4098">
                      <w:txbxContent>
                        <w:p>
                          <w:pPr>
                            <w:pStyle w:val="style0"/>
                            <w:jc w:val="right"/>
                            <w:rPr>
                              <w:rFonts w:ascii="Calibri" w:cs="Calibri" w:hAnsi="Calibri"/>
                              <w:color w:val="000000"/>
                              <w:sz w:val="24"/>
                            </w:rPr>
                          </w:pPr>
                          <w:r>
                            <w:rPr>
                              <w:rFonts w:ascii="Calibri" w:cs="Calibri" w:hAnsi="Calibri"/>
                              <w:color w:val="000000"/>
                              <w:sz w:val="24"/>
                            </w:rPr>
                            <w:t>Official Use</w:t>
                          </w:r>
                        </w:p>
                      </w:txbxContent>
                    </wps:txbx>
                    <wps:bodyPr lIns="91440" rIns="254000" tIns="0" bIns="0" vert="horz" anchor="ctr" wrap="square">
                      <a:prstTxWarp prst="textNoShape"/>
                      <a:noAutofit/>
                    </wps:bodyPr>
                  </wps:wsp>
                </a:graphicData>
              </a:graphic>
            </wp:anchor>
          </w:drawing>
        </mc:Choice>
        <mc:Fallback>
          <w:pict>
            <v:rect id="4098" filled="f" stroked="f" alt="{&quot;HashCode&quot;:1990712160,&quot;Height&quot;:9999999.0,&quot;Width&quot;:9999999.0,&quot;Placement&quot;:&quot;Footer&quot;,&quot;Index&quot;:&quot;FirstPage&quot;,&quot;Section&quot;:1,&quot;Top&quot;:0.0,&quot;Left&quot;:0.0}" style="position:absolute;margin-left:0.0pt;margin-top:0.0pt;width:612.0pt;height:36.5pt;z-index:3;mso-position-horizontal:right;mso-position-vertical:bottom;mso-position-horizontal-relative:page;mso-position-vertical-relative:page;mso-width-relative:page;mso-height-relative:page;mso-wrap-distance-left:0.0pt;mso-wrap-distance-right:0.0pt;visibility:visible;v-text-anchor:middle;" o:allowincell="false">
              <v:stroke on="f"/>
              <v:fill/>
              <v:textbox inset="7.2pt,0.0pt,20.0pt,0.0pt">
                <w:txbxContent>
                  <w:p>
                    <w:pPr>
                      <w:pStyle w:val="style0"/>
                      <w:jc w:val="right"/>
                      <w:rPr>
                        <w:rFonts w:ascii="Calibri" w:cs="Calibri" w:hAnsi="Calibri"/>
                        <w:color w:val="000000"/>
                        <w:sz w:val="24"/>
                      </w:rPr>
                    </w:pPr>
                    <w:r>
                      <w:rPr>
                        <w:rFonts w:ascii="Calibri" w:cs="Calibri" w:hAnsi="Calibri"/>
                        <w:color w:val="000000"/>
                        <w:sz w:val="24"/>
                      </w:rPr>
                      <w:t>Official Use</w:t>
                    </w:r>
                  </w:p>
                </w:txbxContent>
              </v:textbox>
            </v:rect>
          </w:pict>
        </mc:Fallback>
      </mc:AlternateConten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Arial" w:hAnsi="Arial"/>
      </w:rPr>
    </w:pPr>
    <w:r>
      <w:rPr>
        <w:rFonts w:ascii="Arial" w:hAnsi="Arial"/>
      </w:rPr>
      <mc:AlternateContent>
        <mc:Choice Requires="wps">
          <w:drawing>
            <wp:anchor distT="0" distB="0" distL="0" distR="0" simplePos="false" relativeHeight="4" behindDoc="false" locked="false" layoutInCell="false" allowOverlap="true">
              <wp:simplePos x="0" y="0"/>
              <wp:positionH relativeFrom="page">
                <wp:align>right</wp:align>
              </wp:positionH>
              <wp:positionV relativeFrom="page">
                <wp:align>bottom</wp:align>
              </wp:positionV>
              <wp:extent cx="7772400" cy="463549"/>
              <wp:effectExtent l="0" t="0" r="0" b="12700"/>
              <wp:wrapNone/>
              <wp:docPr id="4099" name="MSIPCMb5984e198fbb26b84adec53d" descr="{&quot;HashCode&quot;:1990712160,&quot;Height&quot;:9999999.0,&quot;Width&quot;:9999999.0,&quot;Placement&quot;:&quot;Footer&quot;,&quot;Index&quot;:&quot;Primary&quot;,&quot;Section&quot;:2,&quot;Top&quot;:0.0,&quot;Left&quot;: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2400" cy="463549"/>
                      </a:xfrm>
                      <a:prstGeom prst="rect"/>
                      <a:ln>
                        <a:noFill/>
                      </a:ln>
                    </wps:spPr>
                    <wps:txbx id="4099">
                      <w:txbxContent>
                        <w:p>
                          <w:pPr>
                            <w:pStyle w:val="style0"/>
                            <w:jc w:val="right"/>
                            <w:rPr>
                              <w:rFonts w:ascii="Calibri" w:cs="Calibri" w:hAnsi="Calibri"/>
                              <w:color w:val="000000"/>
                              <w:sz w:val="24"/>
                            </w:rPr>
                          </w:pPr>
                          <w:r>
                            <w:rPr>
                              <w:rFonts w:ascii="Calibri" w:cs="Calibri" w:hAnsi="Calibri"/>
                              <w:color w:val="000000"/>
                              <w:sz w:val="24"/>
                            </w:rPr>
                            <w:t>Official Use</w:t>
                          </w:r>
                        </w:p>
                      </w:txbxContent>
                    </wps:txbx>
                    <wps:bodyPr lIns="91440" rIns="254000" tIns="0" bIns="0" vert="horz" anchor="ctr" wrap="square">
                      <a:prstTxWarp prst="textNoShape"/>
                      <a:noAutofit/>
                    </wps:bodyPr>
                  </wps:wsp>
                </a:graphicData>
              </a:graphic>
            </wp:anchor>
          </w:drawing>
        </mc:Choice>
        <mc:Fallback>
          <w:pict>
            <v:rect id="4099" filled="f" stroked="f" alt="{&quot;HashCode&quot;:1990712160,&quot;Height&quot;:9999999.0,&quot;Width&quot;:9999999.0,&quot;Placement&quot;:&quot;Footer&quot;,&quot;Index&quot;:&quot;Primary&quot;,&quot;Section&quot;:2,&quot;Top&quot;:0.0,&quot;Left&quot;:0.0}" style="position:absolute;margin-left:0.0pt;margin-top:0.0pt;width:612.0pt;height:36.5pt;z-index:4;mso-position-horizontal:right;mso-position-vertical:bottom;mso-position-horizontal-relative:page;mso-position-vertical-relative:page;mso-width-relative:page;mso-height-relative:page;mso-wrap-distance-left:0.0pt;mso-wrap-distance-right:0.0pt;visibility:visible;v-text-anchor:middle;" o:allowincell="false">
              <v:stroke on="f"/>
              <v:fill/>
              <v:textbox inset="7.2pt,0.0pt,20.0pt,0.0pt">
                <w:txbxContent>
                  <w:p>
                    <w:pPr>
                      <w:pStyle w:val="style0"/>
                      <w:jc w:val="right"/>
                      <w:rPr>
                        <w:rFonts w:ascii="Calibri" w:cs="Calibri" w:hAnsi="Calibri"/>
                        <w:color w:val="000000"/>
                        <w:sz w:val="24"/>
                      </w:rPr>
                    </w:pPr>
                    <w:r>
                      <w:rPr>
                        <w:rFonts w:ascii="Calibri" w:cs="Calibri" w:hAnsi="Calibri"/>
                        <w:color w:val="000000"/>
                        <w:sz w:val="24"/>
                      </w:rPr>
                      <w:t>Official Use</w:t>
                    </w:r>
                  </w:p>
                </w:txbxContent>
              </v:textbox>
            </v:rect>
          </w:pict>
        </mc:Fallback>
      </mc:AlternateContent>
    </w:r>
    <w:r>
      <w:rPr>
        <w:rFonts w:ascii="Arial" w:hAnsi="Arial"/>
      </w:rPr>
      <w:fldChar w:fldCharType="begin"/>
    </w:r>
    <w:r>
      <w:rPr>
        <w:rFonts w:ascii="Arial" w:hAnsi="Arial"/>
      </w:rPr>
      <w:instrText>PAGE   \* MERGEFORMAT</w:instrText>
    </w:r>
    <w:r>
      <w:rPr>
        <w:rFonts w:ascii="Arial" w:hAnsi="Arial"/>
      </w:rPr>
      <w:fldChar w:fldCharType="separate"/>
    </w:r>
    <w:r>
      <w:rPr>
        <w:rFonts w:ascii="Arial" w:hAnsi="Arial"/>
        <w:lang w:val="zh-CN"/>
      </w:rPr>
      <w:t>54</w:t>
    </w:r>
    <w:r>
      <w:rPr>
        <w:rFonts w:ascii="Arial" w:hAnsi="Arial"/>
      </w:rPr>
      <w:fldChar w:fldCharType="end"/>
    </w: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29"/>
        <w:spacing w:lineRule="auto" w:line="240"/>
        <w:ind w:firstLine="0" w:firstLineChars="0"/>
        <w:rPr>
          <w:sz w:val="20"/>
          <w:lang w:eastAsia="zh-CN"/>
        </w:rPr>
      </w:pPr>
      <w:r>
        <w:rPr>
          <w:rStyle w:val="style38"/>
          <w:rFonts w:hint="eastAsia"/>
          <w:sz w:val="20"/>
          <w:lang w:eastAsia="zh-CN"/>
        </w:rPr>
        <w:footnoteRef/>
      </w:r>
      <w:r>
        <w:rPr>
          <w:rFonts w:hint="eastAsia"/>
          <w:sz w:val="20"/>
          <w:lang w:eastAsia="zh-CN"/>
        </w:rPr>
        <w:t>邻避效应指居民或当地单位因担心建设项目（如垃圾场、污水处理设施等邻避设施）对身体健康、环境质量和资产价值等带来诸多负面影响，从而激发人们的嫌恶情结。</w:t>
      </w:r>
    </w:p>
  </w:footnote>
  <w:footnote w:id="2">
    <w:p>
      <w:pPr>
        <w:pStyle w:val="style29"/>
        <w:adjustRightInd w:val="false"/>
        <w:snapToGrid w:val="false"/>
        <w:spacing w:lineRule="auto" w:line="240"/>
        <w:ind w:firstLine="0" w:firstLineChars="0"/>
        <w:rPr>
          <w:lang w:val="en-GB"/>
        </w:rPr>
      </w:pPr>
      <w:r>
        <w:rPr>
          <w:rStyle w:val="style38"/>
        </w:rPr>
        <w:footnoteRef/>
      </w:r>
      <w:r>
        <w:t xml:space="preserve"> </w:t>
      </w:r>
      <w:r>
        <w:rPr>
          <w:lang w:val="en-GB"/>
        </w:rPr>
        <w:t>"</w:t>
      </w:r>
      <w:r>
        <w:rPr>
          <w:rFonts w:hint="eastAsia"/>
          <w:lang w:val="en-GB" w:eastAsia="zh-CN"/>
        </w:rPr>
        <w:t>三线一单”</w:t>
      </w:r>
      <w:r>
        <w:t xml:space="preserve"> </w:t>
      </w:r>
      <w:r>
        <w:rPr>
          <w:lang w:val="en-GB" w:eastAsia="zh-CN"/>
        </w:rPr>
        <w:t>是指生态保护红线、环境质量底线、资源利用上线和生态环境准入清单</w:t>
      </w:r>
      <w:r>
        <w:rPr>
          <w:rFonts w:hint="eastAsia"/>
          <w:lang w:val="en-GB" w:eastAsia="zh-CN"/>
        </w:rPr>
        <w:t>。</w:t>
      </w:r>
    </w:p>
  </w:footnote>
  <w:footnote w:id="3">
    <w:p>
      <w:pPr>
        <w:pStyle w:val="style29"/>
        <w:spacing w:after="240" w:lineRule="auto" w:line="240"/>
        <w:ind w:firstLine="0" w:firstLineChars="0"/>
        <w:rPr>
          <w:szCs w:val="18"/>
          <w:lang w:eastAsia="zh-CN"/>
        </w:rPr>
      </w:pPr>
      <w:r>
        <w:rPr>
          <w:rStyle w:val="style38"/>
          <w:szCs w:val="18"/>
        </w:rPr>
        <w:footnoteRef/>
      </w:r>
      <w:r>
        <w:rPr>
          <w:szCs w:val="18"/>
        </w:rPr>
        <w:t xml:space="preserve"> </w:t>
      </w:r>
      <w:r>
        <w:rPr>
          <w:rFonts w:hint="eastAsia"/>
          <w:szCs w:val="18"/>
          <w:lang w:eastAsia="zh-CN"/>
        </w:rPr>
        <w:t>邻避效应指居民或当地单位因担心建设项目（如垃圾场、污水处理设施等邻避设施）对身体健康、环境质量和资产价值等带来诸多负面影响，从而激发人们的嫌恶情结。</w:t>
      </w:r>
    </w:p>
  </w:footnote>
  <w:footnote w:id="4">
    <w:p>
      <w:pPr>
        <w:pStyle w:val="style29"/>
        <w:spacing w:lineRule="auto" w:line="240"/>
        <w:ind w:left="142" w:hanging="142" w:firstLineChars="0"/>
        <w:rPr>
          <w:sz w:val="20"/>
          <w:lang w:eastAsia="zh-CN"/>
        </w:rPr>
      </w:pPr>
      <w:r>
        <w:rPr>
          <w:rStyle w:val="style38"/>
          <w:sz w:val="20"/>
        </w:rPr>
        <w:footnoteRef/>
      </w:r>
      <w:r>
        <w:rPr>
          <w:sz w:val="20"/>
        </w:rPr>
        <w:tab/>
      </w:r>
      <w:r>
        <w:rPr>
          <w:rFonts w:cs="Arial"/>
          <w:sz w:val="20"/>
          <w:lang w:eastAsia="zh-CN"/>
        </w:rPr>
        <w:t>国家在重点生态功能区、</w:t>
      </w:r>
      <w:r>
        <w:rPr>
          <w:sz w:val="20"/>
          <w:lang w:eastAsia="zh-CN"/>
        </w:rPr>
        <w:t>生态环境敏感区和脆弱区等区域划定生态保护红线</w:t>
      </w:r>
      <w:r>
        <w:rPr>
          <w:rFonts w:cs="Arial"/>
          <w:sz w:val="20"/>
          <w:lang w:eastAsia="zh-CN"/>
        </w:rPr>
        <w:t>，实行严格保护</w:t>
      </w:r>
      <w:r>
        <w:rPr>
          <w:rFonts w:cs="Arial" w:hint="eastAsia"/>
          <w:sz w:val="20"/>
          <w:lang w:eastAsia="zh-CN"/>
        </w:rPr>
        <w:t>。</w:t>
      </w:r>
    </w:p>
  </w:footnote>
  <w:footnote w:id="5">
    <w:p>
      <w:pPr>
        <w:pStyle w:val="style29"/>
        <w:spacing w:lineRule="auto" w:line="240"/>
        <w:ind w:left="142" w:hanging="142" w:firstLineChars="0"/>
        <w:rPr>
          <w:sz w:val="20"/>
          <w:lang w:val="en-US" w:eastAsia="zh-CN"/>
        </w:rPr>
      </w:pPr>
      <w:r>
        <w:rPr>
          <w:rStyle w:val="style38"/>
          <w:rFonts w:hint="eastAsia"/>
          <w:sz w:val="20"/>
          <w:lang w:eastAsia="zh-CN"/>
        </w:rPr>
        <w:footnoteRef/>
      </w:r>
      <w:r>
        <w:rPr>
          <w:sz w:val="20"/>
          <w:lang w:eastAsia="zh-CN"/>
        </w:rPr>
        <w:tab/>
      </w:r>
      <w:r>
        <w:rPr>
          <w:rFonts w:hint="eastAsia"/>
          <w:sz w:val="20"/>
          <w:lang w:eastAsia="zh-CN"/>
        </w:rPr>
        <w:t>环保“三同时”制度：防治污染的设施，应当与主体工程同时设计、同时施工、同时投产使用。三同时制度由相关级别的地方环保部门负责监督落实。</w:t>
      </w:r>
    </w:p>
  </w:footnote>
  <w:footnote w:id="6">
    <w:p>
      <w:pPr>
        <w:pStyle w:val="style29"/>
        <w:spacing w:lineRule="auto" w:line="240"/>
        <w:ind w:left="142" w:hanging="142" w:firstLineChars="0"/>
        <w:rPr>
          <w:sz w:val="20"/>
          <w:lang w:eastAsia="zh-CN"/>
        </w:rPr>
      </w:pPr>
      <w:r>
        <w:rPr>
          <w:rStyle w:val="style38"/>
          <w:sz w:val="20"/>
        </w:rPr>
        <w:footnoteRef/>
      </w:r>
      <w:r>
        <w:rPr>
          <w:sz w:val="20"/>
        </w:rPr>
        <w:tab/>
      </w:r>
      <w:r>
        <w:rPr>
          <w:rFonts w:cs="Arial"/>
          <w:sz w:val="20"/>
          <w:lang w:eastAsia="zh-CN"/>
        </w:rPr>
        <w:t>实行排污许可管理的企业事业单位和其他生产经营者应当按照排污许可证的要求排放污染物；未取得排污许可证的，不得排放污染物</w:t>
      </w:r>
      <w:r>
        <w:rPr>
          <w:rFonts w:cs="Arial" w:hint="eastAsia"/>
          <w:bCs/>
          <w:sz w:val="20"/>
          <w:lang w:eastAsia="zh-CN"/>
        </w:rPr>
        <w:t>。</w:t>
      </w:r>
    </w:p>
  </w:footnote>
  <w:footnote w:id="7">
    <w:p>
      <w:pPr>
        <w:pStyle w:val="style29"/>
        <w:adjustRightInd w:val="false"/>
        <w:snapToGrid w:val="false"/>
        <w:spacing w:lineRule="auto" w:line="240"/>
        <w:ind w:left="142" w:hanging="142" w:firstLineChars="0"/>
        <w:rPr>
          <w:lang w:eastAsia="zh-CN"/>
        </w:rPr>
      </w:pPr>
      <w:r>
        <w:rPr>
          <w:rStyle w:val="style38"/>
        </w:rPr>
        <w:footnoteRef/>
      </w:r>
      <w:r>
        <w:t xml:space="preserve"> </w:t>
      </w:r>
      <w:r>
        <w:rPr>
          <w:rFonts w:hint="eastAsia"/>
          <w:sz w:val="20"/>
          <w:lang w:val="en-US" w:eastAsia="zh-CN"/>
        </w:rPr>
        <w:t>指</w:t>
      </w:r>
      <w:r>
        <w:rPr>
          <w:sz w:val="20"/>
          <w:lang w:val="en-US" w:eastAsia="zh-CN"/>
        </w:rPr>
        <w:t>土地利用</w:t>
      </w:r>
      <w:r>
        <w:rPr>
          <w:rFonts w:hint="eastAsia"/>
          <w:sz w:val="20"/>
          <w:lang w:val="en-US" w:eastAsia="zh-CN"/>
        </w:rPr>
        <w:t>有关</w:t>
      </w:r>
      <w:r>
        <w:rPr>
          <w:sz w:val="20"/>
          <w:lang w:val="en-US" w:eastAsia="zh-CN"/>
        </w:rPr>
        <w:t>规划，区域、流域、海域的建设、开发利用规划</w:t>
      </w:r>
      <w:r>
        <w:rPr>
          <w:rFonts w:hint="eastAsia"/>
          <w:sz w:val="20"/>
          <w:lang w:val="en-US" w:eastAsia="zh-CN"/>
        </w:rPr>
        <w:t>；以及</w:t>
      </w:r>
      <w:r>
        <w:rPr>
          <w:sz w:val="20"/>
          <w:lang w:val="en-US" w:eastAsia="zh-CN"/>
        </w:rPr>
        <w:t>工业、农业、畜牧业、林业、能源、水利、交通、城市建设、旅游、自然资源开发的有关专项规划</w:t>
      </w:r>
      <w:r>
        <w:rPr>
          <w:rFonts w:hint="eastAsia"/>
          <w:sz w:val="20"/>
          <w:lang w:eastAsia="zh-CN"/>
        </w:rPr>
        <w:t>。</w:t>
      </w:r>
    </w:p>
  </w:footnote>
  <w:footnote w:id="8">
    <w:p>
      <w:pPr>
        <w:pStyle w:val="style29"/>
        <w:adjustRightInd w:val="false"/>
        <w:snapToGrid w:val="false"/>
        <w:spacing w:lineRule="auto" w:line="240"/>
        <w:ind w:firstLine="0" w:firstLineChars="0"/>
        <w:rPr>
          <w:lang w:eastAsia="zh-CN"/>
        </w:rPr>
      </w:pPr>
      <w:r>
        <w:rPr>
          <w:rStyle w:val="style38"/>
          <w:szCs w:val="18"/>
        </w:rPr>
        <w:footnoteRef/>
      </w:r>
      <w:r>
        <w:rPr>
          <w:szCs w:val="18"/>
        </w:rPr>
        <w:t xml:space="preserve"> </w:t>
      </w:r>
      <w:r>
        <w:rPr>
          <w:rFonts w:cs="Arial" w:hint="eastAsia"/>
          <w:szCs w:val="18"/>
          <w:lang w:val="en-GB"/>
        </w:rPr>
        <w:t>中央农办、农业农村部、生态环境部、住建部、水利部、科技部、国家发改委、财政部、银保监会</w:t>
      </w:r>
      <w:r>
        <w:rPr>
          <w:rFonts w:cs="Arial" w:hint="eastAsia"/>
          <w:szCs w:val="18"/>
          <w:lang w:val="en-GB" w:eastAsia="zh-CN"/>
        </w:rPr>
        <w:t>。</w:t>
      </w:r>
    </w:p>
  </w:footnote>
  <w:footnote w:id="9">
    <w:p>
      <w:pPr>
        <w:pStyle w:val="style29"/>
        <w:adjustRightInd w:val="false"/>
        <w:snapToGrid w:val="false"/>
        <w:spacing w:lineRule="auto" w:line="240"/>
        <w:ind w:left="142" w:hanging="142" w:firstLineChars="0"/>
        <w:rPr>
          <w:sz w:val="20"/>
          <w:lang w:eastAsia="zh-CN"/>
        </w:rPr>
      </w:pPr>
      <w:r>
        <w:rPr>
          <w:rStyle w:val="style38"/>
          <w:sz w:val="20"/>
        </w:rPr>
        <w:footnoteRef/>
      </w:r>
      <w:r>
        <w:rPr>
          <w:sz w:val="20"/>
        </w:rPr>
        <w:t>自然保护地是由各级政府依法划定或确认，对重要的自然生态系统、自然遗迹、自然景观及其所承载的自然资源、生态功能和文化价值实施长期保护的陆域或海域</w:t>
      </w:r>
      <w:r>
        <w:rPr>
          <w:rFonts w:hint="eastAsia"/>
          <w:sz w:val="20"/>
          <w:lang w:eastAsia="zh-CN"/>
        </w:rPr>
        <w:t>。</w:t>
      </w:r>
    </w:p>
  </w:footnote>
  <w:footnote w:id="10">
    <w:p>
      <w:pPr>
        <w:pStyle w:val="style29"/>
        <w:adjustRightInd w:val="false"/>
        <w:snapToGrid w:val="false"/>
        <w:spacing w:lineRule="auto" w:line="240"/>
        <w:ind w:left="142" w:hanging="142" w:firstLineChars="0"/>
        <w:rPr>
          <w:sz w:val="20"/>
          <w:lang w:eastAsia="zh-CN"/>
        </w:rPr>
      </w:pPr>
      <w:r>
        <w:rPr>
          <w:sz w:val="20"/>
          <w:vertAlign w:val="superscript"/>
        </w:rPr>
        <w:footnoteRef/>
      </w:r>
      <w:r>
        <w:rPr>
          <w:sz w:val="20"/>
        </w:rPr>
        <w:t>国家公园：是指以保护具有国家代表性的自然生态系统为主要目的，实现自然资源科学保护和合理利用的特定陆域或海域，是我国自然生态系统中最重要、自然景观最独特、自然遗产最精华、生物多样性最富集的部分，保护范围大，生态过程完整，具有全球价值、国家象征，国民认同度高</w:t>
      </w:r>
      <w:r>
        <w:rPr>
          <w:rFonts w:hint="eastAsia"/>
          <w:sz w:val="20"/>
          <w:lang w:eastAsia="zh-CN"/>
        </w:rPr>
        <w:t>。</w:t>
      </w:r>
    </w:p>
  </w:footnote>
  <w:footnote w:id="11">
    <w:p>
      <w:pPr>
        <w:pStyle w:val="style29"/>
        <w:adjustRightInd w:val="false"/>
        <w:snapToGrid w:val="false"/>
        <w:spacing w:lineRule="auto" w:line="240"/>
        <w:ind w:left="142" w:hanging="142" w:firstLineChars="0"/>
        <w:rPr>
          <w:sz w:val="20"/>
          <w:lang w:eastAsia="zh-CN"/>
        </w:rPr>
      </w:pPr>
      <w:r>
        <w:rPr>
          <w:sz w:val="20"/>
          <w:vertAlign w:val="superscript"/>
        </w:rPr>
        <w:footnoteRef/>
      </w:r>
      <w:r>
        <w:rPr>
          <w:sz w:val="20"/>
        </w:rPr>
        <w:t>自然保护区：是指保护典型的自然生态系统、珍稀濒危野生动植物种的天然集中分布区、有特殊意义的自然遗迹的区域。具有较大面积，确保主要保护对象安全，维持和恢复珍稀濒危野生动植物种群数量及赖以生存的栖息环境</w:t>
      </w:r>
      <w:r>
        <w:rPr>
          <w:rFonts w:hint="eastAsia"/>
          <w:sz w:val="20"/>
          <w:lang w:eastAsia="zh-CN"/>
        </w:rPr>
        <w:t>。</w:t>
      </w:r>
    </w:p>
  </w:footnote>
  <w:footnote w:id="12">
    <w:p>
      <w:pPr>
        <w:pStyle w:val="style29"/>
        <w:adjustRightInd w:val="false"/>
        <w:snapToGrid w:val="false"/>
        <w:spacing w:lineRule="auto" w:line="240"/>
        <w:ind w:left="142" w:hanging="142" w:firstLineChars="0"/>
        <w:rPr>
          <w:sz w:val="20"/>
          <w:lang w:eastAsia="zh-CN"/>
        </w:rPr>
      </w:pPr>
      <w:r>
        <w:rPr>
          <w:sz w:val="20"/>
          <w:vertAlign w:val="superscript"/>
        </w:rPr>
        <w:footnoteRef/>
      </w:r>
      <w:r>
        <w:rPr>
          <w:sz w:val="20"/>
        </w:rPr>
        <w:t>自然公园：是指保护重要的自然生态系统、自然遗迹和自然景观，具有生态、观赏、文化和科学价值，可持续利用的区域。确保森林、海洋、湿地、水域、冰川、草原、生物等珍贵自然资源，以及所承载的景观、地质地貌和文化多样性得到有效保护。包括森林公园、地质公园、海洋公园、湿地公园等各类自然公园将生态功能重要、生态环境敏感脆弱以及其他有必要严格保护的各类自然保护地纳入生态保护红线管控范围</w:t>
      </w:r>
      <w:r>
        <w:rPr>
          <w:rFonts w:hint="eastAsia"/>
          <w:sz w:val="20"/>
          <w:lang w:eastAsia="zh-CN"/>
        </w:rPr>
        <w:t>。</w:t>
      </w:r>
    </w:p>
  </w:footnote>
  <w:footnote w:id="13">
    <w:p>
      <w:pPr>
        <w:pStyle w:val="style29"/>
        <w:snapToGrid w:val="false"/>
        <w:spacing w:lineRule="auto" w:line="240"/>
        <w:ind w:left="227" w:hanging="227" w:firstLineChars="0"/>
        <w:rPr>
          <w:sz w:val="20"/>
          <w:lang w:eastAsia="zh-CN"/>
        </w:rPr>
      </w:pPr>
      <w:r>
        <w:rPr>
          <w:rStyle w:val="style38"/>
          <w:rFonts w:hint="eastAsia"/>
          <w:sz w:val="20"/>
          <w:lang w:eastAsia="zh-CN"/>
        </w:rPr>
        <w:footnoteRef/>
      </w:r>
      <w:r>
        <w:rPr>
          <w:rFonts w:hint="eastAsia"/>
          <w:sz w:val="20"/>
          <w:lang w:eastAsia="zh-CN"/>
        </w:rPr>
        <w:t xml:space="preserve"> </w:t>
      </w:r>
      <w:r>
        <w:rPr>
          <w:sz w:val="20"/>
          <w:lang w:eastAsia="zh-CN"/>
        </w:rPr>
        <w:t>世行《结果导向型贷款项目环境与社会系统评价指南》</w:t>
      </w:r>
      <w:r>
        <w:rPr>
          <w:rFonts w:hint="eastAsia"/>
          <w:sz w:val="20"/>
          <w:lang w:eastAsia="zh-CN"/>
        </w:rPr>
        <w:t>中六项原则中的后三项（即原则4、5和6）主要针对征地、少数民族和冲突地区等社会问题，相应的对比分析见本报告第4章“社会管理系统评价”。</w:t>
      </w:r>
    </w:p>
  </w:footnote>
  <w:footnote w:id="14">
    <w:p>
      <w:pPr>
        <w:pStyle w:val="style29"/>
        <w:spacing w:lineRule="auto" w:line="240"/>
        <w:ind w:firstLine="0" w:firstLineChars="0"/>
        <w:rPr>
          <w:szCs w:val="18"/>
          <w:lang w:eastAsia="zh-CN"/>
        </w:rPr>
      </w:pPr>
      <w:r>
        <w:rPr>
          <w:rStyle w:val="style38"/>
          <w:szCs w:val="18"/>
        </w:rPr>
        <w:footnoteRef/>
      </w:r>
      <w:r>
        <w:rPr>
          <w:szCs w:val="18"/>
        </w:rPr>
        <w:t xml:space="preserve"> </w:t>
      </w:r>
      <w:r>
        <w:rPr>
          <w:rFonts w:hint="eastAsia"/>
          <w:szCs w:val="18"/>
          <w:lang w:eastAsia="zh-CN"/>
        </w:rPr>
        <w:t>本报告第5部分引用了《</w:t>
      </w:r>
      <w:r>
        <w:rPr>
          <w:rFonts w:ascii="宋体" w:hAnsi="宋体" w:hint="eastAsia"/>
          <w:szCs w:val="18"/>
          <w:lang w:eastAsia="zh-CN"/>
        </w:rPr>
        <w:t>结果导向型贷款环境和社会管理系统评估指南</w:t>
      </w:r>
      <w:r>
        <w:rPr>
          <w:rFonts w:hint="eastAsia"/>
          <w:szCs w:val="18"/>
          <w:lang w:eastAsia="zh-CN"/>
        </w:rPr>
        <w:t>》中核心原则和要素与社会系统分析相关的内容，以便进行一致性对比分析。</w:t>
      </w:r>
    </w:p>
  </w:footnote>
  <w:footnote w:id="15">
    <w:p>
      <w:pPr>
        <w:pStyle w:val="style29"/>
        <w:spacing w:lineRule="auto" w:line="240"/>
        <w:ind w:firstLine="360"/>
        <w:rPr>
          <w:lang w:eastAsia="zh-CN"/>
        </w:rPr>
      </w:pPr>
      <w:r>
        <w:rPr>
          <w:rStyle w:val="style38"/>
        </w:rPr>
        <w:footnoteRef/>
      </w:r>
      <w:r>
        <w:t xml:space="preserve"> </w:t>
      </w:r>
      <w:r>
        <w:rPr>
          <w:rFonts w:hint="eastAsia"/>
          <w:lang w:eastAsia="zh-CN"/>
        </w:rPr>
        <w:t>本部分总结了相关机构与项目社会风险管理有关的职责，因此可能不是相关政府部门的全部职责。</w:t>
      </w:r>
    </w:p>
  </w:footnote>
  <w:footnote w:id="16">
    <w:p>
      <w:pPr>
        <w:pStyle w:val="style29"/>
        <w:spacing w:lineRule="auto" w:line="240"/>
        <w:ind w:left="142" w:hanging="142" w:firstLineChars="0"/>
        <w:rPr>
          <w:szCs w:val="18"/>
          <w:lang w:eastAsia="zh-CN"/>
        </w:rPr>
      </w:pPr>
      <w:r>
        <w:rPr>
          <w:rStyle w:val="style38"/>
          <w:rFonts w:hint="eastAsia"/>
          <w:szCs w:val="18"/>
          <w:lang w:eastAsia="zh-CN"/>
        </w:rPr>
        <w:footnoteRef/>
      </w:r>
      <w:r>
        <w:rPr>
          <w:rFonts w:hint="eastAsia"/>
          <w:szCs w:val="18"/>
          <w:lang w:eastAsia="zh-CN"/>
        </w:rPr>
        <w:t>世行结果导向型政策第12段，借款方负责准备和实施结果导向型项目。结果导向型项目的范围和目标，以及借款方的义务均在贷款协议中进行了明确。这些义务包括对结果导向型项目开展尽职调查和必要的监测评估（包括支付关联指标核验机制）、财务、环境与社会系统及管理机制。</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p>
    <w:pPr>
      <w:pStyle w:val="style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0" w:color="auto"/>
      </w:pBdr>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934037"/>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0000001"/>
    <w:multiLevelType w:val="multilevel"/>
    <w:tmpl w:val="081B1D4F"/>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0000002"/>
    <w:multiLevelType w:val="multilevel"/>
    <w:tmpl w:val="093D0C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0000003"/>
    <w:multiLevelType w:val="multilevel"/>
    <w:tmpl w:val="0B20724D"/>
    <w:lvl w:ilvl="0">
      <w:start w:val="1"/>
      <w:numFmt w:val="bullet"/>
      <w:lvlText w:val="•"/>
      <w:lvlJc w:val="left"/>
      <w:pPr>
        <w:ind w:left="1140" w:hanging="360"/>
      </w:pPr>
      <w:rPr>
        <w:rFonts w:ascii="Arial" w:hAnsi="Arial" w:hint="default"/>
      </w:rPr>
    </w:lvl>
    <w:lvl w:ilvl="1">
      <w:start w:val="1"/>
      <w:numFmt w:val="lowerRoman"/>
      <w:lvlText w:val="(%2)"/>
      <w:lvlJc w:val="left"/>
      <w:pPr>
        <w:ind w:left="2220" w:hanging="720"/>
      </w:pPr>
      <w:rPr>
        <w:rFonts w:hint="default"/>
      </w:r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
    <w:nsid w:val="00000004"/>
    <w:multiLevelType w:val="multilevel"/>
    <w:tmpl w:val="0C1957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0000005"/>
    <w:multiLevelType w:val="multilevel"/>
    <w:tmpl w:val="0F3F087F"/>
    <w:lvl w:ilvl="0">
      <w:start w:val="3"/>
      <w:numFmt w:val="bullet"/>
      <w:lvlText w:val="•"/>
      <w:lvlJc w:val="left"/>
      <w:pPr>
        <w:ind w:left="720" w:hanging="360"/>
      </w:pPr>
      <w:rPr>
        <w:rFonts w:ascii="宋体" w:cs="宋体" w:eastAsia="宋体" w:hAnsi="宋体" w:hint="eastAsia"/>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0000006"/>
    <w:multiLevelType w:val="multilevel"/>
    <w:tmpl w:val="11371048"/>
    <w:lvl w:ilvl="0">
      <w:start w:val="1"/>
      <w:numFmt w:val="lowerRoman"/>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
    <w:nsid w:val="00000007"/>
    <w:multiLevelType w:val="multilevel"/>
    <w:tmpl w:val="19FE4CD7"/>
    <w:lvl w:ilvl="0">
      <w:start w:val="4"/>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0000008"/>
    <w:multiLevelType w:val="multilevel"/>
    <w:tmpl w:val="1C4B0EE5"/>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0000009"/>
    <w:multiLevelType w:val="multilevel"/>
    <w:tmpl w:val="20E70509"/>
    <w:lvl w:ilvl="0">
      <w:start w:val="1"/>
      <w:numFmt w:val="bullet"/>
      <w:lvlText w:val="•"/>
      <w:lvlJc w:val="left"/>
      <w:pPr>
        <w:ind w:left="1140" w:hanging="360"/>
      </w:pPr>
      <w:rPr>
        <w:rFonts w:ascii="Arial" w:hAnsi="Aria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0000000A"/>
    <w:multiLevelType w:val="multilevel"/>
    <w:tmpl w:val="219E54FB"/>
    <w:lvl w:ilvl="0">
      <w:start w:val="1"/>
      <w:numFmt w:val="lowerRoman"/>
      <w:lvlText w:val="%1)"/>
      <w:lvlJc w:val="left"/>
      <w:pPr>
        <w:ind w:left="1440" w:hanging="720"/>
      </w:pPr>
      <w:rPr>
        <w:rFonts w:hint="default"/>
      </w:rPr>
    </w:lvl>
    <w:lvl w:ilvl="1">
      <w:start w:val="1"/>
      <w:numFmt w:val="upperLetter"/>
      <w:lvlText w:val="%2．"/>
      <w:lvlJc w:val="left"/>
      <w:pPr>
        <w:ind w:left="1860" w:hanging="720"/>
      </w:pPr>
      <w:rPr>
        <w:rFonts w:hint="default"/>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1">
    <w:nsid w:val="0000000B"/>
    <w:multiLevelType w:val="multilevel"/>
    <w:tmpl w:val="2738551E"/>
    <w:lvl w:ilvl="0">
      <w:start w:val="1"/>
      <w:numFmt w:val="decimal"/>
      <w:pStyle w:val="style4130"/>
      <w:lvlText w:val="%1."/>
      <w:lvlJc w:val="left"/>
      <w:pPr>
        <w:ind w:left="360" w:hanging="360"/>
      </w:pPr>
      <w:rPr>
        <w:rFonts w:ascii="Calibri" w:cs="Arial" w:eastAsia="Times New Roman" w:hAnsi="Calibri" w:hint="default"/>
        <w:b w:val="false"/>
        <w:bCs w:val="false"/>
        <w:i w:val="false"/>
        <w:iCs w:val="false"/>
        <w:caps w:val="false"/>
        <w:smallCaps w:val="false"/>
        <w:vanish w:val="false"/>
        <w:spacing w:val="0"/>
        <w:kern w:val="0"/>
        <w:position w:val="0"/>
        <w:sz w:val="20"/>
        <w:u w:val="none"/>
        <w:vertAlign w:val="baseline"/>
      </w:rPr>
    </w:lvl>
    <w:lvl w:ilvl="1">
      <w:start w:val="1"/>
      <w:numFmt w:val="lowerRoman"/>
      <w:lvlText w:val="(%2)"/>
      <w:lvlJc w:val="right"/>
      <w:pPr>
        <w:tabs>
          <w:tab w:val="left" w:leader="none" w:pos="1530"/>
        </w:tabs>
        <w:ind w:left="1530" w:hanging="180"/>
      </w:pPr>
      <w:rPr>
        <w:rFonts w:ascii="Verdana" w:hAnsi="Verdana" w:hint="default"/>
        <w:sz w:val="20"/>
      </w:rPr>
    </w:lvl>
    <w:lvl w:ilvl="2">
      <w:start w:val="1"/>
      <w:numFmt w:val="upperLetter"/>
      <w:lvlText w:val="%3."/>
      <w:lvlJc w:val="left"/>
      <w:pPr>
        <w:ind w:left="1682" w:hanging="360"/>
      </w:pPr>
      <w:rPr>
        <w:rFonts w:hint="default"/>
      </w:rPr>
    </w:lvl>
    <w:lvl w:ilvl="3">
      <w:start w:val="1"/>
      <w:numFmt w:val="decimal"/>
      <w:lvlText w:val="%4."/>
      <w:lvlJc w:val="left"/>
      <w:pPr>
        <w:tabs>
          <w:tab w:val="left" w:leader="none" w:pos="2222"/>
        </w:tabs>
        <w:ind w:left="2222" w:hanging="360"/>
      </w:pPr>
    </w:lvl>
    <w:lvl w:ilvl="4">
      <w:start w:val="1"/>
      <w:numFmt w:val="lowerLetter"/>
      <w:lvlText w:val="%5."/>
      <w:lvlJc w:val="left"/>
      <w:pPr>
        <w:tabs>
          <w:tab w:val="left" w:leader="none" w:pos="2942"/>
        </w:tabs>
        <w:ind w:left="2942" w:hanging="360"/>
      </w:pPr>
    </w:lvl>
    <w:lvl w:ilvl="5">
      <w:start w:val="1"/>
      <w:numFmt w:val="lowerRoman"/>
      <w:lvlText w:val="%6."/>
      <w:lvlJc w:val="right"/>
      <w:pPr>
        <w:tabs>
          <w:tab w:val="left" w:leader="none" w:pos="3662"/>
        </w:tabs>
        <w:ind w:left="3662" w:hanging="180"/>
      </w:pPr>
    </w:lvl>
    <w:lvl w:ilvl="6">
      <w:start w:val="1"/>
      <w:numFmt w:val="decimal"/>
      <w:lvlText w:val="%7."/>
      <w:lvlJc w:val="left"/>
      <w:pPr>
        <w:tabs>
          <w:tab w:val="left" w:leader="none" w:pos="4382"/>
        </w:tabs>
        <w:ind w:left="4382" w:hanging="360"/>
      </w:pPr>
    </w:lvl>
    <w:lvl w:ilvl="7">
      <w:start w:val="1"/>
      <w:numFmt w:val="lowerLetter"/>
      <w:lvlText w:val="%8."/>
      <w:lvlJc w:val="left"/>
      <w:pPr>
        <w:tabs>
          <w:tab w:val="left" w:leader="none" w:pos="5102"/>
        </w:tabs>
        <w:ind w:left="5102" w:hanging="360"/>
      </w:pPr>
    </w:lvl>
    <w:lvl w:ilvl="8">
      <w:start w:val="1"/>
      <w:numFmt w:val="lowerRoman"/>
      <w:lvlText w:val="%9."/>
      <w:lvlJc w:val="right"/>
      <w:pPr>
        <w:tabs>
          <w:tab w:val="left" w:leader="none" w:pos="5822"/>
        </w:tabs>
        <w:ind w:left="5822" w:hanging="180"/>
      </w:pPr>
    </w:lvl>
  </w:abstractNum>
  <w:abstractNum w:abstractNumId="12">
    <w:nsid w:val="0000000C"/>
    <w:multiLevelType w:val="multilevel"/>
    <w:tmpl w:val="2AA4099F"/>
    <w:lvl w:ilvl="0">
      <w:start w:val="1"/>
      <w:numFmt w:val="decimal"/>
      <w:pStyle w:val="style4105"/>
      <w:lvlText w:val="%1."/>
      <w:lvlJc w:val="left"/>
      <w:pPr/>
      <w:rPr>
        <w:rFonts w:cs="Times New Roman"/>
        <w:b w:val="false"/>
        <w:bCs w:val="false"/>
        <w:i w:val="false"/>
        <w:iCs w:val="false"/>
        <w:caps w:val="false"/>
        <w:smallCaps w:val="false"/>
        <w:vanish w:val="false"/>
        <w:color w:val="000000"/>
        <w:spacing w:val="0"/>
        <w:position w:val="0"/>
        <w:u w:val="none"/>
        <w:vertAlign w:val="baseline"/>
      </w:rPr>
    </w:lvl>
    <w:lvl w:ilvl="1">
      <w:start w:val="1"/>
      <w:numFmt w:val="lowerLetter"/>
      <w:lvlText w:val="%2）"/>
      <w:lvlJc w:val="left"/>
      <w:pPr>
        <w:ind w:left="2623" w:hanging="360"/>
      </w:pPr>
      <w:rPr>
        <w:rFonts w:hint="default"/>
      </w:rPr>
    </w:lvl>
    <w:lvl w:ilvl="2">
      <w:start w:val="1"/>
      <w:numFmt w:val="lowerRoman"/>
      <w:lvlText w:val="%3."/>
      <w:lvlJc w:val="right"/>
      <w:pPr>
        <w:ind w:left="3103" w:hanging="420"/>
      </w:pPr>
      <w:rPr>
        <w:rFonts w:cs="Times New Roman"/>
      </w:rPr>
    </w:lvl>
    <w:lvl w:ilvl="3">
      <w:start w:val="1"/>
      <w:numFmt w:val="decimal"/>
      <w:lvlText w:val="%4."/>
      <w:lvlJc w:val="left"/>
      <w:pPr>
        <w:ind w:left="3523" w:hanging="420"/>
      </w:pPr>
      <w:rPr>
        <w:rFonts w:cs="Times New Roman"/>
      </w:rPr>
    </w:lvl>
    <w:lvl w:ilvl="4">
      <w:start w:val="1"/>
      <w:numFmt w:val="lowerLetter"/>
      <w:lvlText w:val="%5)"/>
      <w:lvlJc w:val="left"/>
      <w:pPr>
        <w:ind w:left="3943" w:hanging="420"/>
      </w:pPr>
      <w:rPr>
        <w:rFonts w:cs="Times New Roman"/>
      </w:rPr>
    </w:lvl>
    <w:lvl w:ilvl="5">
      <w:start w:val="1"/>
      <w:numFmt w:val="lowerRoman"/>
      <w:lvlText w:val="%6."/>
      <w:lvlJc w:val="right"/>
      <w:pPr>
        <w:ind w:left="4363" w:hanging="420"/>
      </w:pPr>
      <w:rPr>
        <w:rFonts w:cs="Times New Roman"/>
      </w:rPr>
    </w:lvl>
    <w:lvl w:ilvl="6">
      <w:start w:val="1"/>
      <w:numFmt w:val="decimal"/>
      <w:lvlText w:val="%7."/>
      <w:lvlJc w:val="left"/>
      <w:pPr>
        <w:ind w:left="4783" w:hanging="420"/>
      </w:pPr>
      <w:rPr>
        <w:rFonts w:cs="Times New Roman"/>
      </w:rPr>
    </w:lvl>
    <w:lvl w:ilvl="7">
      <w:start w:val="1"/>
      <w:numFmt w:val="lowerLetter"/>
      <w:lvlText w:val="%8)"/>
      <w:lvlJc w:val="left"/>
      <w:pPr>
        <w:ind w:left="5203" w:hanging="420"/>
      </w:pPr>
      <w:rPr>
        <w:rFonts w:cs="Times New Roman"/>
      </w:rPr>
    </w:lvl>
    <w:lvl w:ilvl="8">
      <w:start w:val="1"/>
      <w:numFmt w:val="lowerRoman"/>
      <w:lvlText w:val="%9."/>
      <w:lvlJc w:val="right"/>
      <w:pPr>
        <w:ind w:left="5623" w:hanging="420"/>
      </w:pPr>
      <w:rPr>
        <w:rFonts w:cs="Times New Roman"/>
      </w:rPr>
    </w:lvl>
  </w:abstractNum>
  <w:abstractNum w:abstractNumId="13">
    <w:nsid w:val="0000000D"/>
    <w:multiLevelType w:val="multilevel"/>
    <w:tmpl w:val="2E147F8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0000000E"/>
    <w:multiLevelType w:val="multilevel"/>
    <w:tmpl w:val="2E5A612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0000000F"/>
    <w:multiLevelType w:val="multilevel"/>
    <w:tmpl w:val="2EC618E5"/>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00000010"/>
    <w:multiLevelType w:val="multilevel"/>
    <w:tmpl w:val="307B0A0B"/>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1"/>
    <w:multiLevelType w:val="multilevel"/>
    <w:tmpl w:val="30EB5384"/>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00000012"/>
    <w:multiLevelType w:val="multilevel"/>
    <w:tmpl w:val="35141155"/>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00000013"/>
    <w:multiLevelType w:val="multilevel"/>
    <w:tmpl w:val="42B6151F"/>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00000014"/>
    <w:multiLevelType w:val="multilevel"/>
    <w:tmpl w:val="43B6712B"/>
    <w:lvl w:ilvl="0">
      <w:start w:val="1"/>
      <w:numFmt w:val="decimal"/>
      <w:pStyle w:val="style4109"/>
      <w:lvlText w:val="%1."/>
      <w:lvlJc w:val="left"/>
      <w:pPr>
        <w:ind w:left="1080" w:hanging="360"/>
      </w:pPr>
      <w:rPr>
        <w:b/>
        <w:i w:val="false"/>
        <w:color w:val="203864"/>
        <w:sz w:val="28"/>
        <w:szCs w:val="28"/>
      </w:rPr>
    </w:lvl>
    <w:lvl w:ilvl="1">
      <w:start w:val="1"/>
      <w:numFmt w:val="lowerLetter"/>
      <w:lvlText w:val="%2."/>
      <w:lvlJc w:val="left"/>
      <w:pPr>
        <w:ind w:left="360" w:hanging="360"/>
      </w:pPr>
      <w:rPr>
        <w:rFonts w:ascii="等线" w:cs="宋体" w:eastAsia="等线" w:hAnsi="等线"/>
        <w:b/>
      </w:rPr>
    </w:lvl>
    <w:lvl w:ilvl="2">
      <w:start w:val="1"/>
      <w:numFmt w:val="lowerRoman"/>
      <w:lvlText w:val="%3."/>
      <w:lvlJc w:val="right"/>
      <w:pPr>
        <w:ind w:left="2880" w:hanging="180"/>
      </w:pPr>
    </w:lvl>
    <w:lvl w:ilvl="3">
      <w:start w:val="1"/>
      <w:numFmt w:val="decimal"/>
      <w:lvlText w:val="%4."/>
      <w:lvlJc w:val="left"/>
      <w:pPr>
        <w:ind w:left="720" w:hanging="360"/>
      </w:pPr>
      <w:rPr>
        <w:b w:val="false"/>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00000015"/>
    <w:multiLevelType w:val="multilevel"/>
    <w:tmpl w:val="456F6624"/>
    <w:lvl w:ilvl="0">
      <w:start w:val="4"/>
      <w:numFmt w:val="decimal"/>
      <w:lvlText w:val="%1."/>
      <w:lvlJc w:val="left"/>
      <w:pPr>
        <w:ind w:left="425" w:hanging="425"/>
      </w:pPr>
      <w:rPr>
        <w:rFonts w:hint="eastAsia"/>
      </w:rPr>
    </w:lvl>
    <w:lvl w:ilvl="1">
      <w:start w:val="1"/>
      <w:numFmt w:val="decimal"/>
      <w:lvlText w:val="%1.%2."/>
      <w:lvlJc w:val="left"/>
      <w:pPr>
        <w:ind w:left="567" w:hanging="567"/>
      </w:pPr>
      <w:rPr>
        <w:rFonts w:ascii="Arial" w:eastAsia="宋体" w:hAnsi="Arial" w:hint="eastAsia"/>
        <w:sz w:val="22"/>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00000016"/>
    <w:multiLevelType w:val="multilevel"/>
    <w:tmpl w:val="4D54442E"/>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00000017"/>
    <w:multiLevelType w:val="multilevel"/>
    <w:tmpl w:val="50941708"/>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00000018"/>
    <w:multiLevelType w:val="multilevel"/>
    <w:tmpl w:val="513102C9"/>
    <w:lvl w:ilvl="0">
      <w:start w:val="1"/>
      <w:numFmt w:val="bullet"/>
      <w:lvlText w:val=""/>
      <w:lvlJc w:val="left"/>
      <w:pPr>
        <w:ind w:left="840" w:hanging="420"/>
      </w:pPr>
      <w:rPr>
        <w:rFonts w:ascii="Wingdings" w:cs="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nsid w:val="00000019"/>
    <w:multiLevelType w:val="multilevel"/>
    <w:tmpl w:val="55FA28B9"/>
    <w:lvl w:ilvl="0">
      <w:start w:val="0"/>
      <w:numFmt w:val="bullet"/>
      <w:lvlText w:val=""/>
      <w:lvlJc w:val="left"/>
      <w:pPr>
        <w:ind w:left="859" w:hanging="360"/>
      </w:pPr>
      <w:rPr>
        <w:rFonts w:ascii="Symbol" w:cs="Symbol" w:eastAsia="Symbol" w:hAnsi="Symbol" w:hint="default"/>
        <w:w w:val="100"/>
        <w:sz w:val="22"/>
        <w:szCs w:val="22"/>
        <w:lang w:val="en-US" w:bidi="ar-SA" w:eastAsia="en-US"/>
      </w:rPr>
    </w:lvl>
    <w:lvl w:ilvl="1">
      <w:start w:val="0"/>
      <w:numFmt w:val="bullet"/>
      <w:lvlText w:val="•"/>
      <w:lvlJc w:val="left"/>
      <w:pPr>
        <w:ind w:left="1700" w:hanging="360"/>
      </w:pPr>
      <w:rPr>
        <w:rFonts w:hint="default"/>
        <w:lang w:val="en-US" w:bidi="ar-SA" w:eastAsia="en-US"/>
      </w:rPr>
    </w:lvl>
    <w:lvl w:ilvl="2">
      <w:start w:val="0"/>
      <w:numFmt w:val="bullet"/>
      <w:lvlText w:val="•"/>
      <w:lvlJc w:val="left"/>
      <w:pPr>
        <w:ind w:left="2540" w:hanging="360"/>
      </w:pPr>
      <w:rPr>
        <w:rFonts w:hint="default"/>
        <w:lang w:val="en-US" w:bidi="ar-SA" w:eastAsia="en-US"/>
      </w:rPr>
    </w:lvl>
    <w:lvl w:ilvl="3">
      <w:start w:val="0"/>
      <w:numFmt w:val="bullet"/>
      <w:lvlText w:val="•"/>
      <w:lvlJc w:val="left"/>
      <w:pPr>
        <w:ind w:left="3380" w:hanging="360"/>
      </w:pPr>
      <w:rPr>
        <w:rFonts w:hint="default"/>
        <w:lang w:val="en-US" w:bidi="ar-SA" w:eastAsia="en-US"/>
      </w:rPr>
    </w:lvl>
    <w:lvl w:ilvl="4">
      <w:start w:val="0"/>
      <w:numFmt w:val="bullet"/>
      <w:lvlText w:val="•"/>
      <w:lvlJc w:val="left"/>
      <w:pPr>
        <w:ind w:left="4220" w:hanging="360"/>
      </w:pPr>
      <w:rPr>
        <w:rFonts w:hint="default"/>
        <w:lang w:val="en-US" w:bidi="ar-SA" w:eastAsia="en-US"/>
      </w:rPr>
    </w:lvl>
    <w:lvl w:ilvl="5">
      <w:start w:val="0"/>
      <w:numFmt w:val="bullet"/>
      <w:lvlText w:val="•"/>
      <w:lvlJc w:val="left"/>
      <w:pPr>
        <w:ind w:left="5060" w:hanging="360"/>
      </w:pPr>
      <w:rPr>
        <w:rFonts w:hint="default"/>
        <w:lang w:val="en-US" w:bidi="ar-SA" w:eastAsia="en-US"/>
      </w:rPr>
    </w:lvl>
    <w:lvl w:ilvl="6">
      <w:start w:val="0"/>
      <w:numFmt w:val="bullet"/>
      <w:lvlText w:val="•"/>
      <w:lvlJc w:val="left"/>
      <w:pPr>
        <w:ind w:left="5900" w:hanging="360"/>
      </w:pPr>
      <w:rPr>
        <w:rFonts w:hint="default"/>
        <w:lang w:val="en-US" w:bidi="ar-SA" w:eastAsia="en-US"/>
      </w:rPr>
    </w:lvl>
    <w:lvl w:ilvl="7">
      <w:start w:val="0"/>
      <w:numFmt w:val="bullet"/>
      <w:lvlText w:val="•"/>
      <w:lvlJc w:val="left"/>
      <w:pPr>
        <w:ind w:left="6740" w:hanging="360"/>
      </w:pPr>
      <w:rPr>
        <w:rFonts w:hint="default"/>
        <w:lang w:val="en-US" w:bidi="ar-SA" w:eastAsia="en-US"/>
      </w:rPr>
    </w:lvl>
    <w:lvl w:ilvl="8">
      <w:start w:val="0"/>
      <w:numFmt w:val="bullet"/>
      <w:lvlText w:val="•"/>
      <w:lvlJc w:val="left"/>
      <w:pPr>
        <w:ind w:left="7580" w:hanging="360"/>
      </w:pPr>
      <w:rPr>
        <w:rFonts w:hint="default"/>
        <w:lang w:val="en-US" w:bidi="ar-SA" w:eastAsia="en-US"/>
      </w:rPr>
    </w:lvl>
  </w:abstractNum>
  <w:abstractNum w:abstractNumId="26">
    <w:nsid w:val="0000001A"/>
    <w:multiLevelType w:val="multilevel"/>
    <w:tmpl w:val="598F1BED"/>
    <w:lvl w:ilvl="0">
      <w:start w:val="1"/>
      <w:numFmt w:val="lowerRoman"/>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
    <w:nsid w:val="0000001B"/>
    <w:multiLevelType w:val="multilevel"/>
    <w:tmpl w:val="5A181FEA"/>
    <w:lvl w:ilvl="0">
      <w:start w:val="1"/>
      <w:numFmt w:val="decimal"/>
      <w:lvlText w:val="%1."/>
      <w:lvlJc w:val="left"/>
      <w:pPr>
        <w:ind w:left="1980" w:hanging="42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000001C"/>
    <w:multiLevelType w:val="multilevel"/>
    <w:tmpl w:val="60735C66"/>
    <w:lvl w:ilvl="0">
      <w:start w:val="1"/>
      <w:numFmt w:val="decimal"/>
      <w:lvlText w:val="%1."/>
      <w:lvlJc w:val="left"/>
      <w:pPr>
        <w:ind w:left="780" w:hanging="420"/>
      </w:pPr>
      <w:rPr>
        <w:rFonts w:hint="default"/>
        <w:b w:val="false"/>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000001D"/>
    <w:multiLevelType w:val="multilevel"/>
    <w:tmpl w:val="61D608B6"/>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0000001E"/>
    <w:multiLevelType w:val="multilevel"/>
    <w:tmpl w:val="63C30260"/>
    <w:lvl w:ilvl="0">
      <w:start w:val="1"/>
      <w:numFmt w:val="decimal"/>
      <w:lvlText w:val="%1)"/>
      <w:lvlJc w:val="left"/>
      <w:pPr>
        <w:ind w:left="840" w:hanging="420"/>
      </w:pPr>
    </w:lvl>
    <w:lvl w:ilvl="1">
      <w:start w:val="1"/>
      <w:numFmt w:val="decimal"/>
      <w:lvlText w:val="%2）"/>
      <w:lvlJc w:val="left"/>
      <w:pPr>
        <w:ind w:left="1200" w:hanging="360"/>
      </w:pPr>
      <w:rPr>
        <w:rFonts w:hint="default"/>
      </w:rPr>
    </w:lvl>
    <w:lvl w:ilvl="2">
      <w:start w:val="1"/>
      <w:numFmt w:val="upperLetter"/>
      <w:lvlText w:val="%3."/>
      <w:lvlJc w:val="left"/>
      <w:pPr>
        <w:ind w:left="1620" w:hanging="360"/>
      </w:pPr>
      <w:rPr>
        <w:rFonts w:hint="default"/>
      </w:rPr>
    </w:lvl>
    <w:lvl w:ilvl="3">
      <w:start w:val="1"/>
      <w:numFmt w:val="lowerLetter"/>
      <w:lvlText w:val="%4."/>
      <w:lvlJc w:val="left"/>
      <w:pPr>
        <w:ind w:left="2040" w:hanging="360"/>
      </w:pPr>
      <w:rPr>
        <w:rFonts w:hint="default"/>
      </w:r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0000001F"/>
    <w:multiLevelType w:val="multilevel"/>
    <w:tmpl w:val="66C154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00000020"/>
    <w:multiLevelType w:val="multilevel"/>
    <w:tmpl w:val="69F22A77"/>
    <w:lvl w:ilvl="0">
      <w:start w:val="3"/>
      <w:numFmt w:val="bullet"/>
      <w:lvlText w:val="•"/>
      <w:lvlJc w:val="left"/>
      <w:pPr>
        <w:ind w:left="720" w:hanging="360"/>
      </w:pPr>
      <w:rPr>
        <w:rFonts w:ascii="宋体" w:cs="宋体" w:eastAsia="宋体" w:hAnsi="宋体" w:hint="eastAsia"/>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00000021"/>
    <w:multiLevelType w:val="multilevel"/>
    <w:tmpl w:val="6A131CE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0000022"/>
    <w:multiLevelType w:val="multilevel"/>
    <w:tmpl w:val="6AF80974"/>
    <w:lvl w:ilvl="0">
      <w:start w:val="1"/>
      <w:numFmt w:val="decimal"/>
      <w:lvlText w:val="%1."/>
      <w:lvlJc w:val="left"/>
      <w:pPr>
        <w:ind w:left="780" w:hanging="420"/>
      </w:pPr>
      <w:rPr>
        <w:rFonts w:hint="default"/>
        <w:b w:val="false"/>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0000023"/>
    <w:multiLevelType w:val="multilevel"/>
    <w:tmpl w:val="768B72A7"/>
    <w:lvl w:ilvl="0">
      <w:start w:val="4"/>
      <w:numFmt w:val="decimal"/>
      <w:lvlText w:val="%1"/>
      <w:lvlJc w:val="left"/>
      <w:pPr>
        <w:ind w:left="425" w:hanging="425"/>
      </w:pPr>
      <w:rPr>
        <w:rFonts w:hint="eastAsia"/>
      </w:rPr>
    </w:lvl>
    <w:lvl w:ilvl="1">
      <w:start w:val="4"/>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00000024"/>
    <w:multiLevelType w:val="multilevel"/>
    <w:tmpl w:val="78940E91"/>
    <w:lvl w:ilvl="0">
      <w:start w:val="1"/>
      <w:numFmt w:val="bullet"/>
      <w:lvlText w:val=""/>
      <w:lvlJc w:val="left"/>
      <w:pPr>
        <w:ind w:left="1195" w:hanging="360"/>
      </w:pPr>
      <w:rPr>
        <w:rFonts w:ascii="Symbol" w:hAnsi="Symbol" w:hint="default"/>
      </w:rPr>
    </w:lvl>
    <w:lvl w:ilvl="1">
      <w:start w:val="1"/>
      <w:numFmt w:val="bullet"/>
      <w:lvlText w:val="o"/>
      <w:lvlJc w:val="left"/>
      <w:pPr>
        <w:ind w:left="1915" w:hanging="360"/>
      </w:pPr>
      <w:rPr>
        <w:rFonts w:ascii="Courier New" w:cs="Courier New" w:hAnsi="Courier New" w:hint="default"/>
      </w:rPr>
    </w:lvl>
    <w:lvl w:ilvl="2">
      <w:start w:val="1"/>
      <w:numFmt w:val="bullet"/>
      <w:lvlText w:val=""/>
      <w:lvlJc w:val="left"/>
      <w:pPr>
        <w:ind w:left="2635" w:hanging="360"/>
      </w:pPr>
      <w:rPr>
        <w:rFonts w:ascii="Wingdings" w:hAnsi="Wingdings" w:hint="default"/>
      </w:rPr>
    </w:lvl>
    <w:lvl w:ilvl="3">
      <w:start w:val="1"/>
      <w:numFmt w:val="bullet"/>
      <w:lvlText w:val=""/>
      <w:lvlJc w:val="left"/>
      <w:pPr>
        <w:ind w:left="3355" w:hanging="360"/>
      </w:pPr>
      <w:rPr>
        <w:rFonts w:ascii="Symbol" w:hAnsi="Symbol" w:hint="default"/>
      </w:rPr>
    </w:lvl>
    <w:lvl w:ilvl="4">
      <w:start w:val="1"/>
      <w:numFmt w:val="bullet"/>
      <w:lvlText w:val="o"/>
      <w:lvlJc w:val="left"/>
      <w:pPr>
        <w:ind w:left="4075" w:hanging="360"/>
      </w:pPr>
      <w:rPr>
        <w:rFonts w:ascii="Courier New" w:cs="Courier New" w:hAnsi="Courier New" w:hint="default"/>
      </w:rPr>
    </w:lvl>
    <w:lvl w:ilvl="5">
      <w:start w:val="1"/>
      <w:numFmt w:val="bullet"/>
      <w:lvlText w:val=""/>
      <w:lvlJc w:val="left"/>
      <w:pPr>
        <w:ind w:left="4795" w:hanging="360"/>
      </w:pPr>
      <w:rPr>
        <w:rFonts w:ascii="Wingdings" w:hAnsi="Wingdings" w:hint="default"/>
      </w:rPr>
    </w:lvl>
    <w:lvl w:ilvl="6">
      <w:start w:val="1"/>
      <w:numFmt w:val="bullet"/>
      <w:lvlText w:val=""/>
      <w:lvlJc w:val="left"/>
      <w:pPr>
        <w:ind w:left="5515" w:hanging="360"/>
      </w:pPr>
      <w:rPr>
        <w:rFonts w:ascii="Symbol" w:hAnsi="Symbol" w:hint="default"/>
      </w:rPr>
    </w:lvl>
    <w:lvl w:ilvl="7">
      <w:start w:val="1"/>
      <w:numFmt w:val="bullet"/>
      <w:lvlText w:val="o"/>
      <w:lvlJc w:val="left"/>
      <w:pPr>
        <w:ind w:left="6235" w:hanging="360"/>
      </w:pPr>
      <w:rPr>
        <w:rFonts w:ascii="Courier New" w:cs="Courier New" w:hAnsi="Courier New" w:hint="default"/>
      </w:rPr>
    </w:lvl>
    <w:lvl w:ilvl="8">
      <w:start w:val="1"/>
      <w:numFmt w:val="bullet"/>
      <w:lvlText w:val=""/>
      <w:lvlJc w:val="left"/>
      <w:pPr>
        <w:ind w:left="6955" w:hanging="360"/>
      </w:pPr>
      <w:rPr>
        <w:rFonts w:ascii="Wingdings" w:hAnsi="Wingdings" w:hint="default"/>
      </w:rPr>
    </w:lvl>
  </w:abstractNum>
  <w:abstractNum w:abstractNumId="37">
    <w:nsid w:val="00000025"/>
    <w:multiLevelType w:val="multilevel"/>
    <w:tmpl w:val="7A3A4BE5"/>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2"/>
  </w:num>
  <w:num w:numId="2">
    <w:abstractNumId w:val="20"/>
  </w:num>
  <w:num w:numId="3">
    <w:abstractNumId w:val="11"/>
  </w:num>
  <w:num w:numId="4">
    <w:abstractNumId w:val="33"/>
  </w:num>
  <w:num w:numId="5">
    <w:abstractNumId w:val="4"/>
  </w:num>
  <w:num w:numId="6">
    <w:abstractNumId w:val="16"/>
  </w:num>
  <w:num w:numId="7">
    <w:abstractNumId w:val="3"/>
  </w:num>
  <w:num w:numId="8">
    <w:abstractNumId w:val="22"/>
  </w:num>
  <w:num w:numId="9">
    <w:abstractNumId w:val="27"/>
  </w:num>
  <w:num w:numId="10">
    <w:abstractNumId w:val="28"/>
  </w:num>
  <w:num w:numId="11">
    <w:abstractNumId w:val="34"/>
  </w:num>
  <w:num w:numId="12">
    <w:abstractNumId w:val="37"/>
  </w:num>
  <w:num w:numId="13">
    <w:abstractNumId w:val="5"/>
  </w:num>
  <w:num w:numId="14">
    <w:abstractNumId w:val="18"/>
  </w:num>
  <w:num w:numId="15">
    <w:abstractNumId w:val="1"/>
  </w:num>
  <w:num w:numId="16">
    <w:abstractNumId w:val="36"/>
  </w:num>
  <w:num w:numId="17">
    <w:abstractNumId w:val="7"/>
  </w:num>
  <w:num w:numId="18">
    <w:abstractNumId w:val="25"/>
  </w:num>
  <w:num w:numId="19">
    <w:abstractNumId w:val="23"/>
  </w:num>
  <w:num w:numId="20">
    <w:abstractNumId w:val="24"/>
  </w:num>
  <w:num w:numId="21">
    <w:abstractNumId w:val="35"/>
  </w:num>
  <w:num w:numId="22">
    <w:abstractNumId w:val="17"/>
  </w:num>
  <w:num w:numId="23">
    <w:abstractNumId w:val="21"/>
  </w:num>
  <w:num w:numId="24">
    <w:abstractNumId w:val="2"/>
  </w:num>
  <w:num w:numId="25">
    <w:abstractNumId w:val="30"/>
  </w:num>
  <w:num w:numId="26">
    <w:abstractNumId w:val="14"/>
  </w:num>
  <w:num w:numId="27">
    <w:abstractNumId w:val="13"/>
  </w:num>
  <w:num w:numId="28">
    <w:abstractNumId w:val="9"/>
  </w:num>
  <w:num w:numId="29">
    <w:abstractNumId w:val="0"/>
  </w:num>
  <w:num w:numId="30">
    <w:abstractNumId w:val="29"/>
  </w:num>
  <w:num w:numId="31">
    <w:abstractNumId w:val="6"/>
  </w:num>
  <w:num w:numId="32">
    <w:abstractNumId w:val="26"/>
  </w:num>
  <w:num w:numId="33">
    <w:abstractNumId w:val="10"/>
  </w:num>
  <w:num w:numId="34">
    <w:abstractNumId w:val="31"/>
  </w:num>
  <w:num w:numId="35">
    <w:abstractNumId w:val="8"/>
  </w:num>
  <w:num w:numId="36">
    <w:abstractNumId w:val="19"/>
  </w:num>
  <w:num w:numId="37">
    <w:abstractNumId w:val="15"/>
  </w:num>
  <w:num w:numId="38">
    <w:abstractNumId w:val="3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7"/>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rPr>
    </w:rPrDefault>
    <w:pPrDefault>
      <w:pPr/>
    </w:pPrDefault>
  </w:docDefaults>
  <w:style w:type="paragraph" w:default="1" w:styleId="style0">
    <w:name w:val="Normal"/>
    <w:next w:val="style0"/>
    <w:qFormat/>
    <w:uiPriority w:val="0"/>
    <w:pPr>
      <w:widowControl w:val="false"/>
      <w:jc w:val="both"/>
    </w:pPr>
    <w:rPr>
      <w:rFonts w:ascii="等线" w:cs="宋体" w:eastAsia="等线" w:hAnsi="等线"/>
      <w:kern w:val="2"/>
      <w:sz w:val="21"/>
      <w:szCs w:val="22"/>
      <w:lang w:val="en-US" w:bidi="ar-SA" w:eastAsia="zh-CN"/>
    </w:rPr>
  </w:style>
  <w:style w:type="paragraph" w:styleId="style1">
    <w:name w:val="heading 1"/>
    <w:basedOn w:val="style0"/>
    <w:next w:val="style0"/>
    <w:link w:val="style4111"/>
    <w:qFormat/>
    <w:uiPriority w:val="9"/>
    <w:pPr>
      <w:keepNext/>
      <w:keepLines/>
      <w:spacing w:before="340" w:after="330" w:lineRule="auto" w:line="578"/>
      <w:outlineLvl w:val="0"/>
    </w:pPr>
    <w:rPr>
      <w:b/>
      <w:bCs/>
      <w:kern w:val="44"/>
      <w:sz w:val="44"/>
      <w:szCs w:val="44"/>
    </w:rPr>
  </w:style>
  <w:style w:type="paragraph" w:styleId="style2">
    <w:name w:val="heading 2"/>
    <w:basedOn w:val="style0"/>
    <w:next w:val="style0"/>
    <w:link w:val="style4099"/>
    <w:qFormat/>
    <w:uiPriority w:val="1"/>
    <w:pPr>
      <w:keepNext/>
      <w:keepLines/>
      <w:adjustRightInd w:val="false"/>
      <w:snapToGrid w:val="false"/>
      <w:spacing w:before="120" w:after="120"/>
      <w:outlineLvl w:val="1"/>
    </w:pPr>
    <w:rPr>
      <w:rFonts w:ascii="Arial" w:cs="Arial" w:eastAsia="宋体" w:hAnsi="Arial"/>
      <w:b/>
      <w:bCs/>
      <w:sz w:val="22"/>
    </w:rPr>
  </w:style>
  <w:style w:type="paragraph" w:styleId="style3">
    <w:name w:val="heading 3"/>
    <w:basedOn w:val="style0"/>
    <w:next w:val="style0"/>
    <w:link w:val="style4106"/>
    <w:qFormat/>
    <w:uiPriority w:val="9"/>
    <w:pPr>
      <w:keepNext/>
      <w:keepLines/>
      <w:spacing w:before="260" w:after="260" w:lineRule="auto" w:line="416"/>
      <w:outlineLvl w:val="2"/>
    </w:pPr>
    <w:rPr>
      <w:b/>
      <w:bCs/>
      <w:sz w:val="32"/>
      <w:szCs w:val="32"/>
    </w:rPr>
  </w:style>
  <w:style w:type="paragraph" w:styleId="style4">
    <w:name w:val="heading 4"/>
    <w:basedOn w:val="style0"/>
    <w:next w:val="style0"/>
    <w:link w:val="style4107"/>
    <w:qFormat/>
    <w:uiPriority w:val="9"/>
    <w:pPr>
      <w:keepNext/>
      <w:keepLines/>
      <w:spacing w:before="280" w:after="290" w:lineRule="auto" w:line="376"/>
      <w:outlineLvl w:val="3"/>
    </w:pPr>
    <w:rPr>
      <w:rFonts w:ascii="等线 Light" w:cs="宋体" w:eastAsia="等线 Light" w:hAnsi="等线 Light"/>
      <w:b/>
      <w:bCs/>
      <w:sz w:val="28"/>
      <w:szCs w:val="28"/>
    </w:rPr>
  </w:style>
  <w:style w:type="paragraph" w:styleId="style5">
    <w:name w:val="heading 5"/>
    <w:basedOn w:val="style0"/>
    <w:next w:val="style0"/>
    <w:link w:val="style4122"/>
    <w:qFormat/>
    <w:uiPriority w:val="9"/>
    <w:pPr>
      <w:keepNext/>
      <w:keepLines/>
      <w:spacing w:before="280" w:after="290" w:lineRule="auto" w:line="376"/>
      <w:outlineLvl w:val="4"/>
    </w:pPr>
    <w:rPr>
      <w:b/>
      <w:bCs/>
      <w:sz w:val="28"/>
      <w:szCs w:val="28"/>
    </w:rPr>
  </w:style>
  <w:style w:type="paragraph" w:styleId="style6">
    <w:name w:val="heading 6"/>
    <w:basedOn w:val="style0"/>
    <w:next w:val="style0"/>
    <w:link w:val="style4123"/>
    <w:qFormat/>
    <w:uiPriority w:val="9"/>
    <w:pPr>
      <w:keepNext/>
      <w:keepLines/>
      <w:spacing w:before="240" w:after="64" w:lineRule="auto" w:line="320"/>
      <w:outlineLvl w:val="5"/>
    </w:pPr>
    <w:rPr>
      <w:rFonts w:ascii="等线 Light" w:cs="宋体" w:eastAsia="等线 Light" w:hAnsi="等线 Light"/>
      <w:b/>
      <w:bCs/>
      <w:sz w:val="24"/>
      <w:szCs w:val="24"/>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25">
    <w:name w:val="toc 7"/>
    <w:basedOn w:val="style0"/>
    <w:next w:val="style0"/>
    <w:qFormat/>
    <w:uiPriority w:val="39"/>
    <w:pPr>
      <w:ind w:left="1260"/>
      <w:jc w:val="left"/>
    </w:pPr>
    <w:rPr>
      <w:rFonts w:eastAsia="等线"/>
      <w:sz w:val="18"/>
      <w:szCs w:val="18"/>
    </w:rPr>
  </w:style>
  <w:style w:type="paragraph" w:styleId="style17">
    <w:name w:val="index 8"/>
    <w:basedOn w:val="style0"/>
    <w:next w:val="style0"/>
    <w:qFormat/>
    <w:uiPriority w:val="99"/>
    <w:pPr>
      <w:ind w:left="1680" w:hanging="210"/>
      <w:jc w:val="left"/>
    </w:pPr>
    <w:rPr>
      <w:rFonts w:eastAsia="等线"/>
      <w:sz w:val="20"/>
      <w:szCs w:val="20"/>
    </w:rPr>
  </w:style>
  <w:style w:type="paragraph" w:styleId="style28">
    <w:name w:val="Normal Indent"/>
    <w:basedOn w:val="style0"/>
    <w:next w:val="style28"/>
    <w:link w:val="style4135"/>
    <w:qFormat/>
    <w:uiPriority w:val="0"/>
    <w:pPr>
      <w:ind w:firstLine="420"/>
    </w:pPr>
    <w:rPr>
      <w:rFonts w:ascii="Times New Roman" w:cs="Times New Roman" w:eastAsia="宋体" w:hAnsi="Times New Roman"/>
      <w:szCs w:val="20"/>
    </w:rPr>
  </w:style>
  <w:style w:type="paragraph" w:styleId="style34">
    <w:name w:val="caption"/>
    <w:basedOn w:val="style0"/>
    <w:next w:val="style0"/>
    <w:qFormat/>
    <w:uiPriority w:val="35"/>
    <w:pPr/>
    <w:rPr>
      <w:rFonts w:ascii="等线 Light" w:cs="宋体" w:eastAsia="黑体" w:hAnsi="等线 Light"/>
      <w:sz w:val="20"/>
      <w:szCs w:val="20"/>
    </w:rPr>
  </w:style>
  <w:style w:type="paragraph" w:styleId="style14">
    <w:name w:val="index 5"/>
    <w:basedOn w:val="style0"/>
    <w:next w:val="style0"/>
    <w:qFormat/>
    <w:uiPriority w:val="99"/>
    <w:pPr>
      <w:ind w:left="1050" w:hanging="210"/>
      <w:jc w:val="left"/>
    </w:pPr>
    <w:rPr>
      <w:rFonts w:eastAsia="等线"/>
      <w:sz w:val="20"/>
      <w:szCs w:val="20"/>
    </w:rPr>
  </w:style>
  <w:style w:type="paragraph" w:styleId="style30">
    <w:name w:val="annotation text"/>
    <w:basedOn w:val="style0"/>
    <w:next w:val="style30"/>
    <w:link w:val="style4102"/>
    <w:qFormat/>
    <w:uiPriority w:val="0"/>
    <w:pPr>
      <w:jc w:val="left"/>
    </w:pPr>
    <w:rPr/>
  </w:style>
  <w:style w:type="paragraph" w:styleId="style15">
    <w:name w:val="index 6"/>
    <w:basedOn w:val="style0"/>
    <w:next w:val="style0"/>
    <w:qFormat/>
    <w:uiPriority w:val="99"/>
    <w:pPr>
      <w:ind w:left="1260" w:hanging="210"/>
      <w:jc w:val="left"/>
    </w:pPr>
    <w:rPr>
      <w:rFonts w:eastAsia="等线"/>
      <w:sz w:val="20"/>
      <w:szCs w:val="20"/>
    </w:rPr>
  </w:style>
  <w:style w:type="paragraph" w:styleId="style66">
    <w:name w:val="Body Text"/>
    <w:basedOn w:val="style0"/>
    <w:next w:val="style66"/>
    <w:link w:val="style4127"/>
    <w:qFormat/>
    <w:uiPriority w:val="1"/>
    <w:pPr>
      <w:autoSpaceDE w:val="false"/>
      <w:autoSpaceDN w:val="false"/>
      <w:jc w:val="left"/>
    </w:pPr>
    <w:rPr>
      <w:rFonts w:ascii="Times New Roman" w:cs="Times New Roman" w:eastAsia="Times New Roman" w:hAnsi="Times New Roman"/>
      <w:kern w:val="0"/>
      <w:sz w:val="24"/>
      <w:szCs w:val="24"/>
      <w:lang w:eastAsia="en-US"/>
    </w:rPr>
  </w:style>
  <w:style w:type="paragraph" w:styleId="style13">
    <w:name w:val="index 4"/>
    <w:basedOn w:val="style0"/>
    <w:next w:val="style0"/>
    <w:qFormat/>
    <w:uiPriority w:val="99"/>
    <w:pPr>
      <w:ind w:left="840" w:hanging="210"/>
      <w:jc w:val="left"/>
    </w:pPr>
    <w:rPr>
      <w:rFonts w:eastAsia="等线"/>
      <w:sz w:val="20"/>
      <w:szCs w:val="20"/>
    </w:rPr>
  </w:style>
  <w:style w:type="paragraph" w:styleId="style23">
    <w:name w:val="toc 5"/>
    <w:basedOn w:val="style0"/>
    <w:next w:val="style0"/>
    <w:qFormat/>
    <w:uiPriority w:val="39"/>
    <w:pPr>
      <w:ind w:left="840"/>
      <w:jc w:val="left"/>
    </w:pPr>
    <w:rPr>
      <w:rFonts w:eastAsia="等线"/>
      <w:sz w:val="18"/>
      <w:szCs w:val="18"/>
    </w:rPr>
  </w:style>
  <w:style w:type="paragraph" w:styleId="style21">
    <w:name w:val="toc 3"/>
    <w:basedOn w:val="style0"/>
    <w:next w:val="style0"/>
    <w:qFormat/>
    <w:uiPriority w:val="39"/>
    <w:pPr>
      <w:tabs>
        <w:tab w:val="left" w:leader="none" w:pos="1976"/>
        <w:tab w:val="right" w:leader="dot" w:pos="9622"/>
      </w:tabs>
      <w:adjustRightInd w:val="false"/>
      <w:snapToGrid w:val="false"/>
      <w:ind w:left="1134"/>
      <w:jc w:val="left"/>
    </w:pPr>
    <w:rPr>
      <w:rFonts w:ascii="Arial" w:cs="Times New Roman (Body CS)" w:eastAsia="宋体" w:hAnsi="Arial"/>
      <w:iCs/>
      <w:color w:val="000000"/>
      <w:sz w:val="20"/>
      <w:szCs w:val="20"/>
    </w:rPr>
  </w:style>
  <w:style w:type="paragraph" w:styleId="style90">
    <w:name w:val="Plain Text"/>
    <w:basedOn w:val="style0"/>
    <w:next w:val="style90"/>
    <w:link w:val="style4108"/>
    <w:qFormat/>
    <w:uiPriority w:val="99"/>
    <w:pPr>
      <w:widowControl/>
      <w:jc w:val="left"/>
    </w:pPr>
    <w:rPr>
      <w:rFonts w:ascii="Calibri" w:hAnsi="Calibri"/>
      <w:kern w:val="0"/>
      <w:sz w:val="22"/>
      <w:szCs w:val="21"/>
    </w:rPr>
  </w:style>
  <w:style w:type="paragraph" w:styleId="style26">
    <w:name w:val="toc 8"/>
    <w:basedOn w:val="style0"/>
    <w:next w:val="style0"/>
    <w:qFormat/>
    <w:uiPriority w:val="39"/>
    <w:pPr>
      <w:ind w:left="1470"/>
      <w:jc w:val="left"/>
    </w:pPr>
    <w:rPr>
      <w:rFonts w:eastAsia="等线"/>
      <w:sz w:val="18"/>
      <w:szCs w:val="18"/>
    </w:rPr>
  </w:style>
  <w:style w:type="paragraph" w:styleId="style12">
    <w:name w:val="index 3"/>
    <w:basedOn w:val="style0"/>
    <w:next w:val="style0"/>
    <w:qFormat/>
    <w:uiPriority w:val="99"/>
    <w:pPr>
      <w:ind w:left="630" w:hanging="210"/>
      <w:jc w:val="left"/>
    </w:pPr>
    <w:rPr>
      <w:rFonts w:eastAsia="等线"/>
      <w:sz w:val="20"/>
      <w:szCs w:val="20"/>
    </w:rPr>
  </w:style>
  <w:style w:type="paragraph" w:styleId="style153">
    <w:name w:val="Balloon Text"/>
    <w:basedOn w:val="style0"/>
    <w:next w:val="style153"/>
    <w:link w:val="style4098"/>
    <w:qFormat/>
    <w:uiPriority w:val="99"/>
    <w:pPr/>
    <w:rPr>
      <w:sz w:val="18"/>
      <w:szCs w:val="18"/>
    </w:rPr>
  </w:style>
  <w:style w:type="paragraph" w:styleId="style32">
    <w:name w:val="footer"/>
    <w:basedOn w:val="style0"/>
    <w:next w:val="style32"/>
    <w:link w:val="style4101"/>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100"/>
    <w:qFormat/>
    <w:uiPriority w:val="99"/>
    <w:pPr>
      <w:pBdr>
        <w:bottom w:val="single" w:sz="6" w:space="1" w:color="auto"/>
      </w:pBdr>
      <w:tabs>
        <w:tab w:val="center" w:leader="none" w:pos="4153"/>
        <w:tab w:val="right" w:leader="none" w:pos="8306"/>
      </w:tabs>
      <w:snapToGrid w:val="false"/>
      <w:jc w:val="center"/>
    </w:pPr>
    <w:rPr>
      <w:sz w:val="18"/>
      <w:szCs w:val="18"/>
    </w:rPr>
  </w:style>
  <w:style w:type="paragraph" w:styleId="style19">
    <w:name w:val="toc 1"/>
    <w:basedOn w:val="style0"/>
    <w:next w:val="style0"/>
    <w:qFormat/>
    <w:uiPriority w:val="39"/>
    <w:pPr>
      <w:tabs>
        <w:tab w:val="left" w:leader="none" w:pos="420"/>
        <w:tab w:val="right" w:leader="dot" w:pos="9622"/>
      </w:tabs>
      <w:spacing w:before="120" w:after="120"/>
      <w:jc w:val="left"/>
    </w:pPr>
    <w:rPr>
      <w:rFonts w:ascii="Arial" w:cs="Times New Roman (Body CS)" w:eastAsia="宋体" w:hAnsi="Arial"/>
      <w:b/>
      <w:bCs/>
      <w:color w:val="000000"/>
      <w:sz w:val="20"/>
      <w:szCs w:val="20"/>
    </w:rPr>
  </w:style>
  <w:style w:type="paragraph" w:styleId="style22">
    <w:name w:val="toc 4"/>
    <w:basedOn w:val="style0"/>
    <w:next w:val="style0"/>
    <w:qFormat/>
    <w:uiPriority w:val="39"/>
    <w:pPr>
      <w:ind w:left="630"/>
      <w:jc w:val="left"/>
    </w:pPr>
    <w:rPr>
      <w:rFonts w:eastAsia="等线"/>
      <w:sz w:val="18"/>
      <w:szCs w:val="18"/>
    </w:rPr>
  </w:style>
  <w:style w:type="paragraph" w:styleId="style33">
    <w:name w:val="index heading"/>
    <w:basedOn w:val="style0"/>
    <w:next w:val="style10"/>
    <w:qFormat/>
    <w:uiPriority w:val="99"/>
    <w:pPr>
      <w:spacing w:before="120" w:after="120"/>
      <w:jc w:val="left"/>
    </w:pPr>
    <w:rPr>
      <w:rFonts w:eastAsia="等线"/>
      <w:b/>
      <w:bCs/>
      <w:i/>
      <w:iCs/>
      <w:sz w:val="20"/>
      <w:szCs w:val="20"/>
    </w:rPr>
  </w:style>
  <w:style w:type="paragraph" w:styleId="style10">
    <w:name w:val="index 1"/>
    <w:basedOn w:val="style0"/>
    <w:next w:val="style0"/>
    <w:qFormat/>
    <w:uiPriority w:val="99"/>
    <w:pPr>
      <w:ind w:left="210" w:hanging="210"/>
      <w:jc w:val="left"/>
    </w:pPr>
    <w:rPr>
      <w:rFonts w:eastAsia="等线"/>
      <w:sz w:val="20"/>
      <w:szCs w:val="20"/>
    </w:rPr>
  </w:style>
  <w:style w:type="paragraph" w:styleId="style29">
    <w:name w:val="footnote text"/>
    <w:basedOn w:val="style0"/>
    <w:next w:val="style29"/>
    <w:link w:val="style4104"/>
    <w:qFormat/>
    <w:uiPriority w:val="99"/>
    <w:pPr>
      <w:widowControl/>
      <w:spacing w:afterLines="100" w:lineRule="exact" w:line="440"/>
      <w:ind w:firstLine="480" w:firstLineChars="200"/>
      <w:jc w:val="left"/>
    </w:pPr>
    <w:rPr>
      <w:rFonts w:ascii="Arial" w:cs="Times New Roman" w:eastAsia="宋体" w:hAnsi="Arial"/>
      <w:kern w:val="0"/>
      <w:sz w:val="18"/>
      <w:szCs w:val="20"/>
      <w:lang w:val="zh-CN" w:eastAsia="ko-KR"/>
    </w:rPr>
  </w:style>
  <w:style w:type="paragraph" w:styleId="style24">
    <w:name w:val="toc 6"/>
    <w:basedOn w:val="style0"/>
    <w:next w:val="style0"/>
    <w:qFormat/>
    <w:uiPriority w:val="39"/>
    <w:pPr>
      <w:ind w:left="1050"/>
      <w:jc w:val="left"/>
    </w:pPr>
    <w:rPr>
      <w:rFonts w:eastAsia="等线"/>
      <w:sz w:val="18"/>
      <w:szCs w:val="18"/>
    </w:rPr>
  </w:style>
  <w:style w:type="paragraph" w:styleId="style16">
    <w:name w:val="index 7"/>
    <w:basedOn w:val="style0"/>
    <w:next w:val="style0"/>
    <w:qFormat/>
    <w:uiPriority w:val="99"/>
    <w:pPr>
      <w:ind w:left="1470" w:hanging="210"/>
      <w:jc w:val="left"/>
    </w:pPr>
    <w:rPr>
      <w:rFonts w:eastAsia="等线"/>
      <w:sz w:val="20"/>
      <w:szCs w:val="20"/>
    </w:rPr>
  </w:style>
  <w:style w:type="paragraph" w:styleId="style18">
    <w:name w:val="index 9"/>
    <w:basedOn w:val="style0"/>
    <w:next w:val="style0"/>
    <w:qFormat/>
    <w:uiPriority w:val="99"/>
    <w:pPr>
      <w:ind w:left="1890" w:hanging="210"/>
      <w:jc w:val="left"/>
    </w:pPr>
    <w:rPr>
      <w:rFonts w:eastAsia="等线"/>
      <w:sz w:val="20"/>
      <w:szCs w:val="20"/>
    </w:rPr>
  </w:style>
  <w:style w:type="paragraph" w:styleId="style20">
    <w:name w:val="toc 2"/>
    <w:basedOn w:val="style0"/>
    <w:next w:val="style0"/>
    <w:qFormat/>
    <w:uiPriority w:val="39"/>
    <w:pPr>
      <w:tabs>
        <w:tab w:val="left" w:leader="none" w:pos="993"/>
        <w:tab w:val="right" w:leader="dot" w:pos="9622"/>
      </w:tabs>
      <w:adjustRightInd w:val="false"/>
      <w:snapToGrid w:val="false"/>
      <w:spacing w:before="60" w:after="60"/>
      <w:ind w:left="454"/>
      <w:jc w:val="left"/>
    </w:pPr>
    <w:rPr>
      <w:rFonts w:ascii="Arial" w:cs="Times New Roman (Body CS)" w:eastAsia="宋体" w:hAnsi="Arial"/>
      <w:smallCaps/>
      <w:color w:val="000000"/>
      <w:sz w:val="20"/>
      <w:szCs w:val="20"/>
    </w:rPr>
  </w:style>
  <w:style w:type="paragraph" w:styleId="style27">
    <w:name w:val="toc 9"/>
    <w:basedOn w:val="style0"/>
    <w:next w:val="style0"/>
    <w:qFormat/>
    <w:uiPriority w:val="39"/>
    <w:pPr>
      <w:ind w:left="1680"/>
      <w:jc w:val="left"/>
    </w:pPr>
    <w:rPr>
      <w:rFonts w:eastAsia="等线"/>
      <w:sz w:val="18"/>
      <w:szCs w:val="18"/>
    </w:rPr>
  </w:style>
  <w:style w:type="paragraph" w:styleId="style101">
    <w:name w:val="HTML Preformatted"/>
    <w:basedOn w:val="style0"/>
    <w:next w:val="style101"/>
    <w:link w:val="style4139"/>
    <w:qFormat/>
    <w:uiPriority w:val="99"/>
    <w:pPr>
      <w:widowControl/>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pPr>
    <w:rPr>
      <w:rFonts w:ascii="Courier New" w:cs="Courier New" w:eastAsia="Times New Roman" w:hAnsi="Courier New"/>
      <w:kern w:val="0"/>
      <w:sz w:val="20"/>
      <w:szCs w:val="20"/>
    </w:rPr>
  </w:style>
  <w:style w:type="paragraph" w:styleId="style94">
    <w:name w:val="Normal (Web)"/>
    <w:basedOn w:val="style0"/>
    <w:next w:val="style94"/>
    <w:qFormat/>
    <w:uiPriority w:val="99"/>
    <w:pPr>
      <w:widowControl/>
      <w:spacing w:before="100" w:beforeAutospacing="true" w:after="100" w:afterAutospacing="true"/>
      <w:jc w:val="left"/>
    </w:pPr>
    <w:rPr>
      <w:rFonts w:ascii="Times New Roman" w:cs="Times New Roman" w:hAnsi="Times New Roman"/>
      <w:kern w:val="0"/>
      <w:sz w:val="24"/>
      <w:szCs w:val="24"/>
      <w:lang w:eastAsia="en-US"/>
    </w:rPr>
  </w:style>
  <w:style w:type="paragraph" w:styleId="style11">
    <w:name w:val="index 2"/>
    <w:basedOn w:val="style0"/>
    <w:next w:val="style0"/>
    <w:qFormat/>
    <w:uiPriority w:val="99"/>
    <w:pPr>
      <w:ind w:left="420" w:hanging="210"/>
      <w:jc w:val="left"/>
    </w:pPr>
    <w:rPr>
      <w:rFonts w:eastAsia="等线"/>
      <w:sz w:val="20"/>
      <w:szCs w:val="20"/>
    </w:rPr>
  </w:style>
  <w:style w:type="paragraph" w:styleId="style106">
    <w:name w:val="annotation subject"/>
    <w:basedOn w:val="style30"/>
    <w:next w:val="style30"/>
    <w:link w:val="style4103"/>
    <w:qFormat/>
    <w:uiPriority w:val="99"/>
    <w:pPr/>
    <w:rPr>
      <w:b/>
      <w:bCs/>
    </w:rPr>
  </w:style>
  <w:style w:type="table" w:styleId="style154">
    <w:name w:val="Table Grid"/>
    <w:basedOn w:val="style105"/>
    <w:next w:val="style154"/>
    <w:qFormat/>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basedOn w:val="style65"/>
    <w:next w:val="style87"/>
    <w:qFormat/>
    <w:uiPriority w:val="22"/>
    <w:rPr>
      <w:b/>
    </w:rPr>
  </w:style>
  <w:style w:type="character" w:styleId="style85">
    <w:name w:val="Hyperlink"/>
    <w:basedOn w:val="style65"/>
    <w:next w:val="style85"/>
    <w:qFormat/>
    <w:uiPriority w:val="99"/>
    <w:rPr>
      <w:color w:val="0563c1"/>
      <w:u w:val="single"/>
    </w:rPr>
  </w:style>
  <w:style w:type="character" w:styleId="style39">
    <w:name w:val="annotation reference"/>
    <w:basedOn w:val="style65"/>
    <w:next w:val="style39"/>
    <w:qFormat/>
    <w:uiPriority w:val="0"/>
    <w:rPr>
      <w:sz w:val="21"/>
      <w:szCs w:val="21"/>
    </w:rPr>
  </w:style>
  <w:style w:type="character" w:styleId="style38">
    <w:name w:val="footnote reference"/>
    <w:basedOn w:val="style65"/>
    <w:next w:val="style38"/>
    <w:link w:val="style4097"/>
    <w:qFormat/>
    <w:uiPriority w:val="99"/>
    <w:rPr>
      <w:rFonts w:cs="Times New Roman"/>
      <w:vertAlign w:val="superscript"/>
    </w:rPr>
  </w:style>
  <w:style w:type="paragraph" w:customStyle="1" w:styleId="style4097">
    <w:name w:val="ftref Char Char"/>
    <w:basedOn w:val="style0"/>
    <w:next w:val="style4097"/>
    <w:link w:val="style38"/>
    <w:qFormat/>
    <w:uiPriority w:val="99"/>
    <w:pPr>
      <w:widowControl/>
      <w:spacing w:after="160" w:lineRule="exact" w:line="240"/>
      <w:jc w:val="left"/>
    </w:pPr>
    <w:rPr>
      <w:rFonts w:cs="Times New Roman"/>
      <w:vertAlign w:val="superscript"/>
    </w:rPr>
  </w:style>
  <w:style w:type="paragraph" w:styleId="style179">
    <w:name w:val="List Paragraph"/>
    <w:basedOn w:val="style0"/>
    <w:next w:val="style179"/>
    <w:link w:val="style4110"/>
    <w:qFormat/>
    <w:uiPriority w:val="34"/>
    <w:pPr>
      <w:ind w:firstLine="420" w:firstLineChars="200"/>
    </w:pPr>
    <w:rPr/>
  </w:style>
  <w:style w:type="character" w:customStyle="1" w:styleId="style4098">
    <w:name w:val="Balloon Text Char"/>
    <w:basedOn w:val="style65"/>
    <w:next w:val="style4098"/>
    <w:link w:val="style153"/>
    <w:qFormat/>
    <w:uiPriority w:val="99"/>
    <w:rPr>
      <w:sz w:val="18"/>
      <w:szCs w:val="18"/>
    </w:rPr>
  </w:style>
  <w:style w:type="character" w:customStyle="1" w:styleId="style4099">
    <w:name w:val="Heading 2 Char_4c68785d-3f37-44d1-aceb-30ff04b0d647"/>
    <w:basedOn w:val="style65"/>
    <w:next w:val="style4099"/>
    <w:link w:val="style2"/>
    <w:qFormat/>
    <w:uiPriority w:val="1"/>
    <w:rPr>
      <w:rFonts w:ascii="Arial" w:cs="Arial" w:eastAsia="宋体" w:hAnsi="Arial"/>
      <w:b/>
      <w:bCs/>
      <w:sz w:val="22"/>
    </w:rPr>
  </w:style>
  <w:style w:type="character" w:customStyle="1" w:styleId="style4100">
    <w:name w:val="Header Char_c09cf24e-24f3-46fa-b76d-6f916be47c3e"/>
    <w:basedOn w:val="style65"/>
    <w:next w:val="style4100"/>
    <w:link w:val="style31"/>
    <w:qFormat/>
    <w:uiPriority w:val="99"/>
    <w:rPr>
      <w:sz w:val="18"/>
      <w:szCs w:val="18"/>
    </w:rPr>
  </w:style>
  <w:style w:type="character" w:customStyle="1" w:styleId="style4101">
    <w:name w:val="Footer Char_56066f42-0283-4c88-a7c4-60093e23d884"/>
    <w:basedOn w:val="style65"/>
    <w:next w:val="style4101"/>
    <w:link w:val="style32"/>
    <w:qFormat/>
    <w:uiPriority w:val="99"/>
    <w:rPr>
      <w:sz w:val="18"/>
      <w:szCs w:val="18"/>
    </w:rPr>
  </w:style>
  <w:style w:type="character" w:customStyle="1" w:styleId="style4102">
    <w:name w:val="Comment Text Char"/>
    <w:basedOn w:val="style65"/>
    <w:next w:val="style4102"/>
    <w:link w:val="style30"/>
    <w:qFormat/>
    <w:uiPriority w:val="0"/>
  </w:style>
  <w:style w:type="character" w:customStyle="1" w:styleId="style4103">
    <w:name w:val="Comment Subject Char"/>
    <w:basedOn w:val="style4102"/>
    <w:next w:val="style4103"/>
    <w:link w:val="style106"/>
    <w:qFormat/>
    <w:uiPriority w:val="99"/>
    <w:rPr>
      <w:b/>
      <w:bCs/>
    </w:rPr>
  </w:style>
  <w:style w:type="character" w:customStyle="1" w:styleId="style4104">
    <w:name w:val="Footnote Text Char"/>
    <w:basedOn w:val="style65"/>
    <w:next w:val="style4104"/>
    <w:link w:val="style29"/>
    <w:qFormat/>
    <w:uiPriority w:val="99"/>
    <w:rPr>
      <w:rFonts w:ascii="Arial" w:cs="Times New Roman" w:eastAsia="宋体" w:hAnsi="Arial"/>
      <w:kern w:val="0"/>
      <w:sz w:val="18"/>
      <w:szCs w:val="20"/>
      <w:lang w:val="zh-CN" w:eastAsia="ko-KR"/>
    </w:rPr>
  </w:style>
  <w:style w:type="paragraph" w:customStyle="1" w:styleId="style4105">
    <w:name w:val="编号正文"/>
    <w:next w:val="style4105"/>
    <w:qFormat/>
    <w:uiPriority w:val="99"/>
    <w:pPr>
      <w:numPr>
        <w:ilvl w:val="0"/>
        <w:numId w:val="1"/>
      </w:numPr>
      <w:tabs>
        <w:tab w:val="left" w:leader="none" w:pos="709"/>
      </w:tabs>
      <w:spacing w:beforeLines="50" w:afterLines="50" w:lineRule="exact" w:line="440"/>
      <w:jc w:val="both"/>
    </w:pPr>
    <w:rPr>
      <w:rFonts w:ascii="宋体" w:cs="Times New Roman" w:eastAsia="宋体" w:hAnsi="宋体"/>
      <w:kern w:val="2"/>
      <w:sz w:val="24"/>
      <w:szCs w:val="24"/>
      <w:lang w:val="en-US" w:bidi="ar-SA" w:eastAsia="zh-CN"/>
    </w:rPr>
  </w:style>
  <w:style w:type="character" w:customStyle="1" w:styleId="style4106">
    <w:name w:val="Heading 3 Char_fc5dd9de-a04a-4f5e-83d4-8f34c62dc0bb"/>
    <w:basedOn w:val="style65"/>
    <w:next w:val="style4106"/>
    <w:link w:val="style3"/>
    <w:qFormat/>
    <w:uiPriority w:val="0"/>
    <w:rPr>
      <w:b/>
      <w:bCs/>
      <w:sz w:val="32"/>
      <w:szCs w:val="32"/>
    </w:rPr>
  </w:style>
  <w:style w:type="character" w:customStyle="1" w:styleId="style4107">
    <w:name w:val="Heading 4 Char_98d7b68d-a1d5-43bd-99ee-5a2c8ae16a1a"/>
    <w:basedOn w:val="style65"/>
    <w:next w:val="style4107"/>
    <w:link w:val="style4"/>
    <w:qFormat/>
    <w:uiPriority w:val="9"/>
    <w:rPr>
      <w:rFonts w:ascii="等线 Light" w:cs="宋体" w:eastAsia="等线 Light" w:hAnsi="等线 Light"/>
      <w:b/>
      <w:bCs/>
      <w:sz w:val="28"/>
      <w:szCs w:val="28"/>
    </w:rPr>
  </w:style>
  <w:style w:type="character" w:customStyle="1" w:styleId="style4108">
    <w:name w:val="Plain Text Char"/>
    <w:basedOn w:val="style65"/>
    <w:next w:val="style4108"/>
    <w:link w:val="style90"/>
    <w:qFormat/>
    <w:uiPriority w:val="99"/>
    <w:rPr>
      <w:rFonts w:ascii="Calibri" w:hAnsi="Calibri"/>
      <w:kern w:val="0"/>
      <w:sz w:val="22"/>
      <w:szCs w:val="21"/>
    </w:rPr>
  </w:style>
  <w:style w:type="paragraph" w:customStyle="1" w:styleId="style4109">
    <w:name w:val="Main Para no Chapter #-Ch 3"/>
    <w:basedOn w:val="style179"/>
    <w:next w:val="style4109"/>
    <w:qFormat/>
    <w:uiPriority w:val="0"/>
    <w:pPr>
      <w:widowControl/>
      <w:numPr>
        <w:ilvl w:val="0"/>
        <w:numId w:val="2"/>
      </w:numPr>
      <w:spacing w:before="120"/>
      <w:ind w:firstLine="0" w:firstLineChars="0"/>
      <w:contextualSpacing/>
    </w:pPr>
    <w:rPr>
      <w:rFonts w:ascii="Times New Roman" w:cs="Times New Roman" w:eastAsia="Times New Roman" w:hAnsi="Times New Roman"/>
      <w:b/>
      <w:kern w:val="0"/>
      <w:sz w:val="24"/>
      <w:szCs w:val="24"/>
      <w:lang w:eastAsia="en-US"/>
    </w:rPr>
  </w:style>
  <w:style w:type="character" w:customStyle="1" w:styleId="style4110">
    <w:name w:val="List Paragraph Char"/>
    <w:basedOn w:val="style65"/>
    <w:next w:val="style4110"/>
    <w:link w:val="style179"/>
    <w:qFormat/>
    <w:uiPriority w:val="34"/>
  </w:style>
  <w:style w:type="character" w:customStyle="1" w:styleId="style4111">
    <w:name w:val="Heading 1 Char_476d3d50-1903-41c9-bef2-b42c9a738929"/>
    <w:basedOn w:val="style65"/>
    <w:next w:val="style4111"/>
    <w:link w:val="style1"/>
    <w:qFormat/>
    <w:uiPriority w:val="9"/>
    <w:rPr>
      <w:b/>
      <w:bCs/>
      <w:kern w:val="44"/>
      <w:sz w:val="44"/>
      <w:szCs w:val="44"/>
    </w:rPr>
  </w:style>
  <w:style w:type="paragraph" w:customStyle="1" w:styleId="style4112">
    <w:name w:val="FNRefe Char Char"/>
    <w:basedOn w:val="style0"/>
    <w:next w:val="style4112"/>
    <w:qFormat/>
    <w:uiPriority w:val="99"/>
    <w:pPr>
      <w:widowControl/>
      <w:spacing w:after="160" w:lineRule="exact" w:line="240"/>
      <w:jc w:val="center"/>
    </w:pPr>
    <w:rPr>
      <w:rFonts w:ascii="Calibri" w:cs="Times New Roman" w:hAnsi="Calibri"/>
      <w:sz w:val="20"/>
      <w:szCs w:val="20"/>
      <w:vertAlign w:val="superscript"/>
    </w:rPr>
  </w:style>
  <w:style w:type="paragraph" w:customStyle="1" w:styleId="style4113">
    <w:name w:val="列出段落1"/>
    <w:basedOn w:val="style0"/>
    <w:next w:val="style4113"/>
    <w:link w:val="style4114"/>
    <w:qFormat/>
    <w:uiPriority w:val="0"/>
    <w:pPr>
      <w:widowControl/>
      <w:ind w:left="720"/>
      <w:jc w:val="center"/>
      <w:contextualSpacing/>
    </w:pPr>
    <w:rPr>
      <w:rFonts w:ascii="Calibri" w:cs="Times New Roman" w:hAnsi="Calibri"/>
      <w:sz w:val="22"/>
      <w:lang w:eastAsia="en-US"/>
    </w:rPr>
  </w:style>
  <w:style w:type="character" w:customStyle="1" w:styleId="style4114">
    <w:name w:val="列出段落字符1"/>
    <w:basedOn w:val="style65"/>
    <w:next w:val="style4114"/>
    <w:link w:val="style4113"/>
    <w:qFormat/>
    <w:uiPriority w:val="0"/>
    <w:rPr>
      <w:rFonts w:ascii="Calibri" w:cs="Times New Roman" w:hAnsi="Calibri"/>
      <w:sz w:val="22"/>
      <w:lang w:eastAsia="en-US"/>
    </w:rPr>
  </w:style>
  <w:style w:type="paragraph" w:customStyle="1" w:styleId="style4115">
    <w:name w:val="BIMPS Annex Text"/>
    <w:basedOn w:val="style0"/>
    <w:next w:val="style4115"/>
    <w:link w:val="style4116"/>
    <w:qFormat/>
    <w:uiPriority w:val="0"/>
    <w:pPr>
      <w:widowControl/>
      <w:tabs>
        <w:tab w:val="left" w:leader="none" w:pos="540"/>
      </w:tabs>
      <w:spacing w:before="160" w:after="160"/>
    </w:pPr>
    <w:rPr>
      <w:rFonts w:ascii="Times New Roman" w:eastAsia="等线" w:hAnsi="Times New Roman"/>
      <w:sz w:val="22"/>
      <w:lang w:eastAsia="en-US"/>
    </w:rPr>
  </w:style>
  <w:style w:type="character" w:customStyle="1" w:styleId="style4116">
    <w:name w:val="BIMPS Annex Text Char"/>
    <w:basedOn w:val="style65"/>
    <w:next w:val="style4116"/>
    <w:link w:val="style4115"/>
    <w:qFormat/>
    <w:uiPriority w:val="0"/>
    <w:rPr>
      <w:rFonts w:ascii="Times New Roman" w:eastAsia="等线" w:hAnsi="Times New Roman"/>
      <w:sz w:val="22"/>
      <w:lang w:eastAsia="en-US"/>
    </w:rPr>
  </w:style>
  <w:style w:type="paragraph" w:styleId="style157">
    <w:name w:val="No Spacing"/>
    <w:next w:val="style157"/>
    <w:link w:val="style4117"/>
    <w:qFormat/>
    <w:uiPriority w:val="1"/>
    <w:pPr/>
    <w:rPr>
      <w:rFonts w:ascii="Calibri" w:cs="Times New Roman" w:eastAsia="宋体" w:hAnsi="Calibri"/>
      <w:kern w:val="0"/>
      <w:sz w:val="22"/>
      <w:szCs w:val="22"/>
      <w:lang w:val="en-US" w:bidi="ar-SA" w:eastAsia="en-US"/>
    </w:rPr>
  </w:style>
  <w:style w:type="character" w:customStyle="1" w:styleId="style4117">
    <w:name w:val="No Spacing Char"/>
    <w:next w:val="style4117"/>
    <w:link w:val="style157"/>
    <w:qFormat/>
    <w:uiPriority w:val="1"/>
    <w:rPr>
      <w:rFonts w:ascii="Calibri" w:cs="Times New Roman" w:eastAsia="宋体" w:hAnsi="Calibri"/>
      <w:kern w:val="0"/>
      <w:sz w:val="22"/>
      <w:lang w:eastAsia="en-US"/>
    </w:rPr>
  </w:style>
  <w:style w:type="paragraph" w:customStyle="1" w:styleId="style4118">
    <w:name w:val="Citation List"/>
    <w:basedOn w:val="style0"/>
    <w:next w:val="style179"/>
    <w:link w:val="style4119"/>
    <w:qFormat/>
    <w:uiPriority w:val="34"/>
    <w:pPr>
      <w:widowControl/>
      <w:spacing w:after="200" w:lineRule="auto" w:line="276"/>
      <w:ind w:left="720"/>
      <w:jc w:val="left"/>
      <w:contextualSpacing/>
    </w:pPr>
    <w:rPr>
      <w:sz w:val="22"/>
      <w:lang w:eastAsia="en-US"/>
    </w:rPr>
  </w:style>
  <w:style w:type="character" w:customStyle="1" w:styleId="style4119">
    <w:name w:val="列出段落 Char"/>
    <w:next w:val="style4119"/>
    <w:link w:val="style4118"/>
    <w:qFormat/>
    <w:uiPriority w:val="34"/>
    <w:rPr>
      <w:sz w:val="22"/>
      <w:szCs w:val="22"/>
      <w:lang w:eastAsia="en-US"/>
    </w:rPr>
  </w:style>
  <w:style w:type="paragraph" w:customStyle="1" w:styleId="style4120">
    <w:name w:val="TOC Heading_2df9e88c-b152-45bf-903a-85237cf32d82"/>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f5597"/>
      <w:kern w:val="0"/>
      <w:sz w:val="32"/>
      <w:szCs w:val="32"/>
    </w:rPr>
  </w:style>
  <w:style w:type="paragraph" w:customStyle="1" w:styleId="style4121">
    <w:name w:val="无间隔2"/>
    <w:next w:val="style4121"/>
    <w:qFormat/>
    <w:uiPriority w:val="1"/>
    <w:pPr/>
    <w:rPr>
      <w:rFonts w:ascii="Calibri" w:cs="Times New Roman" w:eastAsia="宋体" w:hAnsi="Calibri"/>
      <w:kern w:val="0"/>
      <w:sz w:val="22"/>
      <w:szCs w:val="22"/>
      <w:lang w:val="en-US" w:bidi="ar-SA" w:eastAsia="en-US"/>
    </w:rPr>
  </w:style>
  <w:style w:type="character" w:customStyle="1" w:styleId="style4122">
    <w:name w:val="Heading 5 Char_6a81eb82-d50e-4b4d-b55a-e38c4eb6fe15"/>
    <w:basedOn w:val="style65"/>
    <w:next w:val="style4122"/>
    <w:link w:val="style5"/>
    <w:qFormat/>
    <w:uiPriority w:val="9"/>
    <w:rPr>
      <w:b/>
      <w:bCs/>
      <w:sz w:val="28"/>
      <w:szCs w:val="28"/>
    </w:rPr>
  </w:style>
  <w:style w:type="character" w:customStyle="1" w:styleId="style4123">
    <w:name w:val="Heading 6 Char_edb4dc01-7c9f-45e5-9f98-c74d698fe62f"/>
    <w:basedOn w:val="style65"/>
    <w:next w:val="style4123"/>
    <w:link w:val="style6"/>
    <w:qFormat/>
    <w:uiPriority w:val="9"/>
    <w:rPr>
      <w:rFonts w:ascii="等线 Light" w:cs="宋体" w:eastAsia="等线 Light" w:hAnsi="等线 Light"/>
      <w:b/>
      <w:bCs/>
      <w:sz w:val="24"/>
      <w:szCs w:val="24"/>
    </w:rPr>
  </w:style>
  <w:style w:type="paragraph" w:customStyle="1" w:styleId="style4124">
    <w:name w:val="Table Paragraph"/>
    <w:basedOn w:val="style0"/>
    <w:next w:val="style4124"/>
    <w:qFormat/>
    <w:uiPriority w:val="1"/>
    <w:pPr>
      <w:spacing w:before="118"/>
      <w:ind w:left="859" w:hanging="360"/>
    </w:pPr>
    <w:rPr/>
  </w:style>
  <w:style w:type="paragraph" w:customStyle="1" w:styleId="style4125">
    <w:name w:val="BVI fnr Car Car Car Car Char"/>
    <w:basedOn w:val="style0"/>
    <w:next w:val="style4125"/>
    <w:qFormat/>
    <w:uiPriority w:val="99"/>
    <w:pPr>
      <w:adjustRightInd w:val="false"/>
      <w:spacing w:before="120" w:after="160" w:lineRule="exact" w:line="240"/>
    </w:pPr>
    <w:rPr>
      <w:kern w:val="0"/>
      <w:sz w:val="22"/>
      <w:vertAlign w:val="superscript"/>
      <w:lang w:eastAsia="en-US"/>
    </w:rPr>
  </w:style>
  <w:style w:type="table" w:customStyle="1" w:styleId="style4126">
    <w:name w:val="Table Grid8"/>
    <w:basedOn w:val="style105"/>
    <w:next w:val="style4126"/>
    <w:qFormat/>
    <w:uiPriority w:val="39"/>
    <w:pPr/>
    <w:rPr>
      <w:rFonts w:ascii="Times New Roman" w:hAnsi="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27">
    <w:name w:val="Body Text Char"/>
    <w:basedOn w:val="style65"/>
    <w:next w:val="style4127"/>
    <w:link w:val="style66"/>
    <w:qFormat/>
    <w:uiPriority w:val="1"/>
    <w:rPr>
      <w:rFonts w:ascii="Times New Roman" w:cs="Times New Roman" w:eastAsia="Times New Roman" w:hAnsi="Times New Roman"/>
      <w:kern w:val="0"/>
      <w:sz w:val="24"/>
      <w:szCs w:val="24"/>
      <w:lang w:eastAsia="en-US"/>
    </w:rPr>
  </w:style>
  <w:style w:type="paragraph" w:customStyle="1" w:styleId="style4128">
    <w:name w:val="Style1"/>
    <w:basedOn w:val="style2"/>
    <w:next w:val="style4128"/>
    <w:link w:val="style4129"/>
    <w:qFormat/>
    <w:uiPriority w:val="0"/>
    <w:pPr>
      <w:keepNext w:val="false"/>
      <w:keepLines w:val="false"/>
      <w:tabs>
        <w:tab w:val="left" w:leader="none" w:pos="716"/>
      </w:tabs>
      <w:autoSpaceDE w:val="false"/>
      <w:autoSpaceDN w:val="false"/>
      <w:spacing w:before="153" w:after="0"/>
      <w:ind w:left="140"/>
    </w:pPr>
    <w:rPr>
      <w:rFonts w:ascii="Times New Roman" w:cs="Times New Roman" w:eastAsia="Times New Roman" w:hAnsi="Times New Roman"/>
      <w:i/>
      <w:kern w:val="0"/>
      <w:sz w:val="24"/>
      <w:szCs w:val="24"/>
      <w:lang w:eastAsia="en-US"/>
    </w:rPr>
  </w:style>
  <w:style w:type="character" w:customStyle="1" w:styleId="style4129">
    <w:name w:val="Style1 Char"/>
    <w:basedOn w:val="style4099"/>
    <w:next w:val="style4129"/>
    <w:link w:val="style4128"/>
    <w:qFormat/>
    <w:uiPriority w:val="0"/>
    <w:rPr>
      <w:rFonts w:ascii="Times New Roman" w:cs="Times New Roman" w:eastAsia="Times New Roman" w:hAnsi="Times New Roman"/>
      <w:i/>
      <w:kern w:val="0"/>
      <w:sz w:val="24"/>
      <w:szCs w:val="24"/>
      <w:lang w:eastAsia="en-US"/>
    </w:rPr>
  </w:style>
  <w:style w:type="paragraph" w:customStyle="1" w:styleId="style4130">
    <w:name w:val="Numbered Paragraph"/>
    <w:basedOn w:val="style0"/>
    <w:next w:val="style4130"/>
    <w:link w:val="style4131"/>
    <w:qFormat/>
    <w:uiPriority w:val="0"/>
    <w:pPr>
      <w:widowControl/>
      <w:numPr>
        <w:ilvl w:val="0"/>
        <w:numId w:val="3"/>
      </w:numPr>
      <w:spacing w:after="240"/>
      <w:jc w:val="left"/>
    </w:pPr>
    <w:rPr>
      <w:rFonts w:ascii="Calibri" w:cs="Arial" w:eastAsia="Times New Roman" w:hAnsi="Calibri"/>
      <w:kern w:val="0"/>
      <w:sz w:val="20"/>
      <w:szCs w:val="24"/>
      <w:lang w:eastAsia="en-US"/>
    </w:rPr>
  </w:style>
  <w:style w:type="character" w:customStyle="1" w:styleId="style4131">
    <w:name w:val="Numbered Paragraph Char"/>
    <w:next w:val="style4131"/>
    <w:link w:val="style4130"/>
    <w:qFormat/>
    <w:uiPriority w:val="0"/>
    <w:rPr>
      <w:rFonts w:ascii="Calibri" w:cs="Arial" w:eastAsia="Times New Roman" w:hAnsi="Calibri"/>
      <w:kern w:val="0"/>
      <w:sz w:val="20"/>
      <w:szCs w:val="24"/>
      <w:lang w:eastAsia="en-US"/>
    </w:rPr>
  </w:style>
  <w:style w:type="paragraph" w:customStyle="1" w:styleId="style4132">
    <w:name w:val="Revision_5921871e-a94c-40cb-9209-f3d9f4e3055e"/>
    <w:next w:val="style4132"/>
    <w:qFormat/>
    <w:uiPriority w:val="99"/>
    <w:pPr/>
    <w:rPr>
      <w:rFonts w:ascii="等线" w:cs="宋体" w:eastAsia="宋体" w:hAnsi="等线"/>
      <w:kern w:val="0"/>
      <w:sz w:val="22"/>
      <w:szCs w:val="22"/>
      <w:lang w:val="en-US" w:bidi="ar-SA" w:eastAsia="en-US"/>
    </w:rPr>
  </w:style>
  <w:style w:type="table" w:customStyle="1" w:styleId="style4133">
    <w:name w:val="网格型1"/>
    <w:basedOn w:val="style105"/>
    <w:next w:val="style4133"/>
    <w:qFormat/>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34">
    <w:name w:val="未处理的提及1"/>
    <w:basedOn w:val="style65"/>
    <w:next w:val="style4134"/>
    <w:qFormat/>
    <w:uiPriority w:val="99"/>
    <w:rPr>
      <w:color w:val="605e5c"/>
      <w:shd w:val="clear" w:color="auto" w:fill="e1dfdd"/>
    </w:rPr>
  </w:style>
  <w:style w:type="character" w:customStyle="1" w:styleId="style4135">
    <w:name w:val="Normal Indent Char"/>
    <w:next w:val="style4135"/>
    <w:link w:val="style28"/>
    <w:qFormat/>
    <w:uiPriority w:val="0"/>
    <w:rPr>
      <w:rFonts w:ascii="Times New Roman" w:cs="Times New Roman" w:eastAsia="宋体" w:hAnsi="Times New Roman"/>
      <w:szCs w:val="20"/>
    </w:rPr>
  </w:style>
  <w:style w:type="paragraph" w:customStyle="1" w:styleId="style4136">
    <w:name w:val="Fussnotenzeichen"/>
    <w:basedOn w:val="style0"/>
    <w:next w:val="style4136"/>
    <w:qFormat/>
    <w:uiPriority w:val="99"/>
    <w:pPr>
      <w:widowControl/>
    </w:pPr>
    <w:rPr>
      <w:rFonts w:eastAsia="宋体"/>
      <w:kern w:val="0"/>
      <w:sz w:val="22"/>
      <w:vertAlign w:val="superscript"/>
      <w:lang w:eastAsia="en-US"/>
    </w:rPr>
  </w:style>
  <w:style w:type="character" w:customStyle="1" w:styleId="style4137">
    <w:name w:val="16"/>
    <w:next w:val="style4137"/>
    <w:qFormat/>
    <w:uiPriority w:val="0"/>
    <w:rPr>
      <w:rFonts w:ascii="Calibri" w:cs="Times New Roman" w:eastAsia="宋体" w:hAnsi="Calibri" w:hint="default"/>
      <w:b/>
      <w:bCs/>
    </w:rPr>
  </w:style>
  <w:style w:type="paragraph" w:customStyle="1" w:styleId="style4138">
    <w:name w:val="Char"/>
    <w:basedOn w:val="style0"/>
    <w:next w:val="style4138"/>
    <w:qFormat/>
    <w:uiPriority w:val="0"/>
    <w:pPr/>
    <w:rPr>
      <w:rFonts w:ascii="Tahoma" w:cs="Times New Roman" w:eastAsia="宋体" w:hAnsi="Tahoma"/>
      <w:sz w:val="24"/>
      <w:szCs w:val="20"/>
    </w:rPr>
  </w:style>
  <w:style w:type="character" w:customStyle="1" w:styleId="style4139">
    <w:name w:val="HTML Preformatted Char"/>
    <w:basedOn w:val="style65"/>
    <w:next w:val="style4139"/>
    <w:link w:val="style101"/>
    <w:qFormat/>
    <w:uiPriority w:val="99"/>
    <w:rPr>
      <w:rFonts w:ascii="Courier New" w:cs="Courier New" w:eastAsia="Times New Roman" w:hAnsi="Courier New"/>
      <w:kern w:val="0"/>
      <w:sz w:val="20"/>
      <w:szCs w:val="20"/>
    </w:rPr>
  </w:style>
</w:styles>
</file>

<file path=word/_rels/document.xml.rels><?xml version="1.0" encoding="UTF-8"?>
<Relationships xmlns="http://schemas.openxmlformats.org/package/2006/relationships"><Relationship Id="rId40" Type="http://schemas.openxmlformats.org/officeDocument/2006/relationships/image" Target="media/image23.jpeg"/><Relationship Id="rId42" Type="http://schemas.openxmlformats.org/officeDocument/2006/relationships/image" Target="media/image25.jpeg"/><Relationship Id="rId41" Type="http://schemas.openxmlformats.org/officeDocument/2006/relationships/image" Target="media/image24.jpeg"/><Relationship Id="rId44" Type="http://schemas.openxmlformats.org/officeDocument/2006/relationships/image" Target="media/image27.jpeg"/><Relationship Id="rId43" Type="http://schemas.openxmlformats.org/officeDocument/2006/relationships/image" Target="media/image26.jpeg"/><Relationship Id="rId46" Type="http://schemas.openxmlformats.org/officeDocument/2006/relationships/image" Target="media/image11.png"/><Relationship Id="rId45"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footer" Target="footer8.xml"/><Relationship Id="rId48" Type="http://schemas.openxmlformats.org/officeDocument/2006/relationships/image" Target="media/image29.jpeg"/><Relationship Id="rId47" Type="http://schemas.openxmlformats.org/officeDocument/2006/relationships/image" Target="media/image28.jpeg"/><Relationship Id="rId49" Type="http://schemas.openxmlformats.org/officeDocument/2006/relationships/footnotes" Target="footnotes.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header" Target="header7.xml"/><Relationship Id="rId31" Type="http://schemas.openxmlformats.org/officeDocument/2006/relationships/image" Target="media/image14.jpeg"/><Relationship Id="rId30" Type="http://schemas.openxmlformats.org/officeDocument/2006/relationships/image" Target="media/image13.jpeg"/><Relationship Id="rId33" Type="http://schemas.openxmlformats.org/officeDocument/2006/relationships/image" Target="media/image16.jpeg"/><Relationship Id="rId32" Type="http://schemas.openxmlformats.org/officeDocument/2006/relationships/image" Target="media/image15.jpeg"/><Relationship Id="rId35" Type="http://schemas.openxmlformats.org/officeDocument/2006/relationships/image" Target="media/image18.jpeg"/><Relationship Id="rId34" Type="http://schemas.openxmlformats.org/officeDocument/2006/relationships/image" Target="media/image17.jpeg"/><Relationship Id="rId37" Type="http://schemas.openxmlformats.org/officeDocument/2006/relationships/image" Target="media/image20.jpeg"/><Relationship Id="rId36" Type="http://schemas.openxmlformats.org/officeDocument/2006/relationships/image" Target="media/image19.jpeg"/><Relationship Id="rId39" Type="http://schemas.openxmlformats.org/officeDocument/2006/relationships/image" Target="media/image22.jpeg"/><Relationship Id="rId38" Type="http://schemas.openxmlformats.org/officeDocument/2006/relationships/image" Target="media/image21.jpeg"/><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jpeg"/><Relationship Id="rId26" Type="http://schemas.openxmlformats.org/officeDocument/2006/relationships/image" Target="media/image9.jpeg"/><Relationship Id="rId25" Type="http://schemas.openxmlformats.org/officeDocument/2006/relationships/image" Target="media/image8.jpeg"/><Relationship Id="rId28" Type="http://schemas.openxmlformats.org/officeDocument/2006/relationships/image" Target="media/image11.jpeg"/><Relationship Id="rId27" Type="http://schemas.openxmlformats.org/officeDocument/2006/relationships/image" Target="media/image10.jpeg"/><Relationship Id="rId29" Type="http://schemas.openxmlformats.org/officeDocument/2006/relationships/image" Target="media/image12.jpeg"/><Relationship Id="rId51" Type="http://schemas.openxmlformats.org/officeDocument/2006/relationships/fontTable" Target="fontTable.xml"/><Relationship Id="rId50" Type="http://schemas.openxmlformats.org/officeDocument/2006/relationships/styles" Target="styles.xml"/><Relationship Id="rId53" Type="http://schemas.openxmlformats.org/officeDocument/2006/relationships/theme" Target="theme/theme1.xml"/><Relationship Id="rId52" Type="http://schemas.openxmlformats.org/officeDocument/2006/relationships/settings" Target="settings.xml"/><Relationship Id="rId11" Type="http://schemas.openxmlformats.org/officeDocument/2006/relationships/image" Target="media/image2.png"/><Relationship Id="rId55" Type="http://schemas.openxmlformats.org/officeDocument/2006/relationships/customXml" Target="../customXml/item2.xml"/><Relationship Id="rId10" Type="http://schemas.openxmlformats.org/officeDocument/2006/relationships/image" Target="media/image1.png"/><Relationship Id="rId5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9" Type="http://schemas.openxmlformats.org/officeDocument/2006/relationships/image" Target="media/image6.png"/><Relationship Id="rId1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7986D4-36CC-4FC3-85D1-692908052E2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Words>135253</Words>
  <Pages>101</Pages>
  <Characters>139742</Characters>
  <Application>WPS Office</Application>
  <DocSecurity>4</DocSecurity>
  <Paragraphs>3294</Paragraphs>
  <ScaleCrop>false</ScaleCrop>
  <LinksUpToDate>false</LinksUpToDate>
  <CharactersWithSpaces>140725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2022-03-08T06:20:00Z</dcterms:created>
  <dc:creator>Z GX</dc:creator>
  <lastModifiedBy>DBY-W09</lastModifiedBy>
  <lastPrinted>2021-07-23T02:22:00Z</lastPrinted>
  <dcterms:modified xsi:type="dcterms:W3CDTF">2023-09-07T11:13:16Z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3fdf0-05a2-4411-bba7-a0945bfb4a0a_Enabled">
    <vt:lpwstr>true</vt:lpwstr>
  </property>
  <property fmtid="{D5CDD505-2E9C-101B-9397-08002B2CF9AE}" pid="3" name="MSIP_Label_48e3fdf0-05a2-4411-bba7-a0945bfb4a0a_SetDate">
    <vt:lpwstr>2022-03-08T06:20:23Z</vt:lpwstr>
  </property>
  <property fmtid="{D5CDD505-2E9C-101B-9397-08002B2CF9AE}" pid="4" name="MSIP_Label_48e3fdf0-05a2-4411-bba7-a0945bfb4a0a_Method">
    <vt:lpwstr>Privileged</vt:lpwstr>
  </property>
  <property fmtid="{D5CDD505-2E9C-101B-9397-08002B2CF9AE}" pid="5" name="MSIP_Label_48e3fdf0-05a2-4411-bba7-a0945bfb4a0a_Name">
    <vt:lpwstr>Label Only - Official Use</vt:lpwstr>
  </property>
  <property fmtid="{D5CDD505-2E9C-101B-9397-08002B2CF9AE}" pid="6" name="MSIP_Label_48e3fdf0-05a2-4411-bba7-a0945bfb4a0a_SiteId">
    <vt:lpwstr>31a2fec0-266b-4c67-b56e-2796d8f59c36</vt:lpwstr>
  </property>
  <property fmtid="{D5CDD505-2E9C-101B-9397-08002B2CF9AE}" pid="7" name="MSIP_Label_48e3fdf0-05a2-4411-bba7-a0945bfb4a0a_ActionId">
    <vt:lpwstr>a887eab3-16a8-4b88-b373-1afe21695919</vt:lpwstr>
  </property>
  <property fmtid="{D5CDD505-2E9C-101B-9397-08002B2CF9AE}" pid="8" name="MSIP_Label_48e3fdf0-05a2-4411-bba7-a0945bfb4a0a_ContentBits">
    <vt:lpwstr>2</vt:lpwstr>
  </property>
  <property fmtid="{D5CDD505-2E9C-101B-9397-08002B2CF9AE}" pid="9" name="KSOProductBuildVer">
    <vt:lpwstr>2052-11.8.6.9023</vt:lpwstr>
  </property>
  <property fmtid="{D5CDD505-2E9C-101B-9397-08002B2CF9AE}" pid="10" name="ICV">
    <vt:lpwstr>d6ddce16d0c947788196f31e874ad0f6_22</vt:lpwstr>
  </property>
</Properties>
</file>