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bookmarkEnd w:id="0"/>
    <w:p>
      <w:pPr>
        <w:adjustRightInd w:val="0"/>
        <w:snapToGrid w:val="0"/>
        <w:spacing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第三次全国土壤普查理化性状检测指标</w:t>
      </w:r>
    </w:p>
    <w:tbl>
      <w:tblPr>
        <w:tblStyle w:val="2"/>
        <w:tblW w:w="553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390"/>
        <w:gridCol w:w="728"/>
        <w:gridCol w:w="3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检测指标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序号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黑体" w:hAns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sz w:val="24"/>
                <w:szCs w:val="24"/>
              </w:rPr>
              <w:t>检测指标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eastAsia="仿宋_GB2312"/>
                <w:sz w:val="24"/>
                <w:szCs w:val="24"/>
              </w:rPr>
              <w:t>机械组成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4"/>
                <w:rFonts w:eastAsia="仿宋_GB2312"/>
                <w:sz w:val="24"/>
                <w:szCs w:val="24"/>
              </w:rPr>
              <w:t>土壤水稳性大团聚体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6"/>
                <w:rFonts w:eastAsia="仿宋_GB2312"/>
                <w:sz w:val="24"/>
                <w:szCs w:val="24"/>
              </w:rPr>
              <w:t>pH</w:t>
            </w:r>
            <w:r>
              <w:rPr>
                <w:rStyle w:val="7"/>
                <w:rFonts w:ascii="Times New Roman" w:hAnsi="Times New Roman" w:eastAsia="仿宋_GB2312" w:cs="Times New Roman"/>
                <w:sz w:val="24"/>
                <w:szCs w:val="24"/>
              </w:rPr>
              <w:t>值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4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可交换酸度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速效钾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5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水解性酸度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27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缓效钾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6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阳离子交换量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7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交换性盐基及盐基总量（交换性钙、交换性镁、交换性钠、盐基总量）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29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8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水溶性盐（水溶性盐总量、电导率、水溶性钠离子、钾离子、钙离子、镁离子、碳酸根、碳酸氢根、硫酸根、氯根）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9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有机质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10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全氮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11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全磷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12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全钾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13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全硫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有效钼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14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全硼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36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碳酸钙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15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全硒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37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游离铁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16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全铁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38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17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全锰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39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18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全铜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19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全锌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41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20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全钼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42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21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全铝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43</w:t>
            </w: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仿宋_GB2312" w:cs="Times New Roman"/>
                <w:sz w:val="24"/>
                <w:szCs w:val="24"/>
              </w:rPr>
              <w:t>总镍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9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22</w:t>
            </w:r>
          </w:p>
        </w:tc>
        <w:tc>
          <w:tcPr>
            <w:tcW w:w="2327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全硅</w:t>
            </w:r>
          </w:p>
        </w:tc>
        <w:tc>
          <w:tcPr>
            <w:tcW w:w="386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918" w:type="pct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rPr>
          <w:rFonts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E3514"/>
    <w:rsid w:val="22D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uiPriority w:val="0"/>
    <w:rPr>
      <w:rFonts w:hint="default" w:ascii="Times New Roman" w:hAnsi="Times New Roman" w:eastAsia="宋体" w:cs="Times New Roman"/>
      <w:color w:val="000000"/>
      <w:sz w:val="22"/>
      <w:szCs w:val="22"/>
      <w:u w:val="none"/>
      <w:lang w:val="en-US" w:eastAsia="zh-CN" w:bidi="ar-SA"/>
    </w:rPr>
  </w:style>
  <w:style w:type="character" w:customStyle="1" w:styleId="5">
    <w:name w:val="font01"/>
    <w:uiPriority w:val="0"/>
    <w:rPr>
      <w:rFonts w:hint="eastAsia" w:ascii="宋体" w:hAnsi="宋体" w:eastAsia="宋体" w:cs="宋体"/>
      <w:color w:val="000000"/>
      <w:sz w:val="22"/>
      <w:szCs w:val="22"/>
      <w:u w:val="none"/>
      <w:lang w:val="en-US" w:eastAsia="zh-CN" w:bidi="ar-SA"/>
    </w:rPr>
  </w:style>
  <w:style w:type="character" w:customStyle="1" w:styleId="6">
    <w:name w:val="font11"/>
    <w:qFormat/>
    <w:uiPriority w:val="0"/>
    <w:rPr>
      <w:rFonts w:hint="default" w:ascii="Times New Roman" w:hAnsi="Times New Roman" w:eastAsia="宋体" w:cs="Times New Roman"/>
      <w:color w:val="000000"/>
      <w:sz w:val="30"/>
      <w:szCs w:val="30"/>
      <w:u w:val="none"/>
      <w:lang w:val="en-US" w:eastAsia="zh-CN" w:bidi="ar-SA"/>
    </w:rPr>
  </w:style>
  <w:style w:type="character" w:customStyle="1" w:styleId="7">
    <w:name w:val="font101"/>
    <w:qFormat/>
    <w:uiPriority w:val="0"/>
    <w:rPr>
      <w:rFonts w:hint="default" w:ascii="等线" w:hAnsi="等线" w:eastAsia="等线" w:cs="等线"/>
      <w:color w:val="000000"/>
      <w:sz w:val="22"/>
      <w:szCs w:val="22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2022-03-02T02:14:00Z</dcterms:created>
  <dc:creator>1</dc:creator>
  <cp:lastModifiedBy>1</cp:lastModifiedBy>
  <dcterms:modified xsi:type="dcterms:W3CDTF">2022-03-02T02:14:36Z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908E40F2F993439BAA47048DF8C1BD90</vt:lpwstr>
  </property>
</Properties>
</file>