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2022年柔性引进农业行业重点产业和重点领域高端人才（团队）课题研究项目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课题研究功能定位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农业行业重点产业和重点领域高端人才（团队）</w:t>
      </w:r>
      <w:r>
        <w:rPr>
          <w:rFonts w:ascii="Times New Roman" w:hAnsi="Times New Roman" w:eastAsia="仿宋_GB2312"/>
          <w:sz w:val="32"/>
          <w:szCs w:val="32"/>
        </w:rPr>
        <w:t>是由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领衔人（院士、首席科学家、产业重点人才）</w:t>
      </w:r>
      <w:r>
        <w:rPr>
          <w:rFonts w:ascii="Times New Roman" w:hAnsi="Times New Roman" w:eastAsia="仿宋_GB2312"/>
          <w:sz w:val="32"/>
          <w:szCs w:val="32"/>
        </w:rPr>
        <w:t>和一定数量的优秀科技人员组成，以团队协作为基础，以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农业</w:t>
      </w:r>
      <w:r>
        <w:rPr>
          <w:rFonts w:ascii="Times New Roman" w:hAnsi="Times New Roman" w:eastAsia="仿宋_GB2312"/>
          <w:sz w:val="32"/>
          <w:szCs w:val="32"/>
        </w:rPr>
        <w:t>科技创新和产业发展的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重大</w:t>
      </w:r>
      <w:r>
        <w:rPr>
          <w:rFonts w:ascii="Times New Roman" w:hAnsi="Times New Roman" w:eastAsia="仿宋_GB2312"/>
          <w:sz w:val="32"/>
          <w:szCs w:val="32"/>
        </w:rPr>
        <w:t>科技问题为目标，在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与依托单位</w:t>
      </w:r>
      <w:r>
        <w:rPr>
          <w:rFonts w:ascii="Times New Roman" w:hAnsi="Times New Roman" w:eastAsia="仿宋_GB2312"/>
          <w:sz w:val="32"/>
          <w:szCs w:val="32"/>
        </w:rPr>
        <w:t>合作的基础上所形成分工协作、优势互补的科技创新群体，旨在全省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农业</w:t>
      </w:r>
      <w:r>
        <w:rPr>
          <w:rFonts w:ascii="Times New Roman" w:hAnsi="Times New Roman" w:eastAsia="仿宋_GB2312"/>
          <w:sz w:val="32"/>
          <w:szCs w:val="32"/>
        </w:rPr>
        <w:t>重点产业、重点领域凝聚带动一批高层次科技创新人才队伍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，助推贵州山地特色农业高质量发展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课题研究</w:t>
      </w:r>
      <w:r>
        <w:rPr>
          <w:rFonts w:ascii="Times New Roman" w:hAnsi="Times New Roman" w:eastAsia="方正黑体_GBK"/>
          <w:sz w:val="32"/>
          <w:szCs w:val="32"/>
        </w:rPr>
        <w:t xml:space="preserve">重点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农业行业重点产业和重点领域高端人才（团队）</w:t>
      </w:r>
      <w:r>
        <w:rPr>
          <w:rFonts w:ascii="Times New Roman" w:hAnsi="Times New Roman" w:eastAsia="仿宋_GB2312"/>
          <w:sz w:val="32"/>
          <w:szCs w:val="32"/>
        </w:rPr>
        <w:t>建设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的重点为</w:t>
      </w:r>
      <w:r>
        <w:rPr>
          <w:rFonts w:ascii="Times New Roman" w:hAnsi="Times New Roman" w:eastAsia="仿宋_GB2312"/>
          <w:sz w:val="32"/>
          <w:szCs w:val="32"/>
        </w:rPr>
        <w:t>创新能力提升（科技产出，取得的标志性成果及贡献、影响）、人才队伍建设、创新平台（重点学科）建设、交流与合作、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产生经济和社会效益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三、支持方式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（一）支持标准及实施周期。</w:t>
      </w:r>
      <w:r>
        <w:rPr>
          <w:rFonts w:hint="eastAsia" w:ascii="Times New Roman" w:hAnsi="Times New Roman" w:eastAsia="仿宋_GB2312"/>
          <w:bCs/>
          <w:sz w:val="32"/>
          <w:szCs w:val="32"/>
          <w:lang w:val="zh-CN"/>
        </w:rPr>
        <w:t>院士（团队）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资助经费不超过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Cs/>
          <w:sz w:val="32"/>
          <w:szCs w:val="32"/>
        </w:rPr>
        <w:t>0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万元/项，</w:t>
      </w:r>
      <w:r>
        <w:rPr>
          <w:rFonts w:hint="eastAsia" w:ascii="Times New Roman" w:hAnsi="Times New Roman" w:eastAsia="仿宋_GB2312"/>
          <w:bCs/>
          <w:sz w:val="32"/>
          <w:szCs w:val="32"/>
          <w:lang w:val="zh-CN"/>
        </w:rPr>
        <w:t>其他产业重点人才（团队）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资助经费不超过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sz w:val="32"/>
          <w:szCs w:val="32"/>
        </w:rPr>
        <w:t>0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万元/项</w:t>
      </w:r>
      <w:r>
        <w:rPr>
          <w:rFonts w:hint="eastAsia" w:ascii="Times New Roman" w:hAnsi="Times New Roman" w:eastAsia="仿宋_GB2312"/>
          <w:bCs/>
          <w:sz w:val="32"/>
          <w:szCs w:val="32"/>
          <w:lang w:val="zh-CN"/>
        </w:rPr>
        <w:t>，实施周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期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仿宋_GB2312"/>
          <w:bCs/>
          <w:sz w:val="32"/>
          <w:szCs w:val="32"/>
          <w:lang w:val="zh-CN"/>
        </w:rPr>
        <w:t>，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由依托单位</w:t>
      </w:r>
      <w:r>
        <w:rPr>
          <w:rFonts w:hint="eastAsia" w:ascii="Times New Roman" w:hAnsi="Times New Roman" w:eastAsia="仿宋_GB2312"/>
          <w:bCs/>
          <w:sz w:val="32"/>
          <w:szCs w:val="32"/>
          <w:lang w:val="zh-CN"/>
        </w:rPr>
        <w:t>和人才（团队）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组建运行。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/>
          <w:i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（二）支持方式。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专项资金为一次性补助资金。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（三）支持原则。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资金不得用于建设楼堂馆所、道路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等基础设施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，不得列支管理费，不得与农机购置补贴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、仓储保鲜设施、农民培训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等财政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资金有交叉重复。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四、申报条件及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范围</w:t>
      </w: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人才（</w:t>
      </w:r>
      <w:r>
        <w:rPr>
          <w:rFonts w:ascii="Times New Roman" w:hAnsi="Times New Roman" w:eastAsia="仿宋_GB2312"/>
          <w:sz w:val="32"/>
          <w:szCs w:val="32"/>
        </w:rPr>
        <w:t>团队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长期从事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农业领域</w:t>
      </w:r>
      <w:r>
        <w:rPr>
          <w:rFonts w:ascii="Times New Roman" w:hAnsi="Times New Roman" w:eastAsia="仿宋_GB2312"/>
          <w:sz w:val="32"/>
          <w:szCs w:val="32"/>
        </w:rPr>
        <w:t>科学研究、技术创新与集成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示范</w:t>
      </w:r>
      <w:r>
        <w:rPr>
          <w:rFonts w:ascii="Times New Roman" w:hAnsi="Times New Roman" w:eastAsia="仿宋_GB2312"/>
          <w:sz w:val="32"/>
          <w:szCs w:val="32"/>
        </w:rPr>
        <w:t>、科技成果转化和产业化，研发方向符合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我省农业产业发展</w:t>
      </w:r>
      <w:r>
        <w:rPr>
          <w:rFonts w:ascii="Times New Roman" w:hAnsi="Times New Roman" w:eastAsia="仿宋_GB2312"/>
          <w:sz w:val="32"/>
          <w:szCs w:val="32"/>
        </w:rPr>
        <w:t>趋势，属于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申报范围的农业相关产业和领域</w:t>
      </w:r>
      <w:r>
        <w:rPr>
          <w:rFonts w:ascii="Times New Roman" w:hAnsi="Times New Roman" w:eastAsia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人才（</w:t>
      </w:r>
      <w:r>
        <w:rPr>
          <w:rFonts w:ascii="Times New Roman" w:hAnsi="Times New Roman" w:eastAsia="仿宋_GB2312"/>
          <w:sz w:val="32"/>
          <w:szCs w:val="32"/>
        </w:rPr>
        <w:t>团队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）与我省</w:t>
      </w:r>
      <w:r>
        <w:rPr>
          <w:rFonts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一定</w:t>
      </w:r>
      <w:r>
        <w:rPr>
          <w:rFonts w:ascii="Times New Roman" w:hAnsi="Times New Roman" w:eastAsia="仿宋_GB2312"/>
          <w:sz w:val="32"/>
          <w:szCs w:val="32"/>
        </w:rPr>
        <w:t xml:space="preserve">合作基础，具有良好的协作运行机制和相对稳定的产学研合作关系，具有完成研发与创新任务所必备的实验条件和装备基础，团队效应明显，并取得过具有省内领先或国内一流水平的代表性科技成果，协同创新能力在全省同行业或领域具有明显优势和发展潜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人才（</w:t>
      </w:r>
      <w:r>
        <w:rPr>
          <w:rFonts w:ascii="Times New Roman" w:hAnsi="Times New Roman" w:eastAsia="仿宋_GB2312"/>
          <w:sz w:val="32"/>
          <w:szCs w:val="32"/>
        </w:rPr>
        <w:t>团队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领衔人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为全日制</w:t>
      </w:r>
      <w:r>
        <w:rPr>
          <w:rFonts w:ascii="Times New Roman" w:hAnsi="Times New Roman" w:eastAsia="仿宋_GB2312"/>
          <w:sz w:val="32"/>
          <w:szCs w:val="32"/>
        </w:rPr>
        <w:t>博士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研究生，取得</w:t>
      </w:r>
      <w:r>
        <w:rPr>
          <w:rFonts w:ascii="Times New Roman" w:hAnsi="Times New Roman" w:eastAsia="仿宋_GB2312"/>
          <w:sz w:val="32"/>
          <w:szCs w:val="32"/>
        </w:rPr>
        <w:t>正高级专业技术职称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10年以上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长期在科研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和技术推广</w:t>
      </w:r>
      <w:r>
        <w:rPr>
          <w:rFonts w:ascii="Times New Roman" w:hAnsi="Times New Roman" w:eastAsia="仿宋_GB2312"/>
          <w:sz w:val="32"/>
          <w:szCs w:val="32"/>
        </w:rPr>
        <w:t>一线，具有较强的科研领军才能和团队组织管理能力，已取得高水平创新性成果，在相关行业或领域具有重要的影响力，主持承担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国家或省</w:t>
      </w:r>
      <w:r>
        <w:rPr>
          <w:rFonts w:ascii="Times New Roman" w:hAnsi="Times New Roman" w:eastAsia="仿宋_GB2312"/>
          <w:sz w:val="32"/>
          <w:szCs w:val="32"/>
        </w:rPr>
        <w:t>科技支撑计划重点项目、科技成果应用及产业化计划重点项目、科技重大专项、技术榜单项目等相应层次省部级项目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项以上，或主持承担国家重点研发计划项目（课题）和国家自然科学基金委员会杰出青年科学基金项目、优秀青年基金项目、重点项目、重大项目等相应层次国家级项目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项以上，或作为主要完成人（排第一）获得过国家科技奖励、省部级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/>
          <w:sz w:val="32"/>
          <w:szCs w:val="32"/>
        </w:rPr>
        <w:t>等及以上科技奖励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项以上。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耕地保育人才（团队）、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水稻和油菜机械化生产人才（团队）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生猪产业人才（团队）、肉牛种业人才（团队）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蚕桑产业人才（团队）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、申报方式和时间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项目申报以提交纸质材料的方式申报，纸质材料包含：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《贵州省2022年柔性引进农业行业重点产业和重点领域高端人才（团队）项目申报表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》（详见附件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贵州省2022年柔性引进农业行业重点产业和重点领域高端人才（团队）项目实施方案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》（详见附件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1-2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此项</w:t>
      </w:r>
      <w:r>
        <w:rPr>
          <w:rFonts w:ascii="Times New Roman" w:hAnsi="Times New Roman" w:eastAsia="仿宋_GB2312"/>
          <w:sz w:val="32"/>
          <w:szCs w:val="32"/>
        </w:rPr>
        <w:t>作为评审立项支持的重要依据之一。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《项目实施</w:t>
      </w:r>
      <w:r>
        <w:rPr>
          <w:rFonts w:ascii="Times New Roman" w:hAnsi="Times New Roman" w:eastAsia="仿宋_GB2312"/>
          <w:sz w:val="32"/>
          <w:szCs w:val="32"/>
        </w:rPr>
        <w:t>方案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</w:rPr>
        <w:t>编写提纲（包含但不限于以下内容）如下：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人才（</w:t>
      </w:r>
      <w:r>
        <w:rPr>
          <w:rFonts w:ascii="Times New Roman" w:hAnsi="Times New Roman" w:eastAsia="仿宋_GB2312"/>
          <w:sz w:val="32"/>
          <w:szCs w:val="32"/>
        </w:rPr>
        <w:t>团队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领衔人、核心成员简介（团队领衔人、核心成员的研究经历，创新业绩及主要贡献、影响力）；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人才（</w:t>
      </w:r>
      <w:r>
        <w:rPr>
          <w:rFonts w:ascii="Times New Roman" w:hAnsi="Times New Roman" w:eastAsia="仿宋_GB2312"/>
          <w:sz w:val="32"/>
          <w:szCs w:val="32"/>
        </w:rPr>
        <w:t>团队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基本情况（依托单位的基本情况，团队研究方向、人员组成、具备的实验条件和装备基础、依托的重大创新平台、科技项目承担及实施成效、关键技术攻关和成果转化及成效，以及团队形成的历史背景和发展目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）建设任务与目标（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人才（</w:t>
      </w:r>
      <w:r>
        <w:rPr>
          <w:rFonts w:ascii="Times New Roman" w:hAnsi="Times New Roman" w:eastAsia="仿宋_GB2312"/>
          <w:sz w:val="32"/>
          <w:szCs w:val="32"/>
        </w:rPr>
        <w:t>团队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项目实施</w:t>
      </w:r>
      <w:r>
        <w:rPr>
          <w:rFonts w:ascii="Times New Roman" w:hAnsi="Times New Roman" w:eastAsia="仿宋_GB2312"/>
          <w:sz w:val="32"/>
          <w:szCs w:val="32"/>
        </w:rPr>
        <w:t>期内的建设内容和目标，包括：研究计划、人才队伍建设、平台或学科建设、科技交流与合作、创新文化建设、运行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和资金</w:t>
      </w:r>
      <w:r>
        <w:rPr>
          <w:rFonts w:ascii="Times New Roman" w:hAnsi="Times New Roman" w:eastAsia="仿宋_GB2312"/>
          <w:sz w:val="32"/>
          <w:szCs w:val="32"/>
        </w:rPr>
        <w:t>管理制度建设、服务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我省</w:t>
      </w:r>
      <w:r>
        <w:rPr>
          <w:rFonts w:ascii="Times New Roman" w:hAnsi="Times New Roman" w:eastAsia="仿宋_GB2312"/>
          <w:sz w:val="32"/>
          <w:szCs w:val="32"/>
        </w:rPr>
        <w:t>经济社会发展等）；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）依托单位的支持措施（依托单位对创新团队的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人力、物力和</w:t>
      </w:r>
      <w:r>
        <w:rPr>
          <w:rFonts w:ascii="Times New Roman" w:hAnsi="Times New Roman" w:eastAsia="仿宋_GB2312"/>
          <w:sz w:val="32"/>
          <w:szCs w:val="32"/>
        </w:rPr>
        <w:t>政策支持等）；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人才（团队）领衔人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人才（团队）领衔人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学历学位证书、职称证书等资格证书复印件；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人才（团队）领衔人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反映本人水平和成果的论文、论著证明材料（不超过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人才（团队）领衔人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承担的重要科研项目证明材料（不超过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人才（团队）领衔人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重要获奖证明材料（不超过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其他反映申报人能力和业绩的相关证明材料。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以上材料之间分别用彩色纸张隔开，并分别在彩色的纸张上打印出本部份材料的简要目录。</w:t>
      </w:r>
      <w:r>
        <w:rPr>
          <w:rFonts w:ascii="Times New Roman" w:hAnsi="Times New Roman" w:eastAsia="仿宋_GB2312"/>
          <w:sz w:val="32"/>
          <w:szCs w:val="32"/>
        </w:rPr>
        <w:t>按照所列申报条件顺序逐条依次提供支撑佐证材料，作为申报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（团队）</w:t>
      </w:r>
      <w:r>
        <w:rPr>
          <w:rFonts w:ascii="Times New Roman" w:hAnsi="Times New Roman" w:eastAsia="仿宋_GB2312"/>
          <w:sz w:val="32"/>
          <w:szCs w:val="32"/>
        </w:rPr>
        <w:t>形式审查的依据。未提供对应支撑佐证材料的，将视为不具备相关申报条件及要求。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2022年10月20日-2022年10月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按通知要求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，《项目申报表》《项目实施方案》和佐证材料装订成册，一式两份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至省农业农村厅人事处（人才工作处）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（二）形式审查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申报结束后，省农业农村厅将对项目进行形式审查，对通过形式审查的申报项目予以受理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对未通过形式审查的申报项目，一次性告知审查结果及具体理由。对信息填写失误和不完整、缺失附件材料等情况导致形式审查未通过的，将不予受理。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项目内容审查贯穿项目申报、评审、立项全过程，如发现不符合本通知及指南申报条件和要求的，或申报材料弄虚作假的，按照有关规定给予不受理和取消评审、立项等处理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（三）组织评审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形式审查结束后，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省农业农村厅组织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相关单位和行业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专家采取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书面评审或竞争性立项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方式，对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申报项目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进行评审，择优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遴选项目立项批复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通过评审的项目将在省农业农村厅官网公示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立项受理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公示结束后，省农业农村厅按相关程序办理项目立项和资金拨付相关手续。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七、申报咨询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项目申报受理</w:t>
      </w:r>
      <w:r>
        <w:rPr>
          <w:rFonts w:hint="eastAsia" w:ascii="楷体_GB2312" w:hAnsi="楷体_GB2312" w:eastAsia="楷体_GB2312" w:cs="楷体_GB2312"/>
          <w:sz w:val="32"/>
          <w:szCs w:val="32"/>
        </w:rPr>
        <w:t>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农业农村厅人事处，周泽晓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人才（</w:t>
      </w:r>
      <w:r>
        <w:rPr>
          <w:rFonts w:hint="eastAsia" w:ascii="楷体_GB2312" w:hAnsi="楷体_GB2312" w:eastAsia="楷体_GB2312" w:cs="楷体_GB2312"/>
          <w:sz w:val="32"/>
          <w:szCs w:val="32"/>
        </w:rPr>
        <w:t>团队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项目内容咨询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耕地保育人才（团队）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省土壤肥料研究所，李渝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水稻和油菜机械化生产人才（团队）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省农业农村厅农业机械技术推广总站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生猪产业人才（团队）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省生猪产业工作专班，杨红文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肉牛种业人才（团队）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省牛羊产业工作专班，张明均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蚕桑产业人才（团队）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省蚕业研究所，邢丹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-1.贵州省2022年柔性引进农业行业重点产业和重点领域高端人才（团队）课题研究项目申报表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6" w:leftChars="760" w:hanging="640" w:hanging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1-2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贵州省2022年柔性引进农业行业重点产业和重点领域高端人才（团队）课题研究项目实施方案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1-1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2022年柔性 引进农业行业重点产业和重点领域高端人才（团队）课题研究项目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申报表</w:t>
      </w:r>
    </w:p>
    <w:tbl>
      <w:tblPr>
        <w:tblStyle w:val="8"/>
        <w:tblW w:w="87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587"/>
        <w:gridCol w:w="2417"/>
        <w:gridCol w:w="2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  <w:t>机构名称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组织机构代码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团队名称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领衔专家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  <w:t>项目类型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  <w:t>项目投资（万元）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  <w:t>申请补助资金（万元）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  <w:t>项目建设内容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专家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推荐意见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ind w:left="3300" w:hanging="3313" w:hangingChars="15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专家组长签字：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            日期：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主管部门意见</w:t>
            </w:r>
          </w:p>
          <w:p>
            <w:pPr>
              <w:pStyle w:val="2"/>
              <w:ind w:firstLine="883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(盖章)</w:t>
            </w:r>
          </w:p>
        </w:tc>
        <w:tc>
          <w:tcPr>
            <w:tcW w:w="6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291" w:leftChars="1462" w:hanging="221" w:hangingChars="100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3291" w:leftChars="1462" w:hanging="221" w:hangingChars="100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3291" w:leftChars="1462" w:hanging="221" w:hangingChars="100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left="3289" w:leftChars="1566" w:firstLine="221" w:firstLineChars="10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日期：  年   月   日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1-2</w:t>
      </w:r>
    </w:p>
    <w:p>
      <w:pPr>
        <w:jc w:val="right"/>
        <w:rPr>
          <w:rFonts w:ascii="Times New Roman" w:hAnsi="Times New Roman" w:eastAsia="华文中宋" w:cs="Times New Roman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华文中宋" w:cs="华文中宋"/>
          <w:b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  <w:lang w:val="en-US" w:eastAsia="zh-CN"/>
        </w:rPr>
        <w:t>贵州省2022年柔性引进农业行业重点产业和重点领域高端人才（团队）课题研究</w:t>
      </w:r>
    </w:p>
    <w:p>
      <w:pPr>
        <w:jc w:val="center"/>
        <w:rPr>
          <w:rFonts w:hint="eastAsia" w:ascii="Times New Roman" w:hAnsi="Times New Roman" w:eastAsia="华文中宋" w:cs="华文中宋"/>
          <w:b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  <w:lang w:val="en-US" w:eastAsia="zh-CN"/>
        </w:rPr>
        <w:t>项</w:t>
      </w:r>
    </w:p>
    <w:p>
      <w:pPr>
        <w:jc w:val="center"/>
        <w:rPr>
          <w:rFonts w:hint="eastAsia" w:ascii="Times New Roman" w:hAnsi="Times New Roman" w:eastAsia="华文中宋" w:cs="华文中宋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  <w:lang w:val="en-US" w:eastAsia="zh-CN"/>
        </w:rPr>
        <w:t>目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实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施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方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案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建设地点：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**市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（州）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**县（市、区）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**乡（镇）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single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年**月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spacing w:line="58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人才（团队）简介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基本情况</w:t>
      </w:r>
    </w:p>
    <w:p>
      <w:pPr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</w:p>
    <w:p>
      <w:pPr>
        <w:spacing w:line="58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建设思路目标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、主要建设内容</w:t>
      </w:r>
    </w:p>
    <w:p>
      <w:pPr>
        <w:spacing w:line="58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 xml:space="preserve">   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、资金测算</w:t>
      </w:r>
    </w:p>
    <w:p>
      <w:pPr>
        <w:spacing w:line="58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  </w:t>
      </w:r>
    </w:p>
    <w:p>
      <w:pPr>
        <w:spacing w:line="580" w:lineRule="exact"/>
        <w:jc w:val="center"/>
        <w:rPr>
          <w:rFonts w:hint="eastAsia" w:ascii="Times New Roman" w:hAnsi="Times New Roman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资金使用表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9"/>
        <w:gridCol w:w="1099"/>
        <w:gridCol w:w="2096"/>
        <w:gridCol w:w="747"/>
        <w:gridCol w:w="817"/>
        <w:gridCol w:w="73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序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建设项目名称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主要建设内容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32" w:firstLineChars="30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合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省级</w:t>
            </w: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财政奖补资金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地方财政资金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五、效益分析</w:t>
      </w:r>
    </w:p>
    <w:p>
      <w:pPr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介绍项目实施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预计能达到的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经济效益、社会效益等方面。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六、组织保障</w:t>
      </w:r>
    </w:p>
    <w:p>
      <w:pPr>
        <w:spacing w:line="580" w:lineRule="exact"/>
        <w:ind w:firstLine="645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介绍组织领导机制、运行机制、宣传策划等。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</w:rPr>
        <w:t>、附件材料</w:t>
      </w:r>
    </w:p>
    <w:p>
      <w:pPr>
        <w:spacing w:line="580" w:lineRule="exact"/>
        <w:ind w:firstLine="645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申报指南中</w:t>
      </w:r>
      <w:r>
        <w:rPr>
          <w:rFonts w:hint="default" w:ascii="Times New Roman" w:hAnsi="Times New Roman" w:eastAsia="仿宋_GB2312" w:cs="仿宋_GB2312"/>
          <w:sz w:val="32"/>
          <w:szCs w:val="32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证明材料。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52736"/>
    <w:multiLevelType w:val="singleLevel"/>
    <w:tmpl w:val="DBF527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EE3239"/>
    <w:multiLevelType w:val="singleLevel"/>
    <w:tmpl w:val="EFEE3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2RmY2RiNDkxNDZjOGM2ZDVlNzc3M2RlYTUxZGMifQ=="/>
    <w:docVar w:name="KSO_WPS_MARK_KEY" w:val="6f2ea2c6-2bcb-42df-b565-86aa92be48e7"/>
  </w:docVars>
  <w:rsids>
    <w:rsidRoot w:val="00000000"/>
    <w:rsid w:val="1ABDF941"/>
    <w:rsid w:val="1DF71B3F"/>
    <w:rsid w:val="1FE99DA0"/>
    <w:rsid w:val="26EFCC12"/>
    <w:rsid w:val="37BB5280"/>
    <w:rsid w:val="3F79C6A6"/>
    <w:rsid w:val="3FBF0230"/>
    <w:rsid w:val="47EEDF66"/>
    <w:rsid w:val="53495B16"/>
    <w:rsid w:val="5DB679A0"/>
    <w:rsid w:val="5FDFF2D5"/>
    <w:rsid w:val="73460E6D"/>
    <w:rsid w:val="76FFE845"/>
    <w:rsid w:val="78267A79"/>
    <w:rsid w:val="7DBFF497"/>
    <w:rsid w:val="7F7D58EC"/>
    <w:rsid w:val="7FC9E2C4"/>
    <w:rsid w:val="7FFA525F"/>
    <w:rsid w:val="7FFEDF08"/>
    <w:rsid w:val="7FFFAE9B"/>
    <w:rsid w:val="9D4B5CFF"/>
    <w:rsid w:val="AFCD80DF"/>
    <w:rsid w:val="BA7B23C6"/>
    <w:rsid w:val="BFFF98A0"/>
    <w:rsid w:val="CD5BB985"/>
    <w:rsid w:val="E7BE3FC8"/>
    <w:rsid w:val="E7F59406"/>
    <w:rsid w:val="ED7F5294"/>
    <w:rsid w:val="EDBD2A97"/>
    <w:rsid w:val="EFFEEAF1"/>
    <w:rsid w:val="F7DD4904"/>
    <w:rsid w:val="F7EA5358"/>
    <w:rsid w:val="F9EF9E47"/>
    <w:rsid w:val="FBFF83EC"/>
    <w:rsid w:val="FE734873"/>
    <w:rsid w:val="FEFE74EA"/>
    <w:rsid w:val="FF6C44C3"/>
    <w:rsid w:val="FF747E08"/>
    <w:rsid w:val="FFDB8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index 6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2100" w:firstLine="200" w:firstLineChars="200"/>
      <w:jc w:val="both"/>
    </w:pPr>
    <w:rPr>
      <w:rFonts w:hint="default" w:ascii="Calibri" w:hAnsi="Calibri" w:eastAsia="宋体" w:cs="Calibri"/>
      <w:color w:val="auto"/>
      <w:kern w:val="2"/>
      <w:sz w:val="21"/>
      <w:szCs w:val="21"/>
      <w:lang w:val="en-US" w:eastAsia="zh-CN"/>
    </w:rPr>
  </w:style>
  <w:style w:type="paragraph" w:styleId="5">
    <w:name w:val="Plain Text"/>
    <w:basedOn w:val="1"/>
    <w:qFormat/>
    <w:uiPriority w:val="0"/>
    <w:rPr>
      <w:rFonts w:ascii="Times New Roman" w:hAnsi="Times New Roman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next w:val="3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Times New Roman"/>
      <w:color w:val="auto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2882</Words>
  <Characters>3015</Characters>
  <Paragraphs>75</Paragraphs>
  <TotalTime>1</TotalTime>
  <ScaleCrop>false</ScaleCrop>
  <LinksUpToDate>false</LinksUpToDate>
  <CharactersWithSpaces>3187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2022-10-21T02:18:00Z</dcterms:created>
  <dc:creator>ysgz</dc:creator>
  <cp:lastModifiedBy>べ南柒 °  L</cp:lastModifiedBy>
  <cp:lastPrinted>2022-10-21T03:33:00Z</cp:lastPrinted>
  <dcterms:modified xsi:type="dcterms:W3CDTF">2023-02-17T01:20:13Z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5bd57a06c6a449f6bacb0df428639d9d</vt:lpwstr>
  </property>
</Properties>
</file>