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overflowPunct/>
        <w:topLinePunct w:val="0"/>
        <w:autoSpaceDE/>
        <w:autoSpaceDN/>
        <w:bidi w:val="0"/>
        <w:adjustRightInd/>
        <w:spacing w:line="360" w:lineRule="auto"/>
        <w:textAlignment w:val="auto"/>
        <w:rPr>
          <w:rFonts w:hint="eastAsia" w:ascii="宋体" w:hAnsi="宋体" w:eastAsia="宋体" w:cs="宋体"/>
          <w:sz w:val="40"/>
          <w:szCs w:val="40"/>
          <w:highlight w:val="none"/>
          <w:lang w:eastAsia="zh-CN"/>
        </w:rPr>
      </w:pPr>
      <w:r>
        <w:rPr>
          <w:rFonts w:hint="eastAsia" w:ascii="宋体" w:hAnsi="宋体" w:eastAsia="宋体" w:cs="宋体"/>
          <w:sz w:val="40"/>
          <w:szCs w:val="40"/>
          <w:highlight w:val="none"/>
          <w:lang w:eastAsia="zh-CN"/>
        </w:rPr>
        <w:t>附件：</w:t>
      </w:r>
    </w:p>
    <w:p>
      <w:pPr>
        <w:keepNext w:val="0"/>
        <w:keepLines w:val="0"/>
        <w:pageBreakBefore w:val="0"/>
        <w:widowControl w:val="0"/>
        <w:suppressAutoHyphens/>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简体" w:cs="Times New Roman"/>
          <w:color w:val="auto"/>
          <w:kern w:val="0"/>
          <w:sz w:val="44"/>
          <w:szCs w:val="44"/>
          <w:highlight w:val="none"/>
          <w:lang w:val="en-US" w:eastAsia="zh-CN" w:bidi="ar"/>
        </w:rPr>
      </w:pPr>
    </w:p>
    <w:p>
      <w:pPr>
        <w:keepNext w:val="0"/>
        <w:keepLines w:val="0"/>
        <w:pageBreakBefore w:val="0"/>
        <w:widowControl w:val="0"/>
        <w:suppressAutoHyphens/>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简体" w:cs="Times New Roman"/>
          <w:color w:val="auto"/>
          <w:kern w:val="0"/>
          <w:sz w:val="44"/>
          <w:szCs w:val="44"/>
          <w:highlight w:val="none"/>
          <w:lang w:val="en-US" w:eastAsia="zh-CN" w:bidi="ar"/>
        </w:rPr>
      </w:pPr>
      <w:r>
        <w:rPr>
          <w:rFonts w:hint="eastAsia" w:ascii="Times New Roman" w:hAnsi="Times New Roman" w:eastAsia="方正小标宋简体" w:cs="Times New Roman"/>
          <w:color w:val="auto"/>
          <w:kern w:val="0"/>
          <w:sz w:val="44"/>
          <w:szCs w:val="44"/>
          <w:highlight w:val="none"/>
          <w:lang w:val="en-US" w:eastAsia="zh-CN" w:bidi="ar"/>
        </w:rPr>
        <w:t>2024年贵州省第三次土壤普查相关技术服务及货物采购代理机构公开比选文件</w:t>
      </w:r>
    </w:p>
    <w:p>
      <w:pPr>
        <w:pStyle w:val="5"/>
        <w:rPr>
          <w:rFonts w:hint="eastAsia" w:ascii="宋体" w:hAnsi="宋体" w:eastAsia="宋体" w:cs="宋体"/>
          <w:highlight w:val="none"/>
        </w:rPr>
      </w:pPr>
    </w:p>
    <w:p>
      <w:pPr>
        <w:pageBreakBefore w:val="0"/>
        <w:kinsoku/>
        <w:overflowPunct/>
        <w:topLinePunct w:val="0"/>
        <w:autoSpaceDE/>
        <w:autoSpaceDN/>
        <w:bidi w:val="0"/>
        <w:adjustRightInd/>
        <w:spacing w:line="360" w:lineRule="auto"/>
        <w:textAlignment w:val="auto"/>
        <w:rPr>
          <w:rFonts w:hint="eastAsia" w:ascii="宋体" w:hAnsi="宋体" w:eastAsia="宋体" w:cs="宋体"/>
          <w:b/>
          <w:sz w:val="36"/>
          <w:szCs w:val="36"/>
          <w:highlight w:val="none"/>
        </w:rPr>
      </w:pPr>
    </w:p>
    <w:p>
      <w:pPr>
        <w:pStyle w:val="5"/>
        <w:rPr>
          <w:rFonts w:hint="eastAsia" w:ascii="宋体" w:hAnsi="宋体" w:eastAsia="宋体" w:cs="宋体"/>
          <w:b/>
          <w:sz w:val="36"/>
          <w:szCs w:val="36"/>
          <w:highlight w:val="none"/>
        </w:rPr>
      </w:pPr>
    </w:p>
    <w:p>
      <w:pPr>
        <w:pStyle w:val="5"/>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pStyle w:val="2"/>
        <w:rPr>
          <w:rFonts w:hint="eastAsia" w:ascii="宋体" w:hAnsi="宋体" w:eastAsia="宋体" w:cs="宋体"/>
          <w:b/>
          <w:sz w:val="36"/>
          <w:szCs w:val="36"/>
          <w:highlight w:val="none"/>
        </w:rPr>
      </w:pPr>
    </w:p>
    <w:p>
      <w:pPr>
        <w:pStyle w:val="2"/>
        <w:rPr>
          <w:rFonts w:hint="eastAsia" w:ascii="宋体" w:hAnsi="宋体" w:eastAsia="宋体" w:cs="宋体"/>
          <w:b/>
          <w:sz w:val="36"/>
          <w:szCs w:val="36"/>
          <w:highlight w:val="none"/>
        </w:rPr>
      </w:pPr>
    </w:p>
    <w:p>
      <w:pPr>
        <w:pStyle w:val="2"/>
        <w:rPr>
          <w:rFonts w:hint="eastAsia" w:ascii="宋体" w:hAnsi="宋体" w:eastAsia="宋体" w:cs="宋体"/>
          <w:b/>
          <w:sz w:val="36"/>
          <w:szCs w:val="36"/>
          <w:highlight w:val="none"/>
        </w:rPr>
      </w:pPr>
    </w:p>
    <w:p>
      <w:pPr>
        <w:pStyle w:val="2"/>
        <w:rPr>
          <w:rFonts w:hint="eastAsia" w:ascii="宋体" w:hAnsi="宋体" w:eastAsia="宋体" w:cs="宋体"/>
          <w:b/>
          <w:sz w:val="36"/>
          <w:szCs w:val="36"/>
          <w:highlight w:val="none"/>
        </w:rPr>
      </w:pPr>
    </w:p>
    <w:p>
      <w:pPr>
        <w:pStyle w:val="2"/>
        <w:rPr>
          <w:rFonts w:hint="eastAsia" w:ascii="宋体" w:hAnsi="宋体" w:eastAsia="宋体" w:cs="宋体"/>
          <w:b/>
          <w:sz w:val="36"/>
          <w:szCs w:val="36"/>
          <w:highlight w:val="none"/>
        </w:rPr>
      </w:pPr>
    </w:p>
    <w:p>
      <w:pPr>
        <w:pageBreakBefore w:val="0"/>
        <w:kinsoku/>
        <w:overflowPunct/>
        <w:topLinePunct w:val="0"/>
        <w:autoSpaceDE/>
        <w:autoSpaceDN/>
        <w:bidi w:val="0"/>
        <w:adjustRightInd/>
        <w:spacing w:line="360" w:lineRule="auto"/>
        <w:textAlignment w:val="auto"/>
        <w:rPr>
          <w:rFonts w:hint="eastAsia" w:ascii="宋体" w:hAnsi="宋体" w:eastAsia="宋体" w:cs="宋体"/>
          <w:b/>
          <w:sz w:val="30"/>
          <w:szCs w:val="30"/>
          <w:highlight w:val="none"/>
        </w:rPr>
      </w:pPr>
    </w:p>
    <w:p>
      <w:pPr>
        <w:keepNext w:val="0"/>
        <w:keepLines w:val="0"/>
        <w:pageBreakBefore w:val="0"/>
        <w:widowControl w:val="0"/>
        <w:kinsoku/>
        <w:wordWrap/>
        <w:overflowPunct/>
        <w:topLinePunct w:val="0"/>
        <w:autoSpaceDE/>
        <w:autoSpaceDN/>
        <w:bidi w:val="0"/>
        <w:adjustRightInd/>
        <w:snapToGrid/>
        <w:spacing w:line="720" w:lineRule="auto"/>
        <w:ind w:left="2860" w:leftChars="600" w:hanging="1600" w:hangingChars="500"/>
        <w:textAlignment w:val="auto"/>
        <w:rPr>
          <w:rFonts w:hint="eastAsia" w:ascii="微软雅黑" w:hAnsi="微软雅黑" w:eastAsia="微软雅黑" w:cs="微软雅黑"/>
          <w:b w:val="0"/>
          <w:bCs w:val="0"/>
          <w:kern w:val="2"/>
          <w:sz w:val="32"/>
          <w:szCs w:val="32"/>
          <w:highlight w:val="none"/>
          <w:lang w:val="en-US" w:eastAsia="zh-CN" w:bidi="ar-SA"/>
        </w:rPr>
      </w:pPr>
      <w:r>
        <w:rPr>
          <w:rFonts w:hint="eastAsia" w:ascii="微软雅黑" w:hAnsi="微软雅黑" w:eastAsia="微软雅黑" w:cs="微软雅黑"/>
          <w:b w:val="0"/>
          <w:bCs w:val="0"/>
          <w:kern w:val="2"/>
          <w:sz w:val="32"/>
          <w:szCs w:val="32"/>
          <w:highlight w:val="none"/>
          <w:lang w:val="en-US" w:eastAsia="zh-CN" w:bidi="ar-SA"/>
        </w:rPr>
        <w:t>项目名称：2024年贵州省第三次土壤普查相关技术服务及货物采购代理机构公开比选</w:t>
      </w:r>
    </w:p>
    <w:p>
      <w:pPr>
        <w:keepNext w:val="0"/>
        <w:keepLines w:val="0"/>
        <w:pageBreakBefore w:val="0"/>
        <w:widowControl w:val="0"/>
        <w:kinsoku/>
        <w:wordWrap/>
        <w:overflowPunct/>
        <w:topLinePunct w:val="0"/>
        <w:autoSpaceDE/>
        <w:autoSpaceDN/>
        <w:bidi w:val="0"/>
        <w:adjustRightInd/>
        <w:snapToGrid/>
        <w:spacing w:line="720" w:lineRule="auto"/>
        <w:ind w:leftChars="600"/>
        <w:textAlignment w:val="auto"/>
        <w:rPr>
          <w:rFonts w:hint="eastAsia" w:ascii="微软雅黑" w:hAnsi="微软雅黑" w:eastAsia="微软雅黑" w:cs="微软雅黑"/>
          <w:b w:val="0"/>
          <w:bCs w:val="0"/>
          <w:kern w:val="2"/>
          <w:sz w:val="32"/>
          <w:szCs w:val="32"/>
          <w:highlight w:val="none"/>
          <w:lang w:val="en-US" w:eastAsia="zh-CN" w:bidi="ar-SA"/>
        </w:rPr>
      </w:pPr>
      <w:r>
        <w:rPr>
          <w:rFonts w:hint="eastAsia" w:ascii="微软雅黑" w:hAnsi="微软雅黑" w:eastAsia="微软雅黑" w:cs="微软雅黑"/>
          <w:b w:val="0"/>
          <w:bCs w:val="0"/>
          <w:kern w:val="2"/>
          <w:sz w:val="32"/>
          <w:szCs w:val="32"/>
          <w:highlight w:val="none"/>
          <w:lang w:val="en-US" w:eastAsia="zh-CN" w:bidi="ar-SA"/>
        </w:rPr>
        <w:t>采 购 人：贵州省农业农村厅</w:t>
      </w:r>
    </w:p>
    <w:p>
      <w:pPr>
        <w:keepNext w:val="0"/>
        <w:keepLines w:val="0"/>
        <w:pageBreakBefore w:val="0"/>
        <w:widowControl w:val="0"/>
        <w:kinsoku/>
        <w:wordWrap/>
        <w:overflowPunct/>
        <w:topLinePunct w:val="0"/>
        <w:autoSpaceDE/>
        <w:autoSpaceDN/>
        <w:bidi w:val="0"/>
        <w:adjustRightInd/>
        <w:snapToGrid/>
        <w:spacing w:line="720" w:lineRule="auto"/>
        <w:ind w:leftChars="600"/>
        <w:textAlignment w:val="auto"/>
        <w:rPr>
          <w:rFonts w:hint="eastAsia" w:ascii="微软雅黑" w:hAnsi="微软雅黑" w:eastAsia="微软雅黑" w:cs="微软雅黑"/>
          <w:b w:val="0"/>
          <w:bCs w:val="0"/>
          <w:kern w:val="2"/>
          <w:sz w:val="32"/>
          <w:szCs w:val="32"/>
          <w:highlight w:val="none"/>
          <w:lang w:val="en-US" w:eastAsia="zh-CN" w:bidi="ar-SA"/>
        </w:rPr>
      </w:pPr>
      <w:r>
        <w:rPr>
          <w:rFonts w:hint="eastAsia" w:ascii="微软雅黑" w:hAnsi="微软雅黑" w:eastAsia="微软雅黑" w:cs="微软雅黑"/>
          <w:b w:val="0"/>
          <w:bCs w:val="0"/>
          <w:kern w:val="2"/>
          <w:sz w:val="32"/>
          <w:szCs w:val="32"/>
          <w:highlight w:val="none"/>
          <w:lang w:val="en-US" w:eastAsia="zh-CN" w:bidi="ar-SA"/>
        </w:rPr>
        <w:t>日    期：2024年3月</w:t>
      </w:r>
    </w:p>
    <w:p>
      <w:pPr>
        <w:pStyle w:val="5"/>
        <w:pageBreakBefore w:val="0"/>
        <w:kinsoku/>
        <w:overflowPunct/>
        <w:topLinePunct w:val="0"/>
        <w:autoSpaceDE/>
        <w:autoSpaceDN/>
        <w:bidi w:val="0"/>
        <w:adjustRightInd/>
        <w:spacing w:line="360" w:lineRule="auto"/>
        <w:textAlignment w:val="auto"/>
        <w:rPr>
          <w:rFonts w:hint="eastAsia" w:ascii="宋体" w:hAnsi="宋体" w:eastAsia="宋体" w:cs="宋体"/>
          <w:highlight w:val="none"/>
        </w:rPr>
      </w:pP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pageBreakBefore w:val="0"/>
        <w:kinsoku/>
        <w:overflowPunct/>
        <w:topLinePunct w:val="0"/>
        <w:autoSpaceDE/>
        <w:autoSpaceDN/>
        <w:bidi w:val="0"/>
        <w:adjustRightInd/>
        <w:spacing w:line="360" w:lineRule="auto"/>
        <w:jc w:val="center"/>
        <w:textAlignment w:val="auto"/>
        <w:rPr>
          <w:rFonts w:hint="eastAsia" w:ascii="宋体" w:hAnsi="宋体" w:eastAsia="宋体" w:cs="宋体"/>
          <w:b/>
          <w:sz w:val="44"/>
          <w:szCs w:val="44"/>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宋体" w:hAnsi="宋体" w:eastAsia="宋体" w:cs="宋体"/>
          <w:b/>
          <w:bCs/>
          <w:sz w:val="30"/>
          <w:szCs w:val="30"/>
          <w:highlight w:val="none"/>
        </w:rPr>
      </w:pPr>
      <w:r>
        <w:rPr>
          <w:rFonts w:hint="eastAsia" w:ascii="仿宋" w:hAnsi="仿宋" w:eastAsia="仿宋" w:cs="仿宋"/>
          <w:b/>
          <w:bCs/>
          <w:kern w:val="2"/>
          <w:sz w:val="44"/>
          <w:szCs w:val="44"/>
          <w:highlight w:val="none"/>
          <w:lang w:val="en-US" w:eastAsia="zh-CN" w:bidi="ar-SA"/>
        </w:rPr>
        <w:t>目 录</w:t>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720" w:lineRule="auto"/>
        <w:textAlignment w:val="auto"/>
        <w:rPr>
          <w:rFonts w:hint="eastAsia" w:ascii="FangSong_GB2312" w:hAnsi="FangSong_GB2312" w:eastAsia="FangSong_GB2312" w:cs="黑体"/>
          <w:kern w:val="2"/>
          <w:sz w:val="32"/>
          <w:szCs w:val="32"/>
          <w:highlight w:val="none"/>
          <w:lang w:val="en-US" w:eastAsia="zh-CN" w:bidi="ar-SA"/>
        </w:rPr>
      </w:pPr>
      <w:r>
        <w:rPr>
          <w:rFonts w:hint="eastAsia" w:ascii="宋体" w:hAnsi="宋体" w:eastAsia="宋体" w:cs="宋体"/>
          <w:b/>
          <w:bCs/>
          <w:sz w:val="36"/>
          <w:szCs w:val="36"/>
          <w:highlight w:val="none"/>
        </w:rPr>
        <w:fldChar w:fldCharType="begin"/>
      </w:r>
      <w:r>
        <w:rPr>
          <w:rFonts w:hint="eastAsia" w:ascii="宋体" w:hAnsi="宋体" w:eastAsia="宋体" w:cs="宋体"/>
          <w:b/>
          <w:bCs/>
          <w:sz w:val="36"/>
          <w:szCs w:val="36"/>
          <w:highlight w:val="none"/>
        </w:rPr>
        <w:instrText xml:space="preserve">TOC \o "1-1" \h \u </w:instrText>
      </w:r>
      <w:r>
        <w:rPr>
          <w:rFonts w:hint="eastAsia" w:ascii="宋体" w:hAnsi="宋体" w:eastAsia="宋体" w:cs="宋体"/>
          <w:b/>
          <w:bCs/>
          <w:sz w:val="36"/>
          <w:szCs w:val="36"/>
          <w:highlight w:val="none"/>
        </w:rPr>
        <w:fldChar w:fldCharType="separate"/>
      </w:r>
      <w:r>
        <w:rPr>
          <w:rFonts w:hint="eastAsia" w:ascii="FangSong_GB2312" w:hAnsi="FangSong_GB2312" w:eastAsia="FangSong_GB2312" w:cs="黑体"/>
          <w:kern w:val="2"/>
          <w:sz w:val="32"/>
          <w:szCs w:val="32"/>
          <w:highlight w:val="none"/>
          <w:lang w:val="en-US" w:eastAsia="zh-CN" w:bidi="ar-SA"/>
        </w:rPr>
        <w:fldChar w:fldCharType="begin"/>
      </w:r>
      <w:r>
        <w:rPr>
          <w:rFonts w:hint="eastAsia" w:ascii="FangSong_GB2312" w:hAnsi="FangSong_GB2312" w:eastAsia="FangSong_GB2312" w:cs="黑体"/>
          <w:kern w:val="2"/>
          <w:sz w:val="32"/>
          <w:szCs w:val="32"/>
          <w:highlight w:val="none"/>
          <w:lang w:val="en-US" w:eastAsia="zh-CN" w:bidi="ar-SA"/>
        </w:rPr>
        <w:instrText xml:space="preserve"> HYPERLINK \l _Toc4922 </w:instrText>
      </w:r>
      <w:r>
        <w:rPr>
          <w:rFonts w:hint="eastAsia" w:ascii="FangSong_GB2312" w:hAnsi="FangSong_GB2312" w:eastAsia="FangSong_GB2312" w:cs="黑体"/>
          <w:kern w:val="2"/>
          <w:sz w:val="32"/>
          <w:szCs w:val="32"/>
          <w:highlight w:val="none"/>
          <w:lang w:val="en-US" w:eastAsia="zh-CN" w:bidi="ar-SA"/>
        </w:rPr>
        <w:fldChar w:fldCharType="separate"/>
      </w:r>
      <w:r>
        <w:rPr>
          <w:rFonts w:hint="eastAsia" w:ascii="FangSong_GB2312" w:hAnsi="FangSong_GB2312" w:eastAsia="FangSong_GB2312" w:cs="黑体"/>
          <w:kern w:val="2"/>
          <w:sz w:val="32"/>
          <w:szCs w:val="32"/>
          <w:highlight w:val="none"/>
          <w:lang w:val="en-US" w:eastAsia="zh-CN" w:bidi="ar-SA"/>
        </w:rPr>
        <w:t>第一章  比选邀请</w:t>
      </w:r>
      <w:r>
        <w:rPr>
          <w:rFonts w:hint="eastAsia" w:ascii="FangSong_GB2312" w:hAnsi="FangSong_GB2312" w:eastAsia="FangSong_GB2312" w:cs="黑体"/>
          <w:kern w:val="2"/>
          <w:sz w:val="32"/>
          <w:szCs w:val="32"/>
          <w:highlight w:val="none"/>
          <w:lang w:val="en-US" w:eastAsia="zh-CN" w:bidi="ar-SA"/>
        </w:rPr>
        <w:tab/>
      </w:r>
      <w:r>
        <w:rPr>
          <w:rFonts w:hint="eastAsia" w:ascii="FangSong_GB2312" w:hAnsi="FangSong_GB2312" w:eastAsia="FangSong_GB2312" w:cs="黑体"/>
          <w:kern w:val="2"/>
          <w:sz w:val="32"/>
          <w:szCs w:val="32"/>
          <w:highlight w:val="none"/>
          <w:lang w:val="en-US" w:eastAsia="zh-CN" w:bidi="ar-SA"/>
        </w:rPr>
        <w:t>1</w:t>
      </w:r>
      <w:r>
        <w:rPr>
          <w:rFonts w:hint="eastAsia" w:ascii="FangSong_GB2312" w:hAnsi="FangSong_GB2312" w:eastAsia="FangSong_GB2312" w:cs="黑体"/>
          <w:kern w:val="2"/>
          <w:sz w:val="32"/>
          <w:szCs w:val="32"/>
          <w:highlight w:val="none"/>
          <w:lang w:val="en-US" w:eastAsia="zh-CN" w:bidi="ar-SA"/>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720" w:lineRule="auto"/>
        <w:textAlignment w:val="auto"/>
        <w:rPr>
          <w:rFonts w:hint="eastAsia" w:ascii="FangSong_GB2312" w:hAnsi="FangSong_GB2312" w:eastAsia="FangSong_GB2312" w:cs="黑体"/>
          <w:kern w:val="2"/>
          <w:sz w:val="32"/>
          <w:szCs w:val="32"/>
          <w:highlight w:val="none"/>
          <w:lang w:val="en-US" w:eastAsia="zh-CN" w:bidi="ar-SA"/>
        </w:rPr>
      </w:pPr>
      <w:r>
        <w:rPr>
          <w:rFonts w:hint="eastAsia" w:ascii="FangSong_GB2312" w:hAnsi="FangSong_GB2312" w:eastAsia="FangSong_GB2312" w:cs="黑体"/>
          <w:kern w:val="2"/>
          <w:sz w:val="32"/>
          <w:szCs w:val="32"/>
          <w:highlight w:val="none"/>
          <w:lang w:val="en-US" w:eastAsia="zh-CN" w:bidi="ar-SA"/>
        </w:rPr>
        <w:fldChar w:fldCharType="begin"/>
      </w:r>
      <w:r>
        <w:rPr>
          <w:rFonts w:hint="eastAsia" w:ascii="FangSong_GB2312" w:hAnsi="FangSong_GB2312" w:eastAsia="FangSong_GB2312" w:cs="黑体"/>
          <w:kern w:val="2"/>
          <w:sz w:val="32"/>
          <w:szCs w:val="32"/>
          <w:highlight w:val="none"/>
          <w:lang w:val="en-US" w:eastAsia="zh-CN" w:bidi="ar-SA"/>
        </w:rPr>
        <w:instrText xml:space="preserve"> HYPERLINK \l _Toc21670 </w:instrText>
      </w:r>
      <w:r>
        <w:rPr>
          <w:rFonts w:hint="eastAsia" w:ascii="FangSong_GB2312" w:hAnsi="FangSong_GB2312" w:eastAsia="FangSong_GB2312" w:cs="黑体"/>
          <w:kern w:val="2"/>
          <w:sz w:val="32"/>
          <w:szCs w:val="32"/>
          <w:highlight w:val="none"/>
          <w:lang w:val="en-US" w:eastAsia="zh-CN" w:bidi="ar-SA"/>
        </w:rPr>
        <w:fldChar w:fldCharType="separate"/>
      </w:r>
      <w:r>
        <w:rPr>
          <w:rFonts w:hint="eastAsia" w:ascii="FangSong_GB2312" w:hAnsi="FangSong_GB2312" w:eastAsia="FangSong_GB2312" w:cs="黑体"/>
          <w:kern w:val="2"/>
          <w:sz w:val="32"/>
          <w:szCs w:val="32"/>
          <w:highlight w:val="none"/>
          <w:lang w:val="en-US" w:eastAsia="zh-CN" w:bidi="ar-SA"/>
        </w:rPr>
        <w:t>第二章  供应商须知</w:t>
      </w:r>
      <w:r>
        <w:rPr>
          <w:rFonts w:hint="eastAsia" w:ascii="FangSong_GB2312" w:hAnsi="FangSong_GB2312" w:eastAsia="FangSong_GB2312" w:cs="黑体"/>
          <w:kern w:val="2"/>
          <w:sz w:val="32"/>
          <w:szCs w:val="32"/>
          <w:highlight w:val="none"/>
          <w:lang w:val="en-US" w:eastAsia="zh-CN" w:bidi="ar-SA"/>
        </w:rPr>
        <w:tab/>
      </w:r>
      <w:r>
        <w:rPr>
          <w:rFonts w:hint="eastAsia" w:ascii="FangSong_GB2312" w:hAnsi="FangSong_GB2312" w:eastAsia="FangSong_GB2312" w:cs="黑体"/>
          <w:kern w:val="2"/>
          <w:sz w:val="32"/>
          <w:szCs w:val="32"/>
          <w:highlight w:val="none"/>
          <w:lang w:val="en-US" w:eastAsia="zh-CN" w:bidi="ar-SA"/>
        </w:rPr>
        <w:t>3</w:t>
      </w:r>
      <w:r>
        <w:rPr>
          <w:rFonts w:hint="eastAsia" w:ascii="FangSong_GB2312" w:hAnsi="FangSong_GB2312" w:eastAsia="FangSong_GB2312" w:cs="黑体"/>
          <w:kern w:val="2"/>
          <w:sz w:val="32"/>
          <w:szCs w:val="32"/>
          <w:highlight w:val="none"/>
          <w:lang w:val="en-US" w:eastAsia="zh-CN" w:bidi="ar-SA"/>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720" w:lineRule="auto"/>
        <w:textAlignment w:val="auto"/>
        <w:rPr>
          <w:rFonts w:hint="eastAsia" w:ascii="FangSong_GB2312" w:hAnsi="FangSong_GB2312" w:eastAsia="FangSong_GB2312" w:cs="黑体"/>
          <w:kern w:val="2"/>
          <w:sz w:val="32"/>
          <w:szCs w:val="32"/>
          <w:highlight w:val="none"/>
          <w:lang w:val="en-US" w:eastAsia="zh-CN" w:bidi="ar-SA"/>
        </w:rPr>
      </w:pPr>
      <w:r>
        <w:rPr>
          <w:rFonts w:hint="eastAsia" w:ascii="FangSong_GB2312" w:hAnsi="FangSong_GB2312" w:eastAsia="FangSong_GB2312" w:cs="黑体"/>
          <w:kern w:val="2"/>
          <w:sz w:val="32"/>
          <w:szCs w:val="32"/>
          <w:highlight w:val="none"/>
          <w:lang w:val="en-US" w:eastAsia="zh-CN" w:bidi="ar-SA"/>
        </w:rPr>
        <w:fldChar w:fldCharType="begin"/>
      </w:r>
      <w:r>
        <w:rPr>
          <w:rFonts w:hint="eastAsia" w:ascii="FangSong_GB2312" w:hAnsi="FangSong_GB2312" w:eastAsia="FangSong_GB2312" w:cs="黑体"/>
          <w:kern w:val="2"/>
          <w:sz w:val="32"/>
          <w:szCs w:val="32"/>
          <w:highlight w:val="none"/>
          <w:lang w:val="en-US" w:eastAsia="zh-CN" w:bidi="ar-SA"/>
        </w:rPr>
        <w:instrText xml:space="preserve"> HYPERLINK \l _Toc15149 </w:instrText>
      </w:r>
      <w:r>
        <w:rPr>
          <w:rFonts w:hint="eastAsia" w:ascii="FangSong_GB2312" w:hAnsi="FangSong_GB2312" w:eastAsia="FangSong_GB2312" w:cs="黑体"/>
          <w:kern w:val="2"/>
          <w:sz w:val="32"/>
          <w:szCs w:val="32"/>
          <w:highlight w:val="none"/>
          <w:lang w:val="en-US" w:eastAsia="zh-CN" w:bidi="ar-SA"/>
        </w:rPr>
        <w:fldChar w:fldCharType="separate"/>
      </w:r>
      <w:r>
        <w:rPr>
          <w:rFonts w:hint="eastAsia" w:ascii="FangSong_GB2312" w:hAnsi="FangSong_GB2312" w:eastAsia="FangSong_GB2312" w:cs="黑体"/>
          <w:kern w:val="2"/>
          <w:sz w:val="32"/>
          <w:szCs w:val="32"/>
          <w:highlight w:val="none"/>
          <w:lang w:val="en-US" w:eastAsia="zh-CN" w:bidi="ar-SA"/>
        </w:rPr>
        <w:t>第三章  比选原则和办法</w:t>
      </w:r>
      <w:r>
        <w:rPr>
          <w:rFonts w:hint="eastAsia" w:ascii="FangSong_GB2312" w:hAnsi="FangSong_GB2312" w:eastAsia="FangSong_GB2312" w:cs="黑体"/>
          <w:kern w:val="2"/>
          <w:sz w:val="32"/>
          <w:szCs w:val="32"/>
          <w:highlight w:val="none"/>
          <w:lang w:val="en-US" w:eastAsia="zh-CN" w:bidi="ar-SA"/>
        </w:rPr>
        <w:tab/>
      </w:r>
      <w:r>
        <w:rPr>
          <w:rFonts w:hint="eastAsia" w:ascii="FangSong_GB2312" w:hAnsi="FangSong_GB2312" w:eastAsia="FangSong_GB2312" w:cs="黑体"/>
          <w:kern w:val="2"/>
          <w:sz w:val="32"/>
          <w:szCs w:val="32"/>
          <w:highlight w:val="none"/>
          <w:lang w:val="en-US" w:eastAsia="zh-CN" w:bidi="ar-SA"/>
        </w:rPr>
        <w:t>5</w:t>
      </w:r>
      <w:r>
        <w:rPr>
          <w:rFonts w:hint="eastAsia" w:ascii="FangSong_GB2312" w:hAnsi="FangSong_GB2312" w:eastAsia="FangSong_GB2312" w:cs="黑体"/>
          <w:kern w:val="2"/>
          <w:sz w:val="32"/>
          <w:szCs w:val="32"/>
          <w:highlight w:val="none"/>
          <w:lang w:val="en-US" w:eastAsia="zh-CN" w:bidi="ar-SA"/>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720" w:lineRule="auto"/>
        <w:textAlignment w:val="auto"/>
        <w:rPr>
          <w:rFonts w:hint="default" w:ascii="FangSong_GB2312" w:hAnsi="FangSong_GB2312" w:eastAsia="FangSong_GB2312" w:cs="黑体"/>
          <w:kern w:val="2"/>
          <w:sz w:val="32"/>
          <w:szCs w:val="32"/>
          <w:highlight w:val="none"/>
          <w:lang w:val="en-US" w:eastAsia="zh-CN" w:bidi="ar-SA"/>
        </w:rPr>
      </w:pPr>
      <w:r>
        <w:rPr>
          <w:rFonts w:hint="eastAsia" w:ascii="FangSong_GB2312" w:hAnsi="FangSong_GB2312" w:eastAsia="FangSong_GB2312" w:cs="黑体"/>
          <w:kern w:val="2"/>
          <w:sz w:val="32"/>
          <w:szCs w:val="32"/>
          <w:highlight w:val="none"/>
          <w:lang w:val="en-US" w:eastAsia="zh-CN" w:bidi="ar-SA"/>
        </w:rPr>
        <w:fldChar w:fldCharType="begin"/>
      </w:r>
      <w:r>
        <w:rPr>
          <w:rFonts w:hint="eastAsia" w:ascii="FangSong_GB2312" w:hAnsi="FangSong_GB2312" w:eastAsia="FangSong_GB2312" w:cs="黑体"/>
          <w:kern w:val="2"/>
          <w:sz w:val="32"/>
          <w:szCs w:val="32"/>
          <w:highlight w:val="none"/>
          <w:lang w:val="en-US" w:eastAsia="zh-CN" w:bidi="ar-SA"/>
        </w:rPr>
        <w:instrText xml:space="preserve"> HYPERLINK \l _Toc7457 </w:instrText>
      </w:r>
      <w:r>
        <w:rPr>
          <w:rFonts w:hint="eastAsia" w:ascii="FangSong_GB2312" w:hAnsi="FangSong_GB2312" w:eastAsia="FangSong_GB2312" w:cs="黑体"/>
          <w:kern w:val="2"/>
          <w:sz w:val="32"/>
          <w:szCs w:val="32"/>
          <w:highlight w:val="none"/>
          <w:lang w:val="en-US" w:eastAsia="zh-CN" w:bidi="ar-SA"/>
        </w:rPr>
        <w:fldChar w:fldCharType="separate"/>
      </w:r>
      <w:r>
        <w:rPr>
          <w:rFonts w:hint="eastAsia" w:ascii="FangSong_GB2312" w:hAnsi="FangSong_GB2312" w:eastAsia="FangSong_GB2312" w:cs="黑体"/>
          <w:kern w:val="2"/>
          <w:sz w:val="32"/>
          <w:szCs w:val="32"/>
          <w:highlight w:val="none"/>
          <w:lang w:val="en-US" w:eastAsia="zh-CN" w:bidi="ar-SA"/>
        </w:rPr>
        <w:t>第四章  响应文件内容及格式</w:t>
      </w:r>
      <w:r>
        <w:rPr>
          <w:rFonts w:hint="eastAsia" w:ascii="FangSong_GB2312" w:hAnsi="FangSong_GB2312" w:eastAsia="FangSong_GB2312" w:cs="黑体"/>
          <w:kern w:val="2"/>
          <w:sz w:val="32"/>
          <w:szCs w:val="32"/>
          <w:highlight w:val="none"/>
          <w:lang w:val="en-US" w:eastAsia="zh-CN" w:bidi="ar-SA"/>
        </w:rPr>
        <w:tab/>
      </w:r>
      <w:r>
        <w:rPr>
          <w:rFonts w:hint="eastAsia" w:ascii="FangSong_GB2312" w:hAnsi="FangSong_GB2312" w:eastAsia="FangSong_GB2312" w:cs="黑体"/>
          <w:kern w:val="2"/>
          <w:sz w:val="32"/>
          <w:szCs w:val="32"/>
          <w:highlight w:val="none"/>
          <w:lang w:val="en-US" w:eastAsia="zh-CN" w:bidi="ar-SA"/>
        </w:rPr>
        <w:t>1</w:t>
      </w:r>
      <w:r>
        <w:rPr>
          <w:rFonts w:hint="eastAsia" w:ascii="FangSong_GB2312" w:hAnsi="FangSong_GB2312" w:eastAsia="FangSong_GB2312" w:cs="黑体"/>
          <w:kern w:val="2"/>
          <w:sz w:val="32"/>
          <w:szCs w:val="32"/>
          <w:highlight w:val="none"/>
          <w:lang w:val="en-US" w:eastAsia="zh-CN" w:bidi="ar-SA"/>
        </w:rPr>
        <w:fldChar w:fldCharType="end"/>
      </w:r>
      <w:r>
        <w:rPr>
          <w:rFonts w:hint="eastAsia" w:ascii="FangSong_GB2312" w:hAnsi="FangSong_GB2312" w:eastAsia="FangSong_GB2312" w:cs="黑体"/>
          <w:kern w:val="2"/>
          <w:sz w:val="32"/>
          <w:szCs w:val="32"/>
          <w:highlight w:val="none"/>
          <w:lang w:val="en-US" w:eastAsia="zh-CN" w:bidi="ar-SA"/>
        </w:rPr>
        <w:t>4</w:t>
      </w:r>
    </w:p>
    <w:p>
      <w:pPr>
        <w:keepNext w:val="0"/>
        <w:keepLines w:val="0"/>
        <w:pageBreakBefore w:val="0"/>
        <w:widowControl w:val="0"/>
        <w:kinsoku/>
        <w:wordWrap/>
        <w:overflowPunct/>
        <w:topLinePunct w:val="0"/>
        <w:autoSpaceDE/>
        <w:autoSpaceDN/>
        <w:bidi w:val="0"/>
        <w:adjustRightInd/>
        <w:snapToGrid/>
        <w:spacing w:line="720" w:lineRule="auto"/>
        <w:jc w:val="distribute"/>
        <w:textAlignment w:val="auto"/>
        <w:rPr>
          <w:rFonts w:hint="eastAsia" w:ascii="宋体" w:hAnsi="宋体" w:eastAsia="宋体" w:cs="宋体"/>
          <w:b/>
          <w:sz w:val="32"/>
          <w:szCs w:val="32"/>
          <w:highlight w:val="none"/>
        </w:rPr>
      </w:pPr>
      <w:r>
        <w:rPr>
          <w:rFonts w:hint="eastAsia" w:ascii="宋体" w:hAnsi="宋体" w:eastAsia="宋体" w:cs="宋体"/>
          <w:b/>
          <w:bCs/>
          <w:sz w:val="24"/>
          <w:szCs w:val="36"/>
          <w:highlight w:val="none"/>
        </w:rPr>
        <w:fldChar w:fldCharType="end"/>
      </w:r>
    </w:p>
    <w:p>
      <w:pPr>
        <w:pageBreakBefore w:val="0"/>
        <w:kinsoku/>
        <w:overflowPunct/>
        <w:topLinePunct w:val="0"/>
        <w:autoSpaceDE/>
        <w:autoSpaceDN/>
        <w:bidi w:val="0"/>
        <w:adjustRightInd/>
        <w:spacing w:line="360" w:lineRule="auto"/>
        <w:textAlignment w:val="auto"/>
        <w:rPr>
          <w:rFonts w:hint="eastAsia" w:ascii="宋体" w:hAnsi="宋体" w:eastAsia="宋体" w:cs="宋体"/>
          <w:b/>
          <w:sz w:val="36"/>
          <w:szCs w:val="36"/>
          <w:highlight w:val="none"/>
        </w:rPr>
      </w:pPr>
    </w:p>
    <w:p>
      <w:pPr>
        <w:pageBreakBefore w:val="0"/>
        <w:kinsoku/>
        <w:overflowPunct/>
        <w:topLinePunct w:val="0"/>
        <w:autoSpaceDE/>
        <w:autoSpaceDN/>
        <w:bidi w:val="0"/>
        <w:adjustRightInd/>
        <w:spacing w:line="360" w:lineRule="auto"/>
        <w:textAlignment w:val="auto"/>
        <w:rPr>
          <w:rFonts w:hint="eastAsia" w:ascii="宋体" w:hAnsi="宋体" w:eastAsia="宋体" w:cs="宋体"/>
          <w:b/>
          <w:sz w:val="36"/>
          <w:szCs w:val="36"/>
          <w:highlight w:val="none"/>
        </w:rPr>
      </w:pPr>
    </w:p>
    <w:p>
      <w:pPr>
        <w:pageBreakBefore w:val="0"/>
        <w:kinsoku/>
        <w:overflowPunct/>
        <w:topLinePunct w:val="0"/>
        <w:autoSpaceDE/>
        <w:autoSpaceDN/>
        <w:bidi w:val="0"/>
        <w:adjustRightInd/>
        <w:spacing w:line="360" w:lineRule="auto"/>
        <w:textAlignment w:val="auto"/>
        <w:rPr>
          <w:rFonts w:hint="eastAsia" w:ascii="宋体" w:hAnsi="宋体" w:eastAsia="宋体" w:cs="宋体"/>
          <w:b/>
          <w:sz w:val="36"/>
          <w:szCs w:val="36"/>
          <w:highlight w:val="none"/>
        </w:rPr>
      </w:pPr>
    </w:p>
    <w:p>
      <w:pPr>
        <w:pageBreakBefore w:val="0"/>
        <w:kinsoku/>
        <w:overflowPunct/>
        <w:topLinePunct w:val="0"/>
        <w:autoSpaceDE/>
        <w:autoSpaceDN/>
        <w:bidi w:val="0"/>
        <w:adjustRightInd/>
        <w:spacing w:line="360" w:lineRule="auto"/>
        <w:textAlignment w:val="auto"/>
        <w:rPr>
          <w:rFonts w:hint="eastAsia" w:ascii="宋体" w:hAnsi="宋体" w:eastAsia="宋体" w:cs="宋体"/>
          <w:b/>
          <w:sz w:val="36"/>
          <w:szCs w:val="36"/>
          <w:highlight w:val="none"/>
        </w:rPr>
      </w:pPr>
    </w:p>
    <w:p>
      <w:pPr>
        <w:pageBreakBefore w:val="0"/>
        <w:kinsoku/>
        <w:overflowPunct/>
        <w:topLinePunct w:val="0"/>
        <w:autoSpaceDE/>
        <w:autoSpaceDN/>
        <w:bidi w:val="0"/>
        <w:adjustRightInd/>
        <w:spacing w:line="360" w:lineRule="auto"/>
        <w:textAlignment w:val="auto"/>
        <w:rPr>
          <w:rFonts w:hint="eastAsia" w:ascii="宋体" w:hAnsi="宋体" w:eastAsia="宋体" w:cs="宋体"/>
          <w:b/>
          <w:sz w:val="36"/>
          <w:szCs w:val="36"/>
          <w:highlight w:val="none"/>
        </w:rPr>
      </w:pPr>
    </w:p>
    <w:p>
      <w:pPr>
        <w:pageBreakBefore w:val="0"/>
        <w:kinsoku/>
        <w:overflowPunct/>
        <w:topLinePunct w:val="0"/>
        <w:autoSpaceDE/>
        <w:autoSpaceDN/>
        <w:bidi w:val="0"/>
        <w:adjustRightInd/>
        <w:spacing w:line="360" w:lineRule="auto"/>
        <w:textAlignment w:val="auto"/>
        <w:rPr>
          <w:rFonts w:hint="eastAsia" w:ascii="宋体" w:hAnsi="宋体" w:eastAsia="宋体" w:cs="宋体"/>
          <w:b/>
          <w:sz w:val="36"/>
          <w:szCs w:val="36"/>
          <w:highlight w:val="none"/>
        </w:rPr>
      </w:pPr>
    </w:p>
    <w:p>
      <w:pPr>
        <w:pStyle w:val="5"/>
        <w:rPr>
          <w:rFonts w:hint="eastAsia" w:ascii="宋体" w:hAnsi="宋体" w:eastAsia="宋体" w:cs="宋体"/>
          <w:b/>
          <w:sz w:val="36"/>
          <w:szCs w:val="36"/>
          <w:highlight w:val="none"/>
        </w:rPr>
      </w:pPr>
    </w:p>
    <w:p>
      <w:pPr>
        <w:pStyle w:val="5"/>
        <w:rPr>
          <w:rFonts w:hint="eastAsia" w:ascii="宋体" w:hAnsi="宋体" w:eastAsia="宋体" w:cs="宋体"/>
          <w:b/>
          <w:sz w:val="36"/>
          <w:szCs w:val="36"/>
          <w:highlight w:val="none"/>
        </w:rPr>
      </w:pPr>
    </w:p>
    <w:p>
      <w:pPr>
        <w:pStyle w:val="5"/>
        <w:rPr>
          <w:rFonts w:hint="eastAsia" w:ascii="宋体" w:hAnsi="宋体" w:eastAsia="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sectPr>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r>
        <w:rPr>
          <w:rFonts w:hint="eastAsia" w:ascii="仿宋" w:hAnsi="仿宋" w:eastAsia="仿宋" w:cs="仿宋"/>
          <w:b/>
          <w:bCs/>
          <w:kern w:val="2"/>
          <w:sz w:val="44"/>
          <w:szCs w:val="44"/>
          <w:highlight w:val="none"/>
          <w:lang w:val="en-US" w:eastAsia="zh-CN" w:bidi="ar-SA"/>
        </w:rPr>
        <w:t>第一章  比选邀请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sz w:val="32"/>
          <w:highlight w:val="none"/>
          <w:lang w:val="en-US" w:eastAsia="zh-CN"/>
        </w:rPr>
      </w:pPr>
      <w:bookmarkStart w:id="0" w:name="_Toc21670"/>
      <w:r>
        <w:rPr>
          <w:rFonts w:hint="eastAsia" w:ascii="Times New Roman" w:hAnsi="Times New Roman" w:eastAsia="仿宋_GB2312"/>
          <w:sz w:val="32"/>
          <w:highlight w:val="none"/>
          <w:lang w:val="en-US" w:eastAsia="zh-CN"/>
        </w:rPr>
        <w:t>贵州省农业农村厅拟开展2024年贵州省第三次土壤普查相关技术服务及货物政府采购代理机构公开比选，欢迎符合条件的供应商参加，</w:t>
      </w:r>
      <w:r>
        <w:rPr>
          <w:rFonts w:hint="eastAsia" w:ascii="Times New Roman" w:hAnsi="Times New Roman" w:eastAsia="仿宋_GB2312"/>
          <w:sz w:val="32"/>
          <w:highlight w:val="none"/>
        </w:rPr>
        <w:t>现将有关事宜公告如下：</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textAlignment w:val="auto"/>
        <w:rPr>
          <w:rFonts w:hint="eastAsia" w:ascii="Times New Roman" w:hAnsi="Times New Roman" w:eastAsia="黑体" w:cs="Times New Roman"/>
          <w:kern w:val="2"/>
          <w:sz w:val="32"/>
          <w:szCs w:val="24"/>
          <w:highlight w:val="none"/>
          <w:lang w:val="en-US" w:eastAsia="zh-CN" w:bidi="ar-SA"/>
        </w:rPr>
      </w:pPr>
      <w:r>
        <w:rPr>
          <w:rFonts w:hint="eastAsia" w:ascii="Times New Roman" w:hAnsi="Times New Roman" w:eastAsia="黑体" w:cs="Times New Roman"/>
          <w:kern w:val="2"/>
          <w:sz w:val="32"/>
          <w:szCs w:val="24"/>
          <w:highlight w:val="none"/>
          <w:lang w:val="en-US" w:eastAsia="zh-CN" w:bidi="ar-SA"/>
        </w:rPr>
        <w:t>一、采购内容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sz w:val="32"/>
          <w:highlight w:val="none"/>
          <w:lang w:val="en-US" w:eastAsia="zh-CN"/>
        </w:rPr>
      </w:pPr>
      <w:r>
        <w:rPr>
          <w:rFonts w:hint="eastAsia" w:ascii="Times New Roman" w:hAnsi="Times New Roman" w:eastAsia="仿宋_GB2312"/>
          <w:sz w:val="32"/>
          <w:highlight w:val="none"/>
          <w:lang w:val="en-US" w:eastAsia="zh-CN"/>
        </w:rPr>
        <w:t>2024年贵州省第三次土壤普查剖面土壤调查与采样；贵州省第三次土壤普查外业调查与采样数据审核和内业检测化验数据审核；贵州省第三次土壤普查土壤样品瓶。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textAlignment w:val="auto"/>
        <w:rPr>
          <w:rFonts w:hint="eastAsia" w:ascii="Times New Roman" w:hAnsi="Times New Roman" w:eastAsia="黑体" w:cs="Times New Roman"/>
          <w:kern w:val="2"/>
          <w:sz w:val="32"/>
          <w:szCs w:val="24"/>
          <w:highlight w:val="none"/>
          <w:lang w:val="en-US" w:eastAsia="zh-CN" w:bidi="ar-SA"/>
        </w:rPr>
      </w:pPr>
      <w:r>
        <w:rPr>
          <w:rFonts w:hint="eastAsia" w:ascii="Times New Roman" w:hAnsi="Times New Roman" w:eastAsia="黑体" w:cs="Times New Roman"/>
          <w:kern w:val="2"/>
          <w:sz w:val="32"/>
          <w:szCs w:val="24"/>
          <w:highlight w:val="none"/>
          <w:lang w:val="en-US" w:eastAsia="zh-CN" w:bidi="ar-SA"/>
        </w:rPr>
        <w:t>二、供应商资格要求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sz w:val="32"/>
          <w:highlight w:val="none"/>
          <w:lang w:val="en-US" w:eastAsia="zh-CN"/>
        </w:rPr>
      </w:pPr>
      <w:r>
        <w:rPr>
          <w:rFonts w:hint="eastAsia" w:ascii="Times New Roman" w:hAnsi="Times New Roman" w:eastAsia="仿宋_GB2312"/>
          <w:sz w:val="32"/>
          <w:highlight w:val="none"/>
          <w:lang w:val="en-US" w:eastAsia="zh-CN"/>
        </w:rPr>
        <w:t>1.具有独立承担民事责任的能力，提供营业执照复印件。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sz w:val="32"/>
          <w:highlight w:val="none"/>
          <w:lang w:val="en-US" w:eastAsia="zh-CN"/>
        </w:rPr>
      </w:pPr>
      <w:r>
        <w:rPr>
          <w:rFonts w:hint="eastAsia" w:ascii="Times New Roman" w:hAnsi="Times New Roman" w:eastAsia="仿宋_GB2312"/>
          <w:sz w:val="32"/>
          <w:highlight w:val="none"/>
          <w:lang w:val="en-US" w:eastAsia="zh-CN"/>
        </w:rPr>
        <w:t>2.具有良好的商业信誉和健全的财务会计制度，提供2022年经第三方审计的审计报告复印件。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sz w:val="32"/>
          <w:highlight w:val="none"/>
          <w:lang w:val="en-US" w:eastAsia="zh-CN"/>
        </w:rPr>
      </w:pPr>
      <w:r>
        <w:rPr>
          <w:rFonts w:hint="eastAsia" w:ascii="Times New Roman" w:hAnsi="Times New Roman" w:eastAsia="仿宋_GB2312"/>
          <w:sz w:val="32"/>
          <w:highlight w:val="none"/>
          <w:lang w:val="en-US" w:eastAsia="zh-CN"/>
        </w:rPr>
        <w:t>3.具有履行合同所必需的设备和专业技术能力，供应商根据本次服务内容自行提供。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sz w:val="32"/>
          <w:highlight w:val="none"/>
          <w:lang w:val="en-US" w:eastAsia="zh-CN"/>
        </w:rPr>
      </w:pPr>
      <w:r>
        <w:rPr>
          <w:rFonts w:hint="eastAsia" w:ascii="Times New Roman" w:hAnsi="Times New Roman" w:eastAsia="仿宋_GB2312"/>
          <w:sz w:val="32"/>
          <w:highlight w:val="none"/>
          <w:lang w:val="en-US" w:eastAsia="zh-CN"/>
        </w:rPr>
        <w:t>4.有依法缴纳税收和社会保障资金的良好记录，提供2023年6月至今任意三个月依法缴纳税收和社保的相关证明材料。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sz w:val="32"/>
          <w:highlight w:val="none"/>
          <w:lang w:val="en-US" w:eastAsia="zh-CN"/>
        </w:rPr>
      </w:pPr>
      <w:r>
        <w:rPr>
          <w:rFonts w:hint="eastAsia" w:ascii="Times New Roman" w:hAnsi="Times New Roman" w:eastAsia="仿宋_GB2312"/>
          <w:sz w:val="32"/>
          <w:highlight w:val="none"/>
          <w:lang w:val="en-US" w:eastAsia="zh-CN"/>
        </w:rPr>
        <w:t>5.在中国政府采购网(http: //www.ccgp.gov.cn/）或中国政府采购网贵州分网完成网上登记备案，提供财政部政府采购管理交易系统机构信息维护页面的截图扫描件。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textAlignment w:val="auto"/>
        <w:rPr>
          <w:rFonts w:hint="eastAsia" w:ascii="Times New Roman" w:hAnsi="Times New Roman" w:eastAsia="黑体" w:cs="Times New Roman"/>
          <w:kern w:val="2"/>
          <w:sz w:val="32"/>
          <w:szCs w:val="24"/>
          <w:highlight w:val="none"/>
          <w:lang w:val="en-US" w:eastAsia="zh-CN" w:bidi="ar-SA"/>
        </w:rPr>
      </w:pPr>
      <w:r>
        <w:rPr>
          <w:rFonts w:hint="eastAsia" w:ascii="Times New Roman" w:hAnsi="Times New Roman" w:eastAsia="黑体" w:cs="Times New Roman"/>
          <w:kern w:val="2"/>
          <w:sz w:val="32"/>
          <w:szCs w:val="24"/>
          <w:highlight w:val="none"/>
          <w:lang w:val="en-US" w:eastAsia="zh-CN" w:bidi="ar-SA"/>
        </w:rPr>
        <w:t>三、获取公开比选文件的时间、方式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sz w:val="32"/>
          <w:highlight w:val="none"/>
          <w:lang w:val="zh-CN" w:eastAsia="zh-CN"/>
        </w:rPr>
      </w:pPr>
      <w:r>
        <w:rPr>
          <w:rFonts w:hint="eastAsia" w:ascii="Times New Roman" w:hAnsi="Times New Roman" w:eastAsia="仿宋_GB2312"/>
          <w:sz w:val="32"/>
          <w:highlight w:val="none"/>
          <w:lang w:val="en-US" w:eastAsia="zh-CN"/>
        </w:rPr>
        <w:t>1.获取公开比选文件的时间：2024年3月11日至2024年3月13日</w:t>
      </w:r>
      <w:r>
        <w:rPr>
          <w:rFonts w:hint="eastAsia" w:ascii="Times New Roman" w:hAnsi="Times New Roman" w:eastAsia="仿宋_GB2312"/>
          <w:sz w:val="32"/>
          <w:highlight w:val="none"/>
          <w:lang w:val="zh-CN"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sz w:val="32"/>
          <w:highlight w:val="none"/>
          <w:lang w:val="en-US" w:eastAsia="zh-CN"/>
        </w:rPr>
      </w:pPr>
      <w:r>
        <w:rPr>
          <w:rFonts w:hint="eastAsia" w:ascii="Times New Roman" w:hAnsi="Times New Roman" w:eastAsia="仿宋_GB2312"/>
          <w:sz w:val="32"/>
          <w:highlight w:val="none"/>
          <w:lang w:val="zh-CN" w:eastAsia="zh-CN"/>
        </w:rPr>
        <w:t>2.获取公开比选文件的方式：</w:t>
      </w:r>
      <w:r>
        <w:rPr>
          <w:rFonts w:hint="eastAsia" w:ascii="Times New Roman" w:hAnsi="Times New Roman" w:eastAsia="仿宋_GB2312"/>
          <w:sz w:val="32"/>
          <w:highlight w:val="none"/>
          <w:lang w:val="en-US" w:eastAsia="zh-CN"/>
        </w:rPr>
        <w:t>符合条件并有意愿的供应商在贵州省农业农村</w:t>
      </w:r>
      <w:bookmarkStart w:id="3" w:name="_GoBack"/>
      <w:bookmarkEnd w:id="3"/>
      <w:r>
        <w:rPr>
          <w:rFonts w:hint="eastAsia" w:ascii="Times New Roman" w:hAnsi="Times New Roman" w:eastAsia="仿宋_GB2312"/>
          <w:sz w:val="32"/>
          <w:highlight w:val="none"/>
          <w:lang w:val="en-US" w:eastAsia="zh-CN"/>
        </w:rPr>
        <w:t>厅网站自行下载。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textAlignment w:val="auto"/>
        <w:rPr>
          <w:rFonts w:hint="eastAsia" w:ascii="Times New Roman" w:hAnsi="Times New Roman" w:eastAsia="黑体" w:cs="Times New Roman"/>
          <w:kern w:val="2"/>
          <w:sz w:val="32"/>
          <w:szCs w:val="24"/>
          <w:highlight w:val="none"/>
          <w:lang w:val="en-US" w:eastAsia="zh-CN" w:bidi="ar-SA"/>
        </w:rPr>
      </w:pPr>
      <w:r>
        <w:rPr>
          <w:rFonts w:hint="eastAsia" w:ascii="Times New Roman" w:hAnsi="Times New Roman" w:eastAsia="黑体" w:cs="Times New Roman"/>
          <w:kern w:val="2"/>
          <w:sz w:val="32"/>
          <w:szCs w:val="24"/>
          <w:highlight w:val="none"/>
          <w:lang w:val="en-US" w:eastAsia="zh-CN" w:bidi="ar-SA"/>
        </w:rPr>
        <w:t>四、响应文件递交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sz w:val="32"/>
          <w:highlight w:val="none"/>
          <w:lang w:val="en-US" w:eastAsia="zh-CN"/>
        </w:rPr>
      </w:pPr>
      <w:r>
        <w:rPr>
          <w:rFonts w:hint="eastAsia" w:ascii="Times New Roman" w:hAnsi="Times New Roman" w:eastAsia="仿宋_GB2312"/>
          <w:sz w:val="32"/>
          <w:highlight w:val="none"/>
          <w:lang w:val="en-US" w:eastAsia="zh-CN"/>
        </w:rPr>
        <w:t>1.截止时间：响应文件须于2024年3月14日17时00分（北京时间）前送达，逾期送达或未送达指定地点的响应文件，采购人不予受理。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sz w:val="32"/>
          <w:highlight w:val="none"/>
          <w:lang w:val="en-US" w:eastAsia="zh-CN"/>
        </w:rPr>
      </w:pPr>
      <w:r>
        <w:rPr>
          <w:rFonts w:hint="eastAsia" w:ascii="Times New Roman" w:hAnsi="Times New Roman" w:eastAsia="仿宋_GB2312"/>
          <w:sz w:val="32"/>
          <w:highlight w:val="none"/>
          <w:lang w:val="en-US" w:eastAsia="zh-CN"/>
        </w:rPr>
        <w:t>2.响应文件提交地点：贵阳市云岩区瑞金北路1号7楼702办公室</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textAlignment w:val="auto"/>
        <w:rPr>
          <w:rFonts w:hint="eastAsia" w:ascii="Times New Roman" w:hAnsi="Times New Roman" w:eastAsia="黑体" w:cs="Times New Roman"/>
          <w:kern w:val="2"/>
          <w:sz w:val="32"/>
          <w:szCs w:val="24"/>
          <w:highlight w:val="none"/>
          <w:lang w:val="en-US" w:eastAsia="zh-CN" w:bidi="ar-SA"/>
        </w:rPr>
      </w:pPr>
      <w:r>
        <w:rPr>
          <w:rFonts w:hint="eastAsia" w:ascii="Times New Roman" w:hAnsi="Times New Roman" w:eastAsia="黑体" w:cs="Times New Roman"/>
          <w:kern w:val="2"/>
          <w:sz w:val="32"/>
          <w:szCs w:val="24"/>
          <w:highlight w:val="none"/>
          <w:lang w:val="en-US" w:eastAsia="zh-CN" w:bidi="ar-SA"/>
        </w:rPr>
        <w:t>五、本次比选联系事项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sz w:val="32"/>
          <w:highlight w:val="none"/>
          <w:lang w:val="en-US" w:eastAsia="zh-CN"/>
        </w:rPr>
      </w:pPr>
      <w:r>
        <w:rPr>
          <w:rFonts w:hint="eastAsia" w:ascii="Times New Roman" w:hAnsi="Times New Roman" w:eastAsia="仿宋_GB2312"/>
          <w:sz w:val="32"/>
          <w:highlight w:val="none"/>
          <w:lang w:val="en-US" w:eastAsia="zh-CN"/>
        </w:rPr>
        <w:t xml:space="preserve">1.联 系 人：郑 超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sz w:val="32"/>
          <w:highlight w:val="none"/>
          <w:lang w:val="en-US" w:eastAsia="zh-CN"/>
        </w:rPr>
      </w:pPr>
      <w:r>
        <w:rPr>
          <w:rFonts w:hint="eastAsia" w:ascii="Times New Roman" w:hAnsi="Times New Roman" w:eastAsia="仿宋_GB2312"/>
          <w:sz w:val="32"/>
          <w:highlight w:val="none"/>
          <w:lang w:val="en-US" w:eastAsia="zh-CN"/>
        </w:rPr>
        <w:t xml:space="preserve">2.电    话：0851-85861720  </w:t>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宋体" w:hAnsi="宋体" w:eastAsia="宋体" w:cs="宋体"/>
          <w:color w:val="auto"/>
          <w:sz w:val="24"/>
          <w:szCs w:val="24"/>
          <w:highlight w:val="none"/>
          <w:shd w:val="clear" w:color="auto" w:fill="auto"/>
        </w:rPr>
      </w:pP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br w:type="page"/>
      </w:r>
    </w:p>
    <w:bookmarkEnd w:id="0"/>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宋体" w:hAnsi="宋体" w:eastAsia="宋体" w:cs="宋体"/>
          <w:sz w:val="24"/>
          <w:highlight w:val="none"/>
        </w:rPr>
      </w:pPr>
      <w:r>
        <w:rPr>
          <w:rFonts w:hint="eastAsia" w:ascii="仿宋" w:hAnsi="仿宋" w:eastAsia="仿宋" w:cs="仿宋"/>
          <w:b/>
          <w:bCs/>
          <w:kern w:val="2"/>
          <w:sz w:val="44"/>
          <w:szCs w:val="44"/>
          <w:highlight w:val="none"/>
          <w:lang w:val="en-US" w:eastAsia="zh-CN" w:bidi="ar-SA"/>
        </w:rPr>
        <w:t>第二章  供应商须知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left"/>
        <w:rPr>
          <w:rFonts w:hint="eastAsia" w:ascii="黑体" w:hAnsi="黑体" w:eastAsia="黑体" w:cs="宋体"/>
          <w:kern w:val="2"/>
          <w:sz w:val="32"/>
          <w:szCs w:val="32"/>
          <w:highlight w:val="none"/>
          <w:lang w:val="en-US" w:eastAsia="zh-CN" w:bidi="ar-SA"/>
        </w:rPr>
      </w:pPr>
      <w:r>
        <w:rPr>
          <w:rFonts w:hint="eastAsia" w:ascii="黑体" w:hAnsi="黑体" w:eastAsia="黑体" w:cs="宋体"/>
          <w:kern w:val="2"/>
          <w:sz w:val="32"/>
          <w:szCs w:val="32"/>
          <w:highlight w:val="none"/>
          <w:lang w:val="en-US" w:eastAsia="zh-CN" w:bidi="ar-SA"/>
        </w:rPr>
        <w:t>一、供应商资质要求</w:t>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1.具有独立承担民事责任的能力，提供营业执照复印件。</w:t>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2.具有良好的商业信誉和健全的财务会计制度，提供2022年经第三方审计的审计报告复印件。</w:t>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3.具有履行合同所必需的设备和专业技术能力，供应商根据本次服务内容自行提供。</w:t>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4.有依法缴纳税收和社会保障资金的良好记录，提供2023年6月至今任意三个月依法缴纳税收和社保的相关证明材料。</w:t>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5.在中国政府采购网(http: //www.ccgp.gov.cn/）或中国政府采购网贵州分网完成网上登记备案，提供财政部政府采购管理交易系统机构信息维护页面的截图扫描件。</w:t>
      </w:r>
    </w:p>
    <w:p>
      <w:pPr>
        <w:spacing w:beforeLines="0" w:afterLines="0"/>
        <w:jc w:val="left"/>
        <w:rPr>
          <w:rFonts w:hint="eastAsia" w:ascii="黑体" w:hAnsi="黑体" w:eastAsia="黑体" w:cs="宋体"/>
          <w:kern w:val="2"/>
          <w:sz w:val="32"/>
          <w:szCs w:val="32"/>
          <w:highlight w:val="none"/>
          <w:lang w:val="en-US" w:eastAsia="zh-CN" w:bidi="ar-SA"/>
        </w:rPr>
      </w:pPr>
      <w:r>
        <w:rPr>
          <w:rFonts w:hint="eastAsia" w:ascii="黑体" w:hAnsi="黑体" w:eastAsia="黑体" w:cs="宋体"/>
          <w:kern w:val="2"/>
          <w:sz w:val="32"/>
          <w:szCs w:val="32"/>
          <w:highlight w:val="none"/>
          <w:lang w:val="en-US" w:eastAsia="zh-CN" w:bidi="ar-SA"/>
        </w:rPr>
        <w:t>二、响应文件的编制及递交</w:t>
      </w:r>
    </w:p>
    <w:p>
      <w:pPr>
        <w:spacing w:beforeLines="0" w:afterLines="0"/>
        <w:ind w:firstLine="560" w:firstLineChars="200"/>
        <w:jc w:val="left"/>
        <w:rPr>
          <w:rFonts w:hint="eastAsia" w:ascii="FangSong_GB2312" w:hAnsi="FangSong_GB2312" w:eastAsia="FangSong_GB2312"/>
          <w:sz w:val="28"/>
          <w:szCs w:val="24"/>
          <w:highlight w:val="none"/>
        </w:rPr>
      </w:pPr>
      <w:r>
        <w:rPr>
          <w:rFonts w:hint="eastAsia" w:ascii="FangSong_GB2312" w:hAnsi="FangSong_GB2312" w:eastAsia="FangSong_GB2312"/>
          <w:sz w:val="28"/>
          <w:szCs w:val="24"/>
          <w:highlight w:val="none"/>
          <w:lang w:val="en-US" w:eastAsia="zh-CN"/>
        </w:rPr>
        <w:t>1.</w:t>
      </w:r>
      <w:r>
        <w:rPr>
          <w:rFonts w:hint="eastAsia" w:ascii="FangSong_GB2312" w:hAnsi="FangSong_GB2312" w:eastAsia="FangSong_GB2312"/>
          <w:sz w:val="28"/>
          <w:szCs w:val="24"/>
          <w:highlight w:val="none"/>
          <w:lang w:eastAsia="zh-CN"/>
        </w:rPr>
        <w:t>供应商</w:t>
      </w:r>
      <w:r>
        <w:rPr>
          <w:rFonts w:hint="eastAsia" w:ascii="FangSong_GB2312" w:hAnsi="FangSong_GB2312" w:eastAsia="FangSong_GB2312"/>
          <w:sz w:val="28"/>
          <w:szCs w:val="24"/>
          <w:highlight w:val="none"/>
        </w:rPr>
        <w:t>应认真阅读</w:t>
      </w:r>
      <w:r>
        <w:rPr>
          <w:rFonts w:hint="eastAsia" w:ascii="FangSong_GB2312" w:hAnsi="FangSong_GB2312" w:eastAsia="FangSong_GB2312"/>
          <w:sz w:val="28"/>
          <w:szCs w:val="24"/>
          <w:highlight w:val="none"/>
          <w:lang w:eastAsia="zh-CN"/>
        </w:rPr>
        <w:t>公开比选文件</w:t>
      </w:r>
      <w:r>
        <w:rPr>
          <w:rFonts w:hint="eastAsia" w:ascii="FangSong_GB2312" w:hAnsi="FangSong_GB2312" w:eastAsia="FangSong_GB2312"/>
          <w:sz w:val="28"/>
          <w:szCs w:val="24"/>
          <w:highlight w:val="none"/>
        </w:rPr>
        <w:t>的所有内容，其响应文件须对</w:t>
      </w:r>
      <w:r>
        <w:rPr>
          <w:rFonts w:hint="eastAsia" w:ascii="FangSong_GB2312" w:hAnsi="FangSong_GB2312" w:eastAsia="FangSong_GB2312"/>
          <w:sz w:val="28"/>
          <w:szCs w:val="24"/>
          <w:highlight w:val="none"/>
          <w:lang w:eastAsia="zh-CN"/>
        </w:rPr>
        <w:t>公开比选文件</w:t>
      </w:r>
      <w:r>
        <w:rPr>
          <w:rFonts w:hint="eastAsia" w:ascii="FangSong_GB2312" w:hAnsi="FangSong_GB2312" w:eastAsia="FangSong_GB2312"/>
          <w:sz w:val="28"/>
          <w:szCs w:val="24"/>
          <w:highlight w:val="none"/>
        </w:rPr>
        <w:t>作出实质性响应，并保证提供的全部资料的真实性和有效性，否则其投标将被拒绝；</w:t>
      </w:r>
    </w:p>
    <w:p>
      <w:pPr>
        <w:spacing w:beforeLines="0" w:afterLines="0"/>
        <w:ind w:firstLine="560" w:firstLineChars="200"/>
        <w:jc w:val="left"/>
        <w:rPr>
          <w:rFonts w:hint="eastAsia" w:ascii="FangSong_GB2312" w:hAnsi="FangSong_GB2312" w:eastAsia="FangSong_GB2312"/>
          <w:sz w:val="28"/>
          <w:szCs w:val="24"/>
          <w:highlight w:val="none"/>
          <w:lang w:eastAsia="zh-CN"/>
        </w:rPr>
      </w:pPr>
      <w:r>
        <w:rPr>
          <w:rFonts w:hint="eastAsia" w:ascii="FangSong_GB2312" w:hAnsi="FangSong_GB2312" w:eastAsia="FangSong_GB2312"/>
          <w:sz w:val="28"/>
          <w:szCs w:val="24"/>
          <w:highlight w:val="none"/>
          <w:lang w:val="en-US" w:eastAsia="zh-CN"/>
        </w:rPr>
        <w:t>2.</w:t>
      </w:r>
      <w:r>
        <w:rPr>
          <w:rFonts w:hint="eastAsia" w:ascii="FangSong_GB2312" w:hAnsi="FangSong_GB2312" w:eastAsia="FangSong_GB2312"/>
          <w:sz w:val="28"/>
          <w:szCs w:val="24"/>
          <w:highlight w:val="none"/>
          <w:lang w:eastAsia="zh-CN"/>
        </w:rPr>
        <w:t>供应商</w:t>
      </w:r>
      <w:r>
        <w:rPr>
          <w:rFonts w:hint="eastAsia" w:ascii="FangSong_GB2312" w:hAnsi="FangSong_GB2312" w:eastAsia="FangSong_GB2312"/>
          <w:sz w:val="28"/>
          <w:szCs w:val="24"/>
          <w:highlight w:val="none"/>
        </w:rPr>
        <w:t>应准备响应文件</w:t>
      </w:r>
      <w:r>
        <w:rPr>
          <w:rFonts w:hint="eastAsia" w:ascii="FangSong_GB2312" w:hAnsi="FangSong_GB2312" w:eastAsia="FangSong_GB2312"/>
          <w:b/>
          <w:bCs/>
          <w:sz w:val="28"/>
          <w:szCs w:val="24"/>
          <w:highlight w:val="none"/>
          <w:lang w:val="en-US" w:eastAsia="zh-CN"/>
        </w:rPr>
        <w:t>正本</w:t>
      </w:r>
      <w:r>
        <w:rPr>
          <w:rFonts w:hint="eastAsia" w:ascii="FangSong_GB2312" w:hAnsi="FangSong_GB2312" w:eastAsia="FangSong_GB2312"/>
          <w:b/>
          <w:bCs/>
          <w:sz w:val="28"/>
          <w:szCs w:val="24"/>
          <w:highlight w:val="none"/>
        </w:rPr>
        <w:t>一份</w:t>
      </w:r>
      <w:r>
        <w:rPr>
          <w:rFonts w:hint="eastAsia" w:ascii="FangSong_GB2312" w:hAnsi="FangSong_GB2312" w:eastAsia="FangSong_GB2312"/>
          <w:b/>
          <w:bCs/>
          <w:sz w:val="28"/>
          <w:szCs w:val="24"/>
          <w:highlight w:val="none"/>
          <w:lang w:eastAsia="zh-CN"/>
        </w:rPr>
        <w:t>、</w:t>
      </w:r>
      <w:r>
        <w:rPr>
          <w:rFonts w:hint="eastAsia" w:ascii="FangSong_GB2312" w:hAnsi="FangSong_GB2312" w:eastAsia="FangSong_GB2312"/>
          <w:b/>
          <w:bCs/>
          <w:sz w:val="28"/>
          <w:szCs w:val="24"/>
          <w:highlight w:val="none"/>
          <w:lang w:val="en-US" w:eastAsia="zh-CN"/>
        </w:rPr>
        <w:t>副本二份</w:t>
      </w:r>
      <w:r>
        <w:rPr>
          <w:rFonts w:hint="eastAsia" w:ascii="FangSong_GB2312" w:hAnsi="FangSong_GB2312" w:eastAsia="FangSong_GB2312"/>
          <w:sz w:val="28"/>
          <w:szCs w:val="24"/>
          <w:highlight w:val="none"/>
          <w:lang w:val="en-US" w:eastAsia="zh-CN"/>
        </w:rPr>
        <w:t>，</w:t>
      </w:r>
      <w:r>
        <w:rPr>
          <w:rFonts w:hint="eastAsia" w:ascii="FangSong_GB2312" w:hAnsi="FangSong_GB2312" w:eastAsia="FangSong_GB2312"/>
          <w:sz w:val="28"/>
          <w:szCs w:val="24"/>
          <w:highlight w:val="none"/>
        </w:rPr>
        <w:t>将其密封完整，并加盖投标单位公章，响应文件外层封套上应清楚地标明投标单位名称、项目名称的字样。任何行间插字、涂改或增删，必须有投标授权代表签字；</w:t>
      </w:r>
      <w:r>
        <w:rPr>
          <w:rFonts w:hint="eastAsia" w:ascii="FangSong_GB2312" w:hAnsi="FangSong_GB2312" w:eastAsia="FangSong_GB2312"/>
          <w:sz w:val="28"/>
          <w:szCs w:val="24"/>
          <w:highlight w:val="none"/>
          <w:lang w:val="en-US" w:eastAsia="zh-CN"/>
        </w:rPr>
        <w:t>准备</w:t>
      </w:r>
      <w:r>
        <w:rPr>
          <w:rFonts w:hint="eastAsia" w:ascii="FangSong_GB2312" w:hAnsi="FangSong_GB2312" w:eastAsia="FangSong_GB2312"/>
          <w:sz w:val="28"/>
          <w:szCs w:val="24"/>
          <w:highlight w:val="none"/>
        </w:rPr>
        <w:t>营业执照及法定代表人授权委托书</w:t>
      </w:r>
      <w:r>
        <w:rPr>
          <w:rFonts w:hint="eastAsia" w:ascii="FangSong_GB2312" w:hAnsi="FangSong_GB2312" w:eastAsia="FangSong_GB2312"/>
          <w:sz w:val="28"/>
          <w:szCs w:val="24"/>
          <w:highlight w:val="none"/>
          <w:lang w:val="en-US" w:eastAsia="zh-CN"/>
        </w:rPr>
        <w:t>一</w:t>
      </w:r>
      <w:r>
        <w:rPr>
          <w:rFonts w:hint="eastAsia" w:ascii="FangSong_GB2312" w:hAnsi="FangSong_GB2312" w:eastAsia="FangSong_GB2312"/>
          <w:sz w:val="28"/>
          <w:szCs w:val="24"/>
          <w:highlight w:val="none"/>
        </w:rPr>
        <w:t>份</w:t>
      </w:r>
      <w:r>
        <w:rPr>
          <w:rFonts w:hint="eastAsia" w:ascii="FangSong_GB2312" w:hAnsi="FangSong_GB2312" w:eastAsia="FangSong_GB2312"/>
          <w:sz w:val="28"/>
          <w:szCs w:val="24"/>
          <w:highlight w:val="none"/>
          <w:lang w:eastAsia="zh-CN"/>
        </w:rPr>
        <w:t>。</w:t>
      </w:r>
    </w:p>
    <w:p>
      <w:pPr>
        <w:spacing w:beforeLines="0" w:afterLines="0"/>
        <w:ind w:firstLine="560" w:firstLineChars="200"/>
        <w:jc w:val="left"/>
        <w:rPr>
          <w:rFonts w:hint="eastAsia" w:ascii="FangSong_GB2312" w:hAnsi="FangSong_GB2312" w:eastAsia="FangSong_GB2312"/>
          <w:sz w:val="28"/>
          <w:szCs w:val="24"/>
          <w:highlight w:val="none"/>
        </w:rPr>
      </w:pPr>
      <w:r>
        <w:rPr>
          <w:rFonts w:hint="eastAsia" w:ascii="FangSong_GB2312" w:hAnsi="FangSong_GB2312" w:eastAsia="FangSong_GB2312"/>
          <w:sz w:val="28"/>
          <w:szCs w:val="24"/>
          <w:highlight w:val="none"/>
          <w:lang w:val="en-US" w:eastAsia="zh-CN"/>
        </w:rPr>
        <w:t>3.</w:t>
      </w:r>
      <w:r>
        <w:rPr>
          <w:rFonts w:hint="eastAsia" w:ascii="FangSong_GB2312" w:hAnsi="FangSong_GB2312" w:eastAsia="FangSong_GB2312"/>
          <w:sz w:val="28"/>
          <w:szCs w:val="24"/>
          <w:highlight w:val="none"/>
          <w:lang w:eastAsia="zh-CN"/>
        </w:rPr>
        <w:t>供应商</w:t>
      </w:r>
      <w:r>
        <w:rPr>
          <w:rFonts w:hint="eastAsia" w:ascii="FangSong_GB2312" w:hAnsi="FangSong_GB2312" w:eastAsia="FangSong_GB2312"/>
          <w:sz w:val="28"/>
          <w:szCs w:val="24"/>
          <w:highlight w:val="none"/>
        </w:rPr>
        <w:t>应按</w:t>
      </w:r>
      <w:r>
        <w:rPr>
          <w:rFonts w:hint="eastAsia" w:ascii="FangSong_GB2312" w:hAnsi="FangSong_GB2312" w:eastAsia="FangSong_GB2312"/>
          <w:sz w:val="28"/>
          <w:szCs w:val="24"/>
          <w:highlight w:val="none"/>
          <w:lang w:eastAsia="zh-CN"/>
        </w:rPr>
        <w:t>公开比选文件</w:t>
      </w:r>
      <w:r>
        <w:rPr>
          <w:rFonts w:hint="eastAsia" w:ascii="FangSong_GB2312" w:hAnsi="FangSong_GB2312" w:eastAsia="FangSong_GB2312"/>
          <w:sz w:val="28"/>
          <w:szCs w:val="24"/>
          <w:highlight w:val="none"/>
        </w:rPr>
        <w:t>提供的格式编写其响应文件并装订成册，</w:t>
      </w:r>
      <w:r>
        <w:rPr>
          <w:rFonts w:hint="eastAsia" w:ascii="FangSong_GB2312" w:hAnsi="FangSong_GB2312" w:eastAsia="FangSong_GB2312"/>
          <w:sz w:val="28"/>
          <w:szCs w:val="24"/>
          <w:highlight w:val="none"/>
          <w:lang w:eastAsia="zh-CN"/>
        </w:rPr>
        <w:t>供应商</w:t>
      </w:r>
      <w:r>
        <w:rPr>
          <w:rFonts w:hint="eastAsia" w:ascii="FangSong_GB2312" w:hAnsi="FangSong_GB2312" w:eastAsia="FangSong_GB2312"/>
          <w:sz w:val="28"/>
          <w:szCs w:val="24"/>
          <w:highlight w:val="none"/>
        </w:rPr>
        <w:t>不得缺少任何</w:t>
      </w:r>
      <w:r>
        <w:rPr>
          <w:rFonts w:hint="eastAsia" w:ascii="FangSong_GB2312" w:hAnsi="FangSong_GB2312" w:eastAsia="FangSong_GB2312"/>
          <w:sz w:val="28"/>
          <w:szCs w:val="24"/>
          <w:highlight w:val="none"/>
          <w:lang w:eastAsia="zh-CN"/>
        </w:rPr>
        <w:t>公开比选文件</w:t>
      </w:r>
      <w:r>
        <w:rPr>
          <w:rFonts w:hint="eastAsia" w:ascii="FangSong_GB2312" w:hAnsi="FangSong_GB2312" w:eastAsia="FangSong_GB2312"/>
          <w:sz w:val="28"/>
          <w:szCs w:val="24"/>
          <w:highlight w:val="none"/>
        </w:rPr>
        <w:t>要求填写的表格或提交的资料，并按要求签字和盖章，否则将作无效投标处理；</w:t>
      </w:r>
    </w:p>
    <w:p>
      <w:pPr>
        <w:spacing w:beforeLines="0" w:afterLines="0"/>
        <w:jc w:val="left"/>
        <w:rPr>
          <w:rFonts w:hint="eastAsia" w:ascii="黑体" w:hAnsi="黑体" w:eastAsia="黑体" w:cs="宋体"/>
          <w:kern w:val="2"/>
          <w:sz w:val="32"/>
          <w:szCs w:val="32"/>
          <w:highlight w:val="none"/>
          <w:lang w:val="en-US" w:eastAsia="zh-CN" w:bidi="ar-SA"/>
        </w:rPr>
      </w:pPr>
      <w:r>
        <w:rPr>
          <w:rFonts w:hint="eastAsia" w:ascii="黑体" w:hAnsi="黑体" w:eastAsia="黑体" w:cs="宋体"/>
          <w:kern w:val="2"/>
          <w:sz w:val="32"/>
          <w:szCs w:val="32"/>
          <w:highlight w:val="none"/>
          <w:lang w:val="en-US" w:eastAsia="zh-CN" w:bidi="ar-SA"/>
        </w:rPr>
        <w:t>三、投标费用</w:t>
      </w:r>
    </w:p>
    <w:p>
      <w:pPr>
        <w:spacing w:beforeLines="0" w:afterLines="0"/>
        <w:ind w:firstLine="560" w:firstLineChars="200"/>
        <w:jc w:val="left"/>
        <w:rPr>
          <w:rFonts w:hint="eastAsia" w:ascii="FangSong_GB2312" w:hAnsi="FangSong_GB2312" w:eastAsia="FangSong_GB2312"/>
          <w:sz w:val="28"/>
          <w:szCs w:val="24"/>
          <w:highlight w:val="none"/>
        </w:rPr>
      </w:pPr>
      <w:r>
        <w:rPr>
          <w:rFonts w:hint="eastAsia" w:ascii="FangSong_GB2312" w:hAnsi="FangSong_GB2312" w:eastAsia="FangSong_GB2312"/>
          <w:sz w:val="28"/>
          <w:szCs w:val="24"/>
          <w:highlight w:val="none"/>
          <w:lang w:val="en-US" w:eastAsia="zh-CN"/>
        </w:rPr>
        <w:t>1.</w:t>
      </w:r>
      <w:r>
        <w:rPr>
          <w:rFonts w:hint="eastAsia" w:ascii="FangSong_GB2312" w:hAnsi="FangSong_GB2312" w:eastAsia="FangSong_GB2312"/>
          <w:sz w:val="28"/>
          <w:szCs w:val="24"/>
          <w:highlight w:val="none"/>
        </w:rPr>
        <w:t>无论投标过程中的做法和结果如何，</w:t>
      </w:r>
      <w:r>
        <w:rPr>
          <w:rFonts w:hint="eastAsia" w:ascii="FangSong_GB2312" w:hAnsi="FangSong_GB2312" w:eastAsia="FangSong_GB2312"/>
          <w:sz w:val="28"/>
          <w:szCs w:val="24"/>
          <w:highlight w:val="none"/>
          <w:lang w:eastAsia="zh-CN"/>
        </w:rPr>
        <w:t>供应商</w:t>
      </w:r>
      <w:r>
        <w:rPr>
          <w:rFonts w:hint="eastAsia" w:ascii="FangSong_GB2312" w:hAnsi="FangSong_GB2312" w:eastAsia="FangSong_GB2312"/>
          <w:sz w:val="28"/>
          <w:szCs w:val="24"/>
          <w:highlight w:val="none"/>
        </w:rPr>
        <w:t>自行承担所有与参加投标有关的全部费用，</w:t>
      </w:r>
      <w:r>
        <w:rPr>
          <w:rFonts w:hint="eastAsia" w:ascii="FangSong_GB2312" w:hAnsi="FangSong_GB2312" w:eastAsia="FangSong_GB2312"/>
          <w:sz w:val="28"/>
          <w:szCs w:val="24"/>
          <w:highlight w:val="none"/>
          <w:lang w:val="en-US" w:eastAsia="zh-CN"/>
        </w:rPr>
        <w:t>采购人</w:t>
      </w:r>
      <w:r>
        <w:rPr>
          <w:rFonts w:hint="eastAsia" w:ascii="FangSong_GB2312" w:hAnsi="FangSong_GB2312" w:eastAsia="FangSong_GB2312"/>
          <w:sz w:val="28"/>
          <w:szCs w:val="24"/>
          <w:highlight w:val="none"/>
        </w:rPr>
        <w:t>无义务和责任承担上述费用。</w:t>
      </w:r>
    </w:p>
    <w:p>
      <w:pPr>
        <w:spacing w:beforeLines="0" w:afterLines="0"/>
        <w:jc w:val="left"/>
        <w:rPr>
          <w:rFonts w:hint="eastAsia" w:ascii="黑体" w:hAnsi="黑体" w:eastAsia="黑体" w:cs="宋体"/>
          <w:kern w:val="2"/>
          <w:sz w:val="32"/>
          <w:szCs w:val="32"/>
          <w:highlight w:val="none"/>
          <w:lang w:val="en-US" w:eastAsia="zh-CN" w:bidi="ar-SA"/>
        </w:rPr>
      </w:pPr>
      <w:r>
        <w:rPr>
          <w:rFonts w:hint="eastAsia" w:ascii="黑体" w:hAnsi="黑体" w:eastAsia="黑体" w:cs="宋体"/>
          <w:kern w:val="2"/>
          <w:sz w:val="32"/>
          <w:szCs w:val="32"/>
          <w:highlight w:val="none"/>
          <w:lang w:val="en-US" w:eastAsia="zh-CN" w:bidi="ar-SA"/>
        </w:rPr>
        <w:t>四、无效投标情形</w:t>
      </w:r>
    </w:p>
    <w:p>
      <w:pPr>
        <w:spacing w:beforeLines="0" w:afterLines="0"/>
        <w:ind w:firstLine="560" w:firstLineChars="200"/>
        <w:jc w:val="left"/>
        <w:rPr>
          <w:rFonts w:hint="eastAsia" w:ascii="FangSong_GB2312" w:hAnsi="FangSong_GB2312" w:eastAsia="FangSong_GB2312"/>
          <w:sz w:val="28"/>
          <w:szCs w:val="24"/>
          <w:highlight w:val="none"/>
        </w:rPr>
      </w:pPr>
      <w:r>
        <w:rPr>
          <w:rFonts w:hint="eastAsia" w:ascii="FangSong_GB2312" w:hAnsi="FangSong_GB2312" w:eastAsia="FangSong_GB2312"/>
          <w:sz w:val="28"/>
          <w:szCs w:val="24"/>
          <w:highlight w:val="none"/>
        </w:rPr>
        <w:t>1.未按照</w:t>
      </w:r>
      <w:r>
        <w:rPr>
          <w:rFonts w:hint="eastAsia" w:ascii="FangSong_GB2312" w:hAnsi="FangSong_GB2312" w:eastAsia="FangSong_GB2312"/>
          <w:sz w:val="28"/>
          <w:szCs w:val="24"/>
          <w:highlight w:val="none"/>
          <w:lang w:eastAsia="zh-CN"/>
        </w:rPr>
        <w:t>公开比选文件</w:t>
      </w:r>
      <w:r>
        <w:rPr>
          <w:rFonts w:hint="eastAsia" w:ascii="FangSong_GB2312" w:hAnsi="FangSong_GB2312" w:eastAsia="FangSong_GB2312"/>
          <w:sz w:val="28"/>
          <w:szCs w:val="24"/>
          <w:highlight w:val="none"/>
        </w:rPr>
        <w:t>规定要求密封、签署、盖章的；</w:t>
      </w:r>
    </w:p>
    <w:p>
      <w:pPr>
        <w:spacing w:beforeLines="0" w:afterLines="0"/>
        <w:ind w:firstLine="560" w:firstLineChars="200"/>
        <w:jc w:val="left"/>
        <w:rPr>
          <w:rFonts w:hint="eastAsia" w:ascii="FangSong_GB2312" w:hAnsi="FangSong_GB2312" w:eastAsia="FangSong_GB2312"/>
          <w:sz w:val="28"/>
          <w:szCs w:val="24"/>
          <w:highlight w:val="none"/>
        </w:rPr>
      </w:pPr>
      <w:r>
        <w:rPr>
          <w:rFonts w:hint="eastAsia" w:ascii="FangSong_GB2312" w:hAnsi="FangSong_GB2312" w:eastAsia="FangSong_GB2312"/>
          <w:sz w:val="28"/>
          <w:szCs w:val="24"/>
          <w:highlight w:val="none"/>
        </w:rPr>
        <w:t>2.不具备</w:t>
      </w:r>
      <w:r>
        <w:rPr>
          <w:rFonts w:hint="eastAsia" w:ascii="FangSong_GB2312" w:hAnsi="FangSong_GB2312" w:eastAsia="FangSong_GB2312"/>
          <w:sz w:val="28"/>
          <w:szCs w:val="24"/>
          <w:highlight w:val="none"/>
          <w:lang w:eastAsia="zh-CN"/>
        </w:rPr>
        <w:t>公开比选文件</w:t>
      </w:r>
      <w:r>
        <w:rPr>
          <w:rFonts w:hint="eastAsia" w:ascii="FangSong_GB2312" w:hAnsi="FangSong_GB2312" w:eastAsia="FangSong_GB2312"/>
          <w:sz w:val="28"/>
          <w:szCs w:val="24"/>
          <w:highlight w:val="none"/>
        </w:rPr>
        <w:t>中规定资格要求的；</w:t>
      </w:r>
    </w:p>
    <w:p>
      <w:pPr>
        <w:spacing w:beforeLines="0" w:afterLines="0"/>
        <w:ind w:firstLine="560" w:firstLineChars="200"/>
        <w:jc w:val="left"/>
        <w:rPr>
          <w:rFonts w:hint="eastAsia" w:ascii="FangSong_GB2312" w:hAnsi="FangSong_GB2312" w:eastAsia="FangSong_GB2312"/>
          <w:sz w:val="28"/>
          <w:szCs w:val="24"/>
          <w:highlight w:val="none"/>
        </w:rPr>
      </w:pPr>
      <w:r>
        <w:rPr>
          <w:rFonts w:hint="eastAsia" w:ascii="FangSong_GB2312" w:hAnsi="FangSong_GB2312" w:eastAsia="FangSong_GB2312"/>
          <w:sz w:val="28"/>
          <w:szCs w:val="24"/>
          <w:highlight w:val="none"/>
        </w:rPr>
        <w:t>3.不符合法律、法规和</w:t>
      </w:r>
      <w:r>
        <w:rPr>
          <w:rFonts w:hint="eastAsia" w:ascii="FangSong_GB2312" w:hAnsi="FangSong_GB2312" w:eastAsia="FangSong_GB2312"/>
          <w:sz w:val="28"/>
          <w:szCs w:val="24"/>
          <w:highlight w:val="none"/>
          <w:lang w:eastAsia="zh-CN"/>
        </w:rPr>
        <w:t>公开比选文件</w:t>
      </w:r>
      <w:r>
        <w:rPr>
          <w:rFonts w:hint="eastAsia" w:ascii="FangSong_GB2312" w:hAnsi="FangSong_GB2312" w:eastAsia="FangSong_GB2312"/>
          <w:sz w:val="28"/>
          <w:szCs w:val="24"/>
          <w:highlight w:val="none"/>
        </w:rPr>
        <w:t>中规定的其他实质性要求的。</w:t>
      </w:r>
    </w:p>
    <w:p>
      <w:pPr>
        <w:spacing w:beforeLines="0" w:afterLines="0"/>
        <w:jc w:val="left"/>
        <w:rPr>
          <w:rFonts w:hint="eastAsia" w:ascii="黑体" w:hAnsi="黑体" w:eastAsia="黑体" w:cs="宋体"/>
          <w:kern w:val="2"/>
          <w:sz w:val="32"/>
          <w:szCs w:val="32"/>
          <w:highlight w:val="none"/>
          <w:lang w:val="en-US" w:eastAsia="zh-CN" w:bidi="ar-SA"/>
        </w:rPr>
      </w:pPr>
      <w:r>
        <w:rPr>
          <w:rFonts w:hint="eastAsia" w:ascii="黑体" w:hAnsi="黑体" w:eastAsia="黑体" w:cs="宋体"/>
          <w:kern w:val="2"/>
          <w:sz w:val="32"/>
          <w:szCs w:val="32"/>
          <w:highlight w:val="none"/>
          <w:lang w:val="en-US" w:eastAsia="zh-CN" w:bidi="ar-SA"/>
        </w:rPr>
        <w:t>五、废标情形</w:t>
      </w:r>
    </w:p>
    <w:p>
      <w:pPr>
        <w:spacing w:beforeLines="0" w:afterLines="0"/>
        <w:ind w:firstLine="560" w:firstLineChars="200"/>
        <w:jc w:val="left"/>
        <w:rPr>
          <w:rFonts w:hint="eastAsia" w:ascii="FangSong_GB2312" w:hAnsi="FangSong_GB2312" w:eastAsia="FangSong_GB2312"/>
          <w:sz w:val="28"/>
          <w:szCs w:val="24"/>
          <w:highlight w:val="none"/>
        </w:rPr>
      </w:pPr>
      <w:r>
        <w:rPr>
          <w:rFonts w:hint="eastAsia" w:ascii="FangSong_GB2312" w:hAnsi="FangSong_GB2312" w:eastAsia="FangSong_GB2312"/>
          <w:sz w:val="28"/>
          <w:szCs w:val="24"/>
          <w:highlight w:val="none"/>
        </w:rPr>
        <w:t>1.出现影响采购公正的违法、违规行为的；</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FangSong_GB2312" w:hAnsi="FangSong_GB2312" w:eastAsia="FangSong_GB2312"/>
          <w:sz w:val="28"/>
          <w:szCs w:val="24"/>
          <w:highlight w:val="none"/>
          <w:lang w:val="en-US" w:eastAsia="zh-CN"/>
        </w:rPr>
      </w:pPr>
      <w:r>
        <w:rPr>
          <w:rFonts w:hint="eastAsia" w:ascii="FangSong_GB2312" w:hAnsi="FangSong_GB2312" w:eastAsia="FangSong_GB2312"/>
          <w:sz w:val="28"/>
          <w:szCs w:val="24"/>
          <w:highlight w:val="none"/>
        </w:rPr>
        <w:t>2.因重大变故，采购任务取消的。</w:t>
      </w:r>
    </w:p>
    <w:p>
      <w:pP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_GB2312" w:hAnsi="仿宋_GB2312" w:eastAsia="仿宋_GB2312" w:cs="仿宋_GB2312"/>
          <w:color w:val="000000"/>
          <w:kern w:val="0"/>
          <w:sz w:val="32"/>
          <w:szCs w:val="32"/>
          <w:highlight w:val="none"/>
        </w:rPr>
      </w:pPr>
      <w:r>
        <w:rPr>
          <w:rFonts w:hint="eastAsia" w:ascii="仿宋" w:hAnsi="仿宋" w:eastAsia="仿宋" w:cs="仿宋"/>
          <w:b/>
          <w:bCs/>
          <w:kern w:val="2"/>
          <w:sz w:val="44"/>
          <w:szCs w:val="44"/>
          <w:highlight w:val="none"/>
          <w:lang w:val="en-US" w:eastAsia="zh-CN" w:bidi="ar-SA"/>
        </w:rPr>
        <w:t>第三章 比选原则和办法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left"/>
        <w:rPr>
          <w:rFonts w:hint="eastAsia" w:ascii="黑体" w:hAnsi="黑体" w:eastAsia="黑体" w:cs="宋体"/>
          <w:kern w:val="2"/>
          <w:sz w:val="32"/>
          <w:szCs w:val="32"/>
          <w:highlight w:val="none"/>
          <w:lang w:val="en-US" w:eastAsia="zh-CN" w:bidi="ar-SA"/>
        </w:rPr>
      </w:pPr>
      <w:r>
        <w:rPr>
          <w:rFonts w:hint="eastAsia" w:ascii="黑体" w:hAnsi="黑体" w:eastAsia="黑体" w:cs="宋体"/>
          <w:kern w:val="2"/>
          <w:sz w:val="32"/>
          <w:szCs w:val="32"/>
          <w:highlight w:val="none"/>
          <w:lang w:val="en-US" w:eastAsia="zh-CN" w:bidi="ar-SA"/>
        </w:rPr>
        <w:t>一、比选原则</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1.认真贯彻国家有关法律、法规和政策，维护国家利益。</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 xml:space="preserve">2.维护各方当事人的合法权益。 </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3.按照公开比选文件确定的标准和方法，对响应文件进行评审和比较。没有纳入公开比选文件的标准和方法，不得作为公开比选评标的依据。</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left"/>
        <w:rPr>
          <w:rFonts w:hint="eastAsia" w:ascii="黑体" w:hAnsi="黑体" w:eastAsia="黑体" w:cs="宋体"/>
          <w:kern w:val="2"/>
          <w:sz w:val="32"/>
          <w:szCs w:val="32"/>
          <w:highlight w:val="none"/>
          <w:lang w:val="en-US" w:eastAsia="zh-CN" w:bidi="ar-SA"/>
        </w:rPr>
      </w:pPr>
      <w:r>
        <w:rPr>
          <w:rFonts w:hint="eastAsia" w:ascii="黑体" w:hAnsi="黑体" w:eastAsia="黑体" w:cs="宋体"/>
          <w:kern w:val="2"/>
          <w:sz w:val="32"/>
          <w:szCs w:val="32"/>
          <w:highlight w:val="none"/>
          <w:lang w:val="en-US" w:eastAsia="zh-CN" w:bidi="ar-SA"/>
        </w:rPr>
        <w:t>二、比选方法</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1.本次公开比选采用综合评分法。综合评分法，是指在最大限度地满足公开比选文件实质性要求前提下，按照公开比选文件中规定的各项因素进行综合评审后，以公开比选评审总得分最高的供应商作为中标供应商的评标方法。</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2.综合评分的主要因素是：代理服务费价格、业绩、交易平台入场经验、招标代理库入库、固定办公场所及配备办公设备、服务方案等对公开比选文件的响应程度，以及相应的权值等。</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FangSong_GB2312" w:hAnsi="FangSong_GB2312" w:eastAsia="FangSong_GB2312" w:cs="黑体"/>
          <w:kern w:val="2"/>
          <w:sz w:val="28"/>
          <w:szCs w:val="24"/>
          <w:highlight w:val="none"/>
          <w:lang w:val="en-US" w:eastAsia="zh-CN" w:bidi="ar-SA"/>
        </w:rPr>
        <w:t>3.公开比选时，比选小组各成员独立对每个有效供应商的响应文件进行评价、打分，然后汇总每个供应商每项评分因素的得分。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left"/>
        <w:rPr>
          <w:rStyle w:val="13"/>
          <w:rFonts w:hint="eastAsia" w:ascii="宋体" w:hAnsi="宋体" w:eastAsia="宋体" w:cs="宋体"/>
          <w:sz w:val="24"/>
          <w:szCs w:val="24"/>
          <w:highlight w:val="none"/>
        </w:rPr>
      </w:pPr>
      <w:r>
        <w:rPr>
          <w:rFonts w:hint="eastAsia" w:ascii="黑体" w:hAnsi="黑体" w:eastAsia="黑体" w:cs="宋体"/>
          <w:kern w:val="2"/>
          <w:sz w:val="32"/>
          <w:szCs w:val="32"/>
          <w:highlight w:val="none"/>
          <w:lang w:val="en-US" w:eastAsia="zh-CN" w:bidi="ar-SA"/>
        </w:rPr>
        <w:t>三、比选流程</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1.会议签到：参与遴选的代理机构签到并递交响应文件。</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default"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2.比选小组：比选小组成员由相关处室参加。</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3.宣读纪律：宣读评审纪律和注意事项。</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4.初步审查：比选小组依照《资格审查表》所列内容对供应商进行审查，审查通过的供应商进入评分环节。未通过初步审查的响应文件不参与评分和中标候选人推荐。通过资格审查的供应商不足三家的，本项目作废标处理，评标工作结束。</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5.评分：比选小组严格按照评分标准逐项对应响应文件进行评分。评分依据为响应文件提供的有效资料。公开比选文件中未提供的资料、未明确的内容，比选小组不得以个人的意愿、猜想、推测等方式得出的结论作为评分依据。比选小组须独立评分，不得相互抄袭评分分值（价格分除外）。</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6.评分汇总：比选小组组长将各成员的评分表汇总到评分汇总表，评分汇总表保留两位小数，按最终得分由高至低依次对供应商进行推荐排序。最终得分相同的，按投标报价分由高到低顺序排列，最终得分且投标报价分相同的，按技术和商务优劣顺序排列。评分表交由比选小组组长汇总后，比选小组成员不得再更改各项打分分值（价格分及总分计算错误除外）。</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7.比选报告：比选小组根据原始评标记录和评标结果编写的报告。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left"/>
        <w:rPr>
          <w:rFonts w:hint="eastAsia" w:ascii="黑体" w:hAnsi="黑体" w:eastAsia="黑体" w:cs="宋体"/>
          <w:kern w:val="2"/>
          <w:sz w:val="32"/>
          <w:szCs w:val="32"/>
          <w:highlight w:val="none"/>
          <w:lang w:val="en-US" w:eastAsia="zh-CN" w:bidi="ar-SA"/>
        </w:rPr>
      </w:pPr>
      <w:r>
        <w:rPr>
          <w:rFonts w:hint="eastAsia" w:ascii="黑体" w:hAnsi="黑体" w:eastAsia="黑体" w:cs="宋体"/>
          <w:kern w:val="2"/>
          <w:sz w:val="32"/>
          <w:szCs w:val="32"/>
          <w:highlight w:val="none"/>
          <w:lang w:val="en-US" w:eastAsia="zh-CN" w:bidi="ar-SA"/>
        </w:rPr>
        <w:t>四、资格审查</w:t>
      </w:r>
    </w:p>
    <w:p>
      <w:pPr>
        <w:pageBreakBefore w:val="0"/>
        <w:kinsoku/>
        <w:overflowPunct/>
        <w:topLinePunct w:val="0"/>
        <w:autoSpaceDE/>
        <w:autoSpaceDN/>
        <w:bidi w:val="0"/>
        <w:adjustRightInd/>
        <w:spacing w:line="360" w:lineRule="auto"/>
        <w:jc w:val="center"/>
        <w:textAlignment w:val="auto"/>
        <w:outlineLvl w:val="1"/>
        <w:rPr>
          <w:rFonts w:hint="eastAsia" w:ascii="宋体" w:hAnsi="宋体" w:eastAsia="宋体" w:cs="宋体"/>
          <w:b/>
          <w:bCs/>
          <w:kern w:val="0"/>
          <w:sz w:val="28"/>
          <w:szCs w:val="28"/>
          <w:highlight w:val="none"/>
          <w:u w:val="none"/>
          <w:lang w:val="en-US" w:eastAsia="zh-CN"/>
        </w:rPr>
      </w:pPr>
      <w:r>
        <w:rPr>
          <w:rFonts w:hint="eastAsia" w:ascii="宋体" w:hAnsi="宋体" w:eastAsia="宋体" w:cs="宋体"/>
          <w:b/>
          <w:bCs/>
          <w:kern w:val="0"/>
          <w:sz w:val="28"/>
          <w:szCs w:val="28"/>
          <w:highlight w:val="none"/>
          <w:u w:val="none"/>
          <w:lang w:val="en-US" w:eastAsia="zh-CN"/>
        </w:rPr>
        <w:t>资格</w:t>
      </w:r>
      <w:r>
        <w:rPr>
          <w:rFonts w:hint="eastAsia" w:ascii="宋体" w:hAnsi="宋体" w:eastAsia="宋体" w:cs="宋体"/>
          <w:b/>
          <w:bCs/>
          <w:kern w:val="0"/>
          <w:sz w:val="28"/>
          <w:szCs w:val="28"/>
          <w:highlight w:val="none"/>
          <w:u w:val="none"/>
          <w:lang w:val="zh-CN" w:eastAsia="zh-CN"/>
        </w:rPr>
        <w:t>审查表</w:t>
      </w:r>
    </w:p>
    <w:p>
      <w:pPr>
        <w:keepNext w:val="0"/>
        <w:keepLines w:val="0"/>
        <w:pageBreakBefore w:val="0"/>
        <w:kinsoku/>
        <w:wordWrap/>
        <w:overflowPunct/>
        <w:topLinePunct w:val="0"/>
        <w:autoSpaceDE/>
        <w:bidi w:val="0"/>
        <w:adjustRightInd/>
        <w:snapToGrid/>
        <w:spacing w:line="600" w:lineRule="exact"/>
        <w:ind w:right="0" w:rightChars="0"/>
        <w:textAlignment w:val="auto"/>
        <w:outlineLvl w:val="9"/>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项目名称：</w:t>
      </w:r>
      <w:r>
        <w:rPr>
          <w:rFonts w:hint="eastAsia" w:ascii="FangSong_GB2312" w:hAnsi="FangSong_GB2312" w:eastAsia="FangSong_GB2312" w:cs="黑体"/>
          <w:b w:val="0"/>
          <w:bCs w:val="0"/>
          <w:kern w:val="2"/>
          <w:sz w:val="24"/>
          <w:szCs w:val="24"/>
          <w:highlight w:val="none"/>
          <w:lang w:val="en-US" w:eastAsia="zh-CN" w:bidi="ar-SA"/>
        </w:rPr>
        <w:t>2024年贵州省第三次土壤普查相关技术服务及货物政府采购代理机构公开比选</w:t>
      </w:r>
      <w:r>
        <w:rPr>
          <w:rFonts w:hint="eastAsia" w:ascii="FangSong_GB2312" w:hAnsi="FangSong_GB2312" w:eastAsia="FangSong_GB2312" w:cs="黑体"/>
          <w:kern w:val="2"/>
          <w:sz w:val="24"/>
          <w:szCs w:val="24"/>
          <w:highlight w:val="none"/>
          <w:lang w:val="en-US" w:eastAsia="zh-CN" w:bidi="ar-SA"/>
        </w:rPr>
        <w:t xml:space="preserve">  </w:t>
      </w:r>
    </w:p>
    <w:p>
      <w:pPr>
        <w:keepNext w:val="0"/>
        <w:keepLines w:val="0"/>
        <w:pageBreakBefore w:val="0"/>
        <w:kinsoku/>
        <w:wordWrap/>
        <w:overflowPunct/>
        <w:topLinePunct w:val="0"/>
        <w:autoSpaceDE/>
        <w:bidi w:val="0"/>
        <w:adjustRightInd/>
        <w:snapToGrid/>
        <w:spacing w:line="600" w:lineRule="exact"/>
        <w:ind w:right="0" w:rightChars="0"/>
        <w:textAlignment w:val="auto"/>
        <w:outlineLvl w:val="9"/>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时 间：  年   月 日</w:t>
      </w:r>
    </w:p>
    <w:tbl>
      <w:tblPr>
        <w:tblStyle w:val="11"/>
        <w:tblW w:w="9692"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6000"/>
        <w:gridCol w:w="928"/>
        <w:gridCol w:w="97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76" w:type="dxa"/>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序号</w:t>
            </w:r>
          </w:p>
        </w:tc>
        <w:tc>
          <w:tcPr>
            <w:tcW w:w="6000" w:type="dxa"/>
            <w:tcBorders>
              <w:tl2br w:val="single" w:color="auto" w:sz="4" w:space="0"/>
            </w:tcBorders>
          </w:tcPr>
          <w:p>
            <w:pPr>
              <w:pStyle w:val="5"/>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供应商名称</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资格要求</w:t>
            </w:r>
          </w:p>
        </w:tc>
        <w:tc>
          <w:tcPr>
            <w:tcW w:w="928"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976"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1012"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1</w:t>
            </w:r>
          </w:p>
        </w:tc>
        <w:tc>
          <w:tcPr>
            <w:tcW w:w="6000" w:type="dxa"/>
            <w:vAlign w:val="center"/>
          </w:tcPr>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right="0"/>
              <w:jc w:val="left"/>
              <w:textAlignment w:val="auto"/>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具有独立承担民事责任的能力，提供营业执照复印件。</w:t>
            </w:r>
          </w:p>
        </w:tc>
        <w:tc>
          <w:tcPr>
            <w:tcW w:w="928"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976"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1012"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2</w:t>
            </w:r>
          </w:p>
        </w:tc>
        <w:tc>
          <w:tcPr>
            <w:tcW w:w="6000" w:type="dxa"/>
          </w:tcPr>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具有良好的商业信誉和健全的财务会计制度，提供2022年经第三方审计的审计报告复印件。</w:t>
            </w:r>
          </w:p>
        </w:tc>
        <w:tc>
          <w:tcPr>
            <w:tcW w:w="928"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976"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1012"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3</w:t>
            </w:r>
          </w:p>
        </w:tc>
        <w:tc>
          <w:tcPr>
            <w:tcW w:w="6000" w:type="dxa"/>
          </w:tcPr>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具有履行合同所必需的设备和专业技术能力，供应商根据本次服务内容自行提供。</w:t>
            </w:r>
          </w:p>
        </w:tc>
        <w:tc>
          <w:tcPr>
            <w:tcW w:w="928"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976"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1012"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4</w:t>
            </w:r>
          </w:p>
        </w:tc>
        <w:tc>
          <w:tcPr>
            <w:tcW w:w="6000" w:type="dxa"/>
          </w:tcPr>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有依法缴纳税收和社会保障资金的良好记录，提供2023年6月至今任意三个月依法缴纳税收和社保的相关证明材料。</w:t>
            </w:r>
          </w:p>
        </w:tc>
        <w:tc>
          <w:tcPr>
            <w:tcW w:w="928"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976"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1012"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5</w:t>
            </w:r>
          </w:p>
        </w:tc>
        <w:tc>
          <w:tcPr>
            <w:tcW w:w="6000" w:type="dxa"/>
          </w:tcPr>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在中国政府采购网(http: //www.ccgp.gov.cn/）或中国政府采购网贵州分网完成网上登记备案，提供财政部政府采购管理交易系统机构信息维护页面的截图扫描件。</w:t>
            </w:r>
          </w:p>
        </w:tc>
        <w:tc>
          <w:tcPr>
            <w:tcW w:w="928"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976"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1012"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776" w:type="dxa"/>
            <w:gridSpan w:val="2"/>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审查结论（通过或不通过）</w:t>
            </w:r>
          </w:p>
        </w:tc>
        <w:tc>
          <w:tcPr>
            <w:tcW w:w="928"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976"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c>
          <w:tcPr>
            <w:tcW w:w="1012"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kern w:val="2"/>
                <w:sz w:val="24"/>
                <w:szCs w:val="24"/>
                <w:highlight w:val="none"/>
                <w:lang w:val="en-US" w:eastAsia="zh-CN" w:bidi="ar-SA"/>
              </w:rPr>
            </w:pPr>
          </w:p>
        </w:tc>
      </w:tr>
    </w:tbl>
    <w:p>
      <w:pPr>
        <w:pStyle w:val="5"/>
        <w:rPr>
          <w:rFonts w:hint="eastAsia" w:ascii="宋体" w:hAnsi="宋体" w:eastAsia="宋体" w:cs="宋体"/>
          <w:kern w:val="2"/>
          <w:sz w:val="24"/>
          <w:szCs w:val="22"/>
          <w:highlight w:val="none"/>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比选小组（签字）：</w:t>
      </w:r>
    </w:p>
    <w:p>
      <w:pPr>
        <w:pStyle w:val="5"/>
        <w:rPr>
          <w:rFonts w:hint="eastAsia" w:ascii="宋体" w:hAnsi="宋体" w:eastAsia="宋体" w:cs="宋体"/>
          <w:kern w:val="2"/>
          <w:sz w:val="24"/>
          <w:szCs w:val="22"/>
          <w:highlight w:val="none"/>
          <w:lang w:val="en-US" w:eastAsia="zh-CN" w:bidi="ar-SA"/>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ageBreakBefore w:val="0"/>
        <w:kinsoku/>
        <w:overflowPunct/>
        <w:topLinePunct w:val="0"/>
        <w:autoSpaceDE/>
        <w:autoSpaceDN/>
        <w:bidi w:val="0"/>
        <w:adjustRightInd/>
        <w:spacing w:line="360" w:lineRule="auto"/>
        <w:jc w:val="both"/>
        <w:textAlignment w:val="auto"/>
        <w:outlineLvl w:val="1"/>
        <w:rPr>
          <w:rFonts w:hint="eastAsia" w:ascii="宋体" w:hAnsi="宋体" w:eastAsia="宋体" w:cs="宋体"/>
          <w:b/>
          <w:bCs/>
          <w:kern w:val="0"/>
          <w:sz w:val="36"/>
          <w:szCs w:val="36"/>
          <w:highlight w:val="none"/>
          <w:u w:val="single"/>
          <w:lang w:val="en-US" w:eastAsia="zh-CN"/>
        </w:rPr>
      </w:pPr>
      <w:r>
        <w:rPr>
          <w:rFonts w:hint="eastAsia" w:ascii="宋体" w:hAnsi="宋体" w:cs="宋体"/>
          <w:b/>
          <w:bCs/>
          <w:kern w:val="0"/>
          <w:sz w:val="36"/>
          <w:szCs w:val="36"/>
          <w:highlight w:val="none"/>
          <w:u w:val="none"/>
          <w:lang w:val="en-US" w:eastAsia="zh-CN"/>
        </w:rPr>
        <w:t>五、</w:t>
      </w:r>
      <w:r>
        <w:rPr>
          <w:rFonts w:hint="eastAsia" w:ascii="宋体" w:hAnsi="宋体" w:eastAsia="宋体" w:cs="宋体"/>
          <w:b/>
          <w:bCs/>
          <w:kern w:val="0"/>
          <w:sz w:val="36"/>
          <w:szCs w:val="36"/>
          <w:highlight w:val="none"/>
          <w:u w:val="none"/>
          <w:lang w:val="en-US" w:eastAsia="zh-CN"/>
        </w:rPr>
        <w:t>评分标准</w:t>
      </w:r>
    </w:p>
    <w:p>
      <w:pPr>
        <w:keepNext w:val="0"/>
        <w:keepLines w:val="0"/>
        <w:pageBreakBefore w:val="0"/>
        <w:kinsoku/>
        <w:wordWrap/>
        <w:overflowPunct/>
        <w:topLinePunct w:val="0"/>
        <w:autoSpaceDE/>
        <w:bidi w:val="0"/>
        <w:adjustRightInd/>
        <w:snapToGrid/>
        <w:spacing w:line="600" w:lineRule="exact"/>
        <w:ind w:right="0" w:rightChars="0"/>
        <w:jc w:val="center"/>
        <w:textAlignment w:val="auto"/>
        <w:outlineLvl w:val="9"/>
        <w:rPr>
          <w:rFonts w:hint="default" w:ascii="FangSong_GB2312" w:hAnsi="FangSong_GB2312" w:eastAsia="FangSong_GB2312" w:cs="黑体"/>
          <w:b w:val="0"/>
          <w:bCs w:val="0"/>
          <w:kern w:val="2"/>
          <w:sz w:val="28"/>
          <w:szCs w:val="24"/>
          <w:highlight w:val="none"/>
          <w:lang w:val="en-US" w:eastAsia="zh-CN" w:bidi="ar-SA"/>
        </w:rPr>
      </w:pPr>
      <w:bookmarkStart w:id="1" w:name="_Toc22473"/>
      <w:r>
        <w:rPr>
          <w:rFonts w:hint="eastAsia" w:ascii="宋体" w:hAnsi="宋体" w:eastAsia="宋体" w:cs="宋体"/>
          <w:b w:val="0"/>
          <w:bCs w:val="0"/>
          <w:kern w:val="0"/>
          <w:sz w:val="36"/>
          <w:szCs w:val="36"/>
          <w:highlight w:val="none"/>
          <w:u w:val="none"/>
          <w:lang w:val="en-US" w:eastAsia="zh-CN"/>
        </w:rPr>
        <w:t>评分表</w:t>
      </w:r>
    </w:p>
    <w:p>
      <w:pPr>
        <w:keepNext w:val="0"/>
        <w:keepLines w:val="0"/>
        <w:pageBreakBefore w:val="0"/>
        <w:kinsoku/>
        <w:wordWrap/>
        <w:overflowPunct/>
        <w:topLinePunct w:val="0"/>
        <w:autoSpaceDE/>
        <w:bidi w:val="0"/>
        <w:adjustRightInd/>
        <w:snapToGrid/>
        <w:spacing w:line="600" w:lineRule="exact"/>
        <w:ind w:right="0" w:rightChars="0"/>
        <w:textAlignment w:val="auto"/>
        <w:outlineLvl w:val="9"/>
        <w:rPr>
          <w:rFonts w:hint="default" w:ascii="FangSong_GB2312" w:hAnsi="FangSong_GB2312" w:eastAsia="FangSong_GB2312" w:cs="黑体"/>
          <w:b w:val="0"/>
          <w:bCs w:val="0"/>
          <w:kern w:val="2"/>
          <w:sz w:val="24"/>
          <w:szCs w:val="24"/>
          <w:highlight w:val="none"/>
          <w:lang w:val="en-US" w:eastAsia="zh-CN" w:bidi="ar-SA"/>
        </w:rPr>
      </w:pPr>
      <w:r>
        <w:rPr>
          <w:rFonts w:hint="eastAsia" w:ascii="FangSong_GB2312" w:hAnsi="FangSong_GB2312" w:eastAsia="FangSong_GB2312" w:cs="黑体"/>
          <w:b w:val="0"/>
          <w:bCs w:val="0"/>
          <w:kern w:val="2"/>
          <w:sz w:val="24"/>
          <w:szCs w:val="24"/>
          <w:highlight w:val="none"/>
          <w:lang w:val="en-US" w:eastAsia="zh-CN" w:bidi="ar-SA"/>
        </w:rPr>
        <w:t>项目名称：2024年贵州省第三次土壤普查相关技术服务及货物政府采购代理机构公开比选</w:t>
      </w:r>
    </w:p>
    <w:p>
      <w:pPr>
        <w:keepNext w:val="0"/>
        <w:keepLines w:val="0"/>
        <w:pageBreakBefore w:val="0"/>
        <w:kinsoku/>
        <w:wordWrap/>
        <w:overflowPunct/>
        <w:topLinePunct w:val="0"/>
        <w:autoSpaceDE/>
        <w:bidi w:val="0"/>
        <w:adjustRightInd/>
        <w:snapToGrid/>
        <w:spacing w:line="600" w:lineRule="exact"/>
        <w:ind w:right="0" w:rightChars="0"/>
        <w:textAlignment w:val="auto"/>
        <w:outlineLvl w:val="9"/>
        <w:rPr>
          <w:rFonts w:hint="eastAsia" w:ascii="FangSong_GB2312" w:hAnsi="FangSong_GB2312" w:eastAsia="FangSong_GB2312" w:cs="黑体"/>
          <w:kern w:val="2"/>
          <w:sz w:val="24"/>
          <w:szCs w:val="24"/>
          <w:highlight w:val="none"/>
          <w:lang w:val="en-US" w:eastAsia="zh-CN" w:bidi="ar-SA"/>
        </w:rPr>
      </w:pPr>
      <w:r>
        <w:rPr>
          <w:rFonts w:hint="eastAsia" w:ascii="FangSong_GB2312" w:hAnsi="FangSong_GB2312" w:eastAsia="FangSong_GB2312" w:cs="黑体"/>
          <w:kern w:val="2"/>
          <w:sz w:val="24"/>
          <w:szCs w:val="24"/>
          <w:highlight w:val="none"/>
          <w:lang w:val="en-US" w:eastAsia="zh-CN" w:bidi="ar-SA"/>
        </w:rPr>
        <w:t>时    间：   年   月   日</w:t>
      </w:r>
    </w:p>
    <w:tbl>
      <w:tblPr>
        <w:tblStyle w:val="11"/>
        <w:tblW w:w="1395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125"/>
        <w:gridCol w:w="7683"/>
        <w:gridCol w:w="1050"/>
        <w:gridCol w:w="1200"/>
        <w:gridCol w:w="10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序号</w:t>
            </w:r>
          </w:p>
        </w:tc>
        <w:tc>
          <w:tcPr>
            <w:tcW w:w="9858" w:type="dxa"/>
            <w:gridSpan w:val="3"/>
            <w:tcBorders>
              <w:tl2br w:val="single" w:color="auto" w:sz="4" w:space="0"/>
            </w:tcBorders>
          </w:tcPr>
          <w:p>
            <w:pPr>
              <w:pStyle w:val="5"/>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供应商名称</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评审分项</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1</w:t>
            </w:r>
          </w:p>
        </w:tc>
        <w:tc>
          <w:tcPr>
            <w:tcW w:w="1125"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代理服务费</w:t>
            </w:r>
          </w:p>
        </w:tc>
        <w:tc>
          <w:tcPr>
            <w:tcW w:w="7683" w:type="dxa"/>
            <w:vAlign w:val="center"/>
          </w:tcPr>
          <w:p>
            <w:pPr>
              <w:widowControl/>
              <w:spacing w:line="560" w:lineRule="exact"/>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 xml:space="preserve">   代理服务费用承诺参考《招标代理服务收费管理暂行办法》（计价格[2002]1980号）招标代理服务收费标准下浮，每下浮2%得1分，满分10分。</w:t>
            </w:r>
          </w:p>
        </w:tc>
        <w:tc>
          <w:tcPr>
            <w:tcW w:w="1050"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0-10分</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FangSong_GB2312" w:hAnsi="FangSong_GB2312" w:eastAsia="FangSong_GB2312" w:cs="黑体"/>
                <w:color w:val="auto"/>
                <w:kern w:val="2"/>
                <w:sz w:val="24"/>
                <w:szCs w:val="24"/>
                <w:highlight w:val="none"/>
                <w:lang w:val="en-US" w:eastAsia="zh-CN" w:bidi="ar-SA"/>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2</w:t>
            </w:r>
          </w:p>
        </w:tc>
        <w:tc>
          <w:tcPr>
            <w:tcW w:w="1125" w:type="dxa"/>
            <w:vAlign w:val="center"/>
          </w:tcPr>
          <w:p>
            <w:pPr>
              <w:widowControl/>
              <w:spacing w:line="560" w:lineRule="exact"/>
              <w:jc w:val="center"/>
              <w:textAlignment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业绩</w:t>
            </w:r>
          </w:p>
        </w:tc>
        <w:tc>
          <w:tcPr>
            <w:tcW w:w="768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left"/>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提供2023年至今代理的已完成的项目业绩进行评价：</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left"/>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（1）每提供一个成交金额2000万以上的有效业绩得2分；满分10分；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left"/>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 xml:space="preserve">（2）每提供一个成交金额1000万～2000万有效业绩得1分，满分5分； </w:t>
            </w:r>
          </w:p>
          <w:p>
            <w:pPr>
              <w:pStyle w:val="2"/>
              <w:spacing w:line="360" w:lineRule="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（3）每提供一个成交金额500万～1000万有效业绩得0.6分，满分3分；</w:t>
            </w:r>
          </w:p>
          <w:p>
            <w:pPr>
              <w:pStyle w:val="2"/>
              <w:spacing w:line="360" w:lineRule="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（4）每提供一个成交金额小于500万有效业绩得0.4分，满分2分；</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0" w:firstLineChars="200"/>
              <w:jc w:val="left"/>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注：提供委托代理合同（协议）或者委托函或者委托证明、中标（成交）公告，未提供齐全不得分。</w:t>
            </w:r>
          </w:p>
        </w:tc>
        <w:tc>
          <w:tcPr>
            <w:tcW w:w="1050"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0-20分</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3</w:t>
            </w:r>
          </w:p>
        </w:tc>
        <w:tc>
          <w:tcPr>
            <w:tcW w:w="1125" w:type="dxa"/>
            <w:vAlign w:val="center"/>
          </w:tcPr>
          <w:p>
            <w:pPr>
              <w:widowControl/>
              <w:spacing w:line="560" w:lineRule="exact"/>
              <w:jc w:val="center"/>
              <w:textAlignment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交易平台入场经验</w:t>
            </w:r>
          </w:p>
        </w:tc>
        <w:tc>
          <w:tcPr>
            <w:tcW w:w="7683" w:type="dxa"/>
            <w:vAlign w:val="center"/>
          </w:tcPr>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提供近一年在贵州省公共资源交易公共服务平台“交易一张网”中政府采购项目数排名数据截图：</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排名NO.1～NO.3名：6分；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排名NO.4～NO.6名：3分；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排名NO.7～NO.10名：1分。</w:t>
            </w:r>
          </w:p>
          <w:p>
            <w:pPr>
              <w:widowControl/>
              <w:spacing w:line="560" w:lineRule="exact"/>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注:未提供截图或10名以后不得分。</w:t>
            </w:r>
          </w:p>
        </w:tc>
        <w:tc>
          <w:tcPr>
            <w:tcW w:w="1050"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0-6分</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4</w:t>
            </w:r>
          </w:p>
        </w:tc>
        <w:tc>
          <w:tcPr>
            <w:tcW w:w="1125" w:type="dxa"/>
            <w:vAlign w:val="center"/>
          </w:tcPr>
          <w:p>
            <w:pPr>
              <w:widowControl/>
              <w:spacing w:line="560" w:lineRule="exact"/>
              <w:jc w:val="center"/>
              <w:textAlignment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招标代理库入库</w:t>
            </w:r>
          </w:p>
        </w:tc>
        <w:tc>
          <w:tcPr>
            <w:tcW w:w="768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left"/>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提供2023年1月1日以来入选（围）政府部门、事业单位及国有企业招标代理库的业绩，每提供一个得2分，本项最高得10分。</w:t>
            </w:r>
          </w:p>
          <w:p>
            <w:pPr>
              <w:bidi w:val="0"/>
              <w:spacing w:line="360" w:lineRule="auto"/>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注：提供入选（围）官网截图，服务期限须为1年或以上，否则本项得分为0分。</w:t>
            </w:r>
          </w:p>
        </w:tc>
        <w:tc>
          <w:tcPr>
            <w:tcW w:w="1050"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0-10分</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widowControl/>
              <w:spacing w:line="560" w:lineRule="exact"/>
              <w:jc w:val="center"/>
              <w:rPr>
                <w:rFonts w:hint="default"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5</w:t>
            </w:r>
          </w:p>
        </w:tc>
        <w:tc>
          <w:tcPr>
            <w:tcW w:w="1125" w:type="dxa"/>
            <w:vAlign w:val="center"/>
          </w:tcPr>
          <w:p>
            <w:pPr>
              <w:widowControl/>
              <w:spacing w:line="560" w:lineRule="exact"/>
              <w:jc w:val="center"/>
              <w:textAlignment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固定办公场所及配备办公设备</w:t>
            </w:r>
          </w:p>
        </w:tc>
        <w:tc>
          <w:tcPr>
            <w:tcW w:w="7683" w:type="dxa"/>
            <w:vAlign w:val="center"/>
          </w:tcPr>
          <w:p>
            <w:pPr>
              <w:numPr>
                <w:ilvl w:val="0"/>
                <w:numId w:val="0"/>
              </w:numPr>
              <w:spacing w:line="360" w:lineRule="auto"/>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（1）供应商有固定办公场所，办公场所配置独立的开标室、评标室、专家抽取室、档案管理室、监控设施，完全满足得5分。</w:t>
            </w:r>
          </w:p>
          <w:p>
            <w:pPr>
              <w:numPr>
                <w:ilvl w:val="0"/>
                <w:numId w:val="0"/>
              </w:numPr>
              <w:spacing w:line="360" w:lineRule="auto"/>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A、面积在 500 平方米 (含)以上的得5分；</w:t>
            </w:r>
          </w:p>
          <w:p>
            <w:pPr>
              <w:numPr>
                <w:ilvl w:val="0"/>
                <w:numId w:val="0"/>
              </w:numPr>
              <w:spacing w:line="360" w:lineRule="auto"/>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B、面积在 300(含)-500 平方米的得3分；</w:t>
            </w:r>
          </w:p>
          <w:p>
            <w:pPr>
              <w:numPr>
                <w:ilvl w:val="0"/>
                <w:numId w:val="0"/>
              </w:numPr>
              <w:spacing w:line="360" w:lineRule="auto"/>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C、面积在 100(含)-300 平方米的得2分；</w:t>
            </w:r>
          </w:p>
          <w:p>
            <w:pPr>
              <w:numPr>
                <w:ilvl w:val="0"/>
                <w:numId w:val="0"/>
              </w:numPr>
              <w:spacing w:line="360" w:lineRule="auto"/>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D、面积在 100 平方米以下的不得分。</w:t>
            </w:r>
          </w:p>
          <w:p>
            <w:pPr>
              <w:numPr>
                <w:ilvl w:val="0"/>
                <w:numId w:val="0"/>
              </w:numPr>
              <w:spacing w:line="360" w:lineRule="auto"/>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注：提供贵阳市办公场所的实景照片；代理机构自有物业须提供产权证，非代理机构自有物业须提供办公场所租赁合同（须与营业执照注册地址一致），证明材料缺项视同未提供，本项得分为0分。</w:t>
            </w:r>
          </w:p>
          <w:p>
            <w:pPr>
              <w:widowControl/>
              <w:spacing w:line="560" w:lineRule="exact"/>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（2）供应商自有办公设备、办公家具能满足代理工作的正常开展，提供电脑、打印机、复印机、办公桌椅、会议室等内容的购置发票和供应商自有资产登记证明的，完全满足得3分。</w:t>
            </w:r>
          </w:p>
        </w:tc>
        <w:tc>
          <w:tcPr>
            <w:tcW w:w="1050"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0-8分</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widowControl/>
              <w:spacing w:line="560" w:lineRule="exact"/>
              <w:jc w:val="center"/>
              <w:rPr>
                <w:rFonts w:hint="default"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6</w:t>
            </w:r>
          </w:p>
        </w:tc>
        <w:tc>
          <w:tcPr>
            <w:tcW w:w="1125" w:type="dxa"/>
            <w:vAlign w:val="center"/>
          </w:tcPr>
          <w:p>
            <w:pPr>
              <w:widowControl/>
              <w:spacing w:line="560" w:lineRule="exact"/>
              <w:jc w:val="center"/>
              <w:textAlignment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专家库建设</w:t>
            </w:r>
          </w:p>
        </w:tc>
        <w:tc>
          <w:tcPr>
            <w:tcW w:w="7683" w:type="dxa"/>
            <w:vAlign w:val="center"/>
          </w:tcPr>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（1）具有专家抽取系统(提供证明材料，包括抽取系统截图)的得2分；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（2）专家库专家人员在500名以上（提供证明材料，包括专家人数截图）得2分。</w:t>
            </w:r>
          </w:p>
          <w:p>
            <w:pPr>
              <w:widowControl/>
              <w:spacing w:line="560" w:lineRule="exact"/>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注：未提供证明材料不得相应分值。</w:t>
            </w:r>
          </w:p>
        </w:tc>
        <w:tc>
          <w:tcPr>
            <w:tcW w:w="1050"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0-4分</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widowControl/>
              <w:spacing w:line="560" w:lineRule="exact"/>
              <w:jc w:val="center"/>
              <w:rPr>
                <w:rFonts w:hint="default"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7</w:t>
            </w:r>
          </w:p>
        </w:tc>
        <w:tc>
          <w:tcPr>
            <w:tcW w:w="1125" w:type="dxa"/>
            <w:vAlign w:val="center"/>
          </w:tcPr>
          <w:p>
            <w:pPr>
              <w:widowControl/>
              <w:spacing w:line="560" w:lineRule="exact"/>
              <w:jc w:val="center"/>
              <w:textAlignment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业务范围</w:t>
            </w:r>
          </w:p>
        </w:tc>
        <w:tc>
          <w:tcPr>
            <w:tcW w:w="7683" w:type="dxa"/>
            <w:vAlign w:val="center"/>
          </w:tcPr>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具有中央投资项目代理机构资格、政府采购代理资格、机电产品国际招标代理资格、工程建设项目招标代理资格，全部满足得2分，缺项得1分。</w:t>
            </w:r>
          </w:p>
          <w:p>
            <w:pPr>
              <w:widowControl/>
              <w:spacing w:line="560" w:lineRule="exact"/>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注：提供以上招标代理备案证明材料，缺项本项得分为0分。</w:t>
            </w:r>
          </w:p>
        </w:tc>
        <w:tc>
          <w:tcPr>
            <w:tcW w:w="1050"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0-2分</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widowControl/>
              <w:spacing w:line="560" w:lineRule="exact"/>
              <w:jc w:val="center"/>
              <w:rPr>
                <w:rFonts w:hint="default"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8</w:t>
            </w:r>
          </w:p>
        </w:tc>
        <w:tc>
          <w:tcPr>
            <w:tcW w:w="1125" w:type="dxa"/>
            <w:vAlign w:val="center"/>
          </w:tcPr>
          <w:p>
            <w:pPr>
              <w:widowControl/>
              <w:spacing w:line="560" w:lineRule="exact"/>
              <w:jc w:val="center"/>
              <w:textAlignment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采购代理机构荣誉</w:t>
            </w:r>
          </w:p>
        </w:tc>
        <w:tc>
          <w:tcPr>
            <w:tcW w:w="7683" w:type="dxa"/>
            <w:vAlign w:val="center"/>
          </w:tcPr>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（1）获得2020～2022年度（连续3年）省级招标行业协会表彰的“优秀采购代理机构”称号：得4分；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（2）获得2020～2022年度（连续3年）市（州）级招标行业协会表彰的“优秀采购代理机构”称号：得4分；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（3）其他获取权威机构与招标采购有关的“优秀招标（或采购）代理机构”荣誉证书，每项1分，最高2分。</w:t>
            </w:r>
          </w:p>
          <w:p>
            <w:pPr>
              <w:widowControl/>
              <w:spacing w:line="560" w:lineRule="exact"/>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注：提供以上证书作为证明材料（有效并清晰可见，加盖公章）得相应分值，满分10分。未提供不得相应分值。</w:t>
            </w:r>
          </w:p>
        </w:tc>
        <w:tc>
          <w:tcPr>
            <w:tcW w:w="1050"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0-10分</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widowControl/>
              <w:spacing w:line="560" w:lineRule="exact"/>
              <w:jc w:val="center"/>
              <w:rPr>
                <w:rFonts w:hint="default"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9</w:t>
            </w:r>
          </w:p>
        </w:tc>
        <w:tc>
          <w:tcPr>
            <w:tcW w:w="1125" w:type="dxa"/>
            <w:vAlign w:val="center"/>
          </w:tcPr>
          <w:p>
            <w:pPr>
              <w:widowControl/>
              <w:spacing w:line="560" w:lineRule="exact"/>
              <w:jc w:val="center"/>
              <w:textAlignment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采购代理机构信誉、管理体系</w:t>
            </w:r>
          </w:p>
        </w:tc>
        <w:tc>
          <w:tcPr>
            <w:tcW w:w="7683" w:type="dxa"/>
            <w:vAlign w:val="center"/>
          </w:tcPr>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获得ISO9001质量管理体系认证证书、ISO14001环境管理体系认证证书、ISO45001职业健康安全管理体系认证证书（招标采购相关），全部提供得2分，缺项得1分。</w:t>
            </w:r>
          </w:p>
          <w:p>
            <w:pPr>
              <w:widowControl/>
              <w:spacing w:line="560" w:lineRule="exact"/>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注：提供以上证书作为证明材料（有效并清晰可见，加盖公章）得相应分值，满分2分；缺项或者未提供本项得0分。</w:t>
            </w:r>
          </w:p>
        </w:tc>
        <w:tc>
          <w:tcPr>
            <w:tcW w:w="1050"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0-2分</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widowControl/>
              <w:spacing w:line="560" w:lineRule="exact"/>
              <w:jc w:val="center"/>
              <w:rPr>
                <w:rFonts w:hint="default"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10</w:t>
            </w:r>
          </w:p>
        </w:tc>
        <w:tc>
          <w:tcPr>
            <w:tcW w:w="1125" w:type="dxa"/>
            <w:vAlign w:val="center"/>
          </w:tcPr>
          <w:p>
            <w:pPr>
              <w:widowControl/>
              <w:spacing w:line="560" w:lineRule="exact"/>
              <w:jc w:val="center"/>
              <w:textAlignment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针对本项目的专项服务团队</w:t>
            </w:r>
          </w:p>
        </w:tc>
        <w:tc>
          <w:tcPr>
            <w:tcW w:w="7683" w:type="dxa"/>
            <w:vAlign w:val="center"/>
          </w:tcPr>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（1）项目组负责人：招标代理工作经验不低于5年，且须具有中级及以上职称（提供证明材料，包括社保、职称证书、项目委托协议、项目中标公告），满足所有条件得5分；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（2）项目组成员：项目组成员不低于6人，项目组成员中每具有一名中级及以上职称人员且参加了贵州省财政厅组织的业务培训（提供证明材料，包括社保、职称证书、培训证书）得0.5分，最多得3分；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 xml:space="preserve">（3）项目组成员在国家级招投标、政府采购权威媒体发表一篇论文或者署名文章（提供相应证明材料并可追溯查询）得1分，最多得2分。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注：提供专项服务团队人员名单，并附2023年至今任意连续3个月的社会保险证明材料（社保局出具），否则本项得分为0分。</w:t>
            </w:r>
          </w:p>
        </w:tc>
        <w:tc>
          <w:tcPr>
            <w:tcW w:w="1050"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0-10分</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widowControl/>
              <w:spacing w:line="560" w:lineRule="exact"/>
              <w:jc w:val="center"/>
              <w:rPr>
                <w:rFonts w:hint="default"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11</w:t>
            </w:r>
          </w:p>
        </w:tc>
        <w:tc>
          <w:tcPr>
            <w:tcW w:w="1125"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专职从业人员</w:t>
            </w:r>
          </w:p>
        </w:tc>
        <w:tc>
          <w:tcPr>
            <w:tcW w:w="768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供应商团队获得招标采购专职从业人员能力考评证书的，10人以上（含10人）得2分，15人（含15人）以上得3分；</w:t>
            </w:r>
          </w:p>
          <w:p>
            <w:pPr>
              <w:pStyle w:val="2"/>
              <w:numPr>
                <w:ilvl w:val="0"/>
                <w:numId w:val="0"/>
              </w:numPr>
              <w:spacing w:line="360" w:lineRule="auto"/>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 xml:space="preserve">    注：提供供应商团队人员名单，并附证书复印件及2023年至今任意连续3个月的社会保险证明材料（社保局出具），否则本项得分为0分。</w:t>
            </w:r>
          </w:p>
        </w:tc>
        <w:tc>
          <w:tcPr>
            <w:tcW w:w="1050"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0-3分</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widowControl/>
              <w:spacing w:line="560" w:lineRule="exact"/>
              <w:jc w:val="center"/>
              <w:rPr>
                <w:rFonts w:hint="default"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12</w:t>
            </w:r>
          </w:p>
        </w:tc>
        <w:tc>
          <w:tcPr>
            <w:tcW w:w="1125" w:type="dxa"/>
            <w:vAlign w:val="center"/>
          </w:tcPr>
          <w:p>
            <w:pPr>
              <w:widowControl/>
              <w:spacing w:line="560" w:lineRule="exact"/>
              <w:jc w:val="center"/>
              <w:textAlignment w:val="center"/>
              <w:rPr>
                <w:rFonts w:hint="eastAsia" w:ascii="FangSong_GB2312" w:hAnsi="FangSong_GB2312" w:eastAsia="FangSong_GB2312" w:cs="黑体"/>
                <w:color w:val="auto"/>
                <w:kern w:val="2"/>
                <w:sz w:val="24"/>
                <w:szCs w:val="24"/>
                <w:highlight w:val="none"/>
                <w:lang w:val="en-US" w:eastAsia="zh-CN" w:bidi="ar-SA"/>
              </w:rPr>
            </w:pPr>
          </w:p>
          <w:p>
            <w:pPr>
              <w:widowControl/>
              <w:spacing w:line="560" w:lineRule="exact"/>
              <w:jc w:val="center"/>
              <w:textAlignment w:val="center"/>
              <w:rPr>
                <w:rFonts w:hint="eastAsia" w:ascii="FangSong_GB2312" w:hAnsi="FangSong_GB2312" w:eastAsia="FangSong_GB2312" w:cs="黑体"/>
                <w:color w:val="auto"/>
                <w:kern w:val="2"/>
                <w:sz w:val="24"/>
                <w:szCs w:val="24"/>
                <w:highlight w:val="none"/>
                <w:lang w:val="en-US" w:eastAsia="zh-CN" w:bidi="ar-SA"/>
              </w:rPr>
            </w:pPr>
          </w:p>
          <w:p>
            <w:pPr>
              <w:widowControl/>
              <w:spacing w:line="560" w:lineRule="exact"/>
              <w:jc w:val="center"/>
              <w:textAlignment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针对本项目的服务方案及紧急预案</w:t>
            </w:r>
          </w:p>
        </w:tc>
        <w:tc>
          <w:tcPr>
            <w:tcW w:w="7683" w:type="dxa"/>
            <w:vAlign w:val="center"/>
          </w:tcPr>
          <w:p>
            <w:pPr>
              <w:widowControl/>
              <w:spacing w:line="560" w:lineRule="exact"/>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 xml:space="preserve">     提供针对本项目的服务方案及紧急预案，至少包括以下要素及内容：①针对本项目成立的服务团队人员姓名、性别、学历情况、从业情况、从业经验；团队负责人姓名、性别、学历情况、从业情况、从业经验；②针对本项目的具体服务措施，如团队的管理模式、编制采购文件及采购程序及其手续的审核把关方法及标准、团队成员职责分工、项目接手后的工作内容及时间安排、工作过错纠正及工作失误补救办法、质量承诺、团队人员更换原则及更换标准等；③针对本项目的紧急预案，如定义紧急突发事项的范围、内容及性质，采取的处理措施、方法及保障办法等。</w:t>
            </w:r>
          </w:p>
          <w:p>
            <w:pPr>
              <w:widowControl/>
              <w:spacing w:line="560" w:lineRule="exact"/>
              <w:ind w:firstLine="480" w:firstLineChars="200"/>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要素齐全、完全响应采购文件、内容合理可行的，得15分，要素不齐全、或未完全响应采购文件、或内容不合理可行的，酌情扣分。</w:t>
            </w:r>
          </w:p>
        </w:tc>
        <w:tc>
          <w:tcPr>
            <w:tcW w:w="1050" w:type="dxa"/>
            <w:vAlign w:val="center"/>
          </w:tcPr>
          <w:p>
            <w:pPr>
              <w:widowControl/>
              <w:spacing w:line="560" w:lineRule="exact"/>
              <w:jc w:val="center"/>
              <w:rPr>
                <w:rFonts w:hint="eastAsia"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0-15分</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FangSong_GB2312" w:hAnsi="FangSong_GB2312" w:eastAsia="FangSong_GB2312" w:cs="黑体"/>
                <w:color w:val="auto"/>
                <w:kern w:val="2"/>
                <w:sz w:val="24"/>
                <w:szCs w:val="24"/>
                <w:highlight w:val="none"/>
                <w:lang w:val="en-US" w:eastAsia="zh-CN" w:bidi="ar-SA"/>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89" w:type="dxa"/>
            <w:gridSpan w:val="3"/>
            <w:vAlign w:val="center"/>
          </w:tcPr>
          <w:p>
            <w:pPr>
              <w:widowControl/>
              <w:spacing w:line="560" w:lineRule="exact"/>
              <w:jc w:val="center"/>
              <w:rPr>
                <w:rFonts w:hint="default"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得分</w:t>
            </w:r>
          </w:p>
        </w:tc>
        <w:tc>
          <w:tcPr>
            <w:tcW w:w="1050" w:type="dxa"/>
            <w:vAlign w:val="center"/>
          </w:tcPr>
          <w:p>
            <w:pPr>
              <w:widowControl/>
              <w:spacing w:line="560" w:lineRule="exact"/>
              <w:jc w:val="center"/>
              <w:rPr>
                <w:rFonts w:hint="default" w:ascii="FangSong_GB2312" w:hAnsi="FangSong_GB2312" w:eastAsia="FangSong_GB2312" w:cs="黑体"/>
                <w:color w:val="auto"/>
                <w:kern w:val="2"/>
                <w:sz w:val="24"/>
                <w:szCs w:val="24"/>
                <w:highlight w:val="none"/>
                <w:lang w:val="en-US" w:eastAsia="zh-CN" w:bidi="ar-SA"/>
              </w:rPr>
            </w:pPr>
            <w:r>
              <w:rPr>
                <w:rFonts w:hint="eastAsia" w:ascii="FangSong_GB2312" w:hAnsi="FangSong_GB2312" w:eastAsia="FangSong_GB2312" w:cs="黑体"/>
                <w:color w:val="auto"/>
                <w:kern w:val="2"/>
                <w:sz w:val="24"/>
                <w:szCs w:val="24"/>
                <w:highlight w:val="none"/>
                <w:lang w:val="en-US" w:eastAsia="zh-CN" w:bidi="ar-SA"/>
              </w:rPr>
              <w:t>100分</w:t>
            </w:r>
          </w:p>
        </w:tc>
        <w:tc>
          <w:tcPr>
            <w:tcW w:w="12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c>
          <w:tcPr>
            <w:tcW w:w="1000"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c>
          <w:tcPr>
            <w:tcW w:w="1115" w:type="dxa"/>
          </w:tcPr>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vertAlign w:val="baseline"/>
              </w:rPr>
            </w:pPr>
          </w:p>
        </w:tc>
      </w:tr>
    </w:tbl>
    <w:p>
      <w:pPr>
        <w:pStyle w:val="5"/>
        <w:rPr>
          <w:rFonts w:hint="eastAsia" w:ascii="宋体" w:hAnsi="宋体" w:eastAsia="宋体" w:cs="宋体"/>
          <w:kern w:val="2"/>
          <w:sz w:val="24"/>
          <w:szCs w:val="22"/>
          <w:highlight w:val="none"/>
          <w:lang w:val="en-US" w:eastAsia="zh-CN" w:bidi="ar-SA"/>
        </w:rPr>
      </w:pPr>
    </w:p>
    <w:p>
      <w:pPr>
        <w:pStyle w:val="5"/>
        <w:ind w:firstLine="560" w:firstLineChars="200"/>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比选小组（签字）：</w:t>
      </w:r>
    </w:p>
    <w:p>
      <w:pPr>
        <w:pStyle w:val="5"/>
        <w:rPr>
          <w:rFonts w:hint="eastAsia"/>
          <w:highlight w:val="none"/>
          <w:lang w:val="en-US" w:eastAsia="zh-CN"/>
        </w:rPr>
      </w:pPr>
    </w:p>
    <w:bookmarkEnd w:id="1"/>
    <w:p>
      <w:pPr>
        <w:pStyle w:val="5"/>
        <w:rPr>
          <w:rFonts w:hint="eastAsia" w:ascii="宋体" w:hAnsi="宋体" w:eastAsia="宋体" w:cs="宋体"/>
          <w:b/>
          <w:sz w:val="36"/>
          <w:szCs w:val="36"/>
          <w:highlight w:val="none"/>
        </w:rPr>
        <w:sectPr>
          <w:pgSz w:w="16838" w:h="11906" w:orient="landscape"/>
          <w:pgMar w:top="1080" w:right="1440" w:bottom="108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left"/>
        <w:rPr>
          <w:rFonts w:hint="eastAsia" w:ascii="黑体" w:hAnsi="黑体" w:eastAsia="黑体" w:cs="宋体"/>
          <w:kern w:val="2"/>
          <w:sz w:val="32"/>
          <w:szCs w:val="32"/>
          <w:highlight w:val="none"/>
          <w:lang w:val="en-US" w:eastAsia="zh-CN" w:bidi="ar-SA"/>
        </w:rPr>
      </w:pPr>
      <w:r>
        <w:rPr>
          <w:rFonts w:hint="eastAsia" w:ascii="黑体" w:hAnsi="黑体" w:eastAsia="黑体" w:cs="宋体"/>
          <w:kern w:val="2"/>
          <w:sz w:val="32"/>
          <w:szCs w:val="32"/>
          <w:highlight w:val="none"/>
          <w:lang w:val="en-US" w:eastAsia="zh-CN" w:bidi="ar-SA"/>
        </w:rPr>
        <w:t>六、定标原则</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1. 采购人将把合同授予被确定为实质上响应公开比选文件的要求并有履行合同能力的公开比选得分排名最靠前的供应商。综合优势明显的供应商有可能中标，不保证最低投标报价者中标。</w:t>
      </w:r>
    </w:p>
    <w:p>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 xml:space="preserve">2. 采购人按照比选小组推荐的中标候选供应商顺序确定中标供应商。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left"/>
        <w:rPr>
          <w:rFonts w:hint="eastAsia" w:ascii="黑体" w:hAnsi="黑体" w:eastAsia="黑体" w:cs="宋体"/>
          <w:kern w:val="2"/>
          <w:sz w:val="32"/>
          <w:szCs w:val="32"/>
          <w:highlight w:val="none"/>
          <w:lang w:val="en-US" w:eastAsia="zh-CN" w:bidi="ar-SA"/>
        </w:rPr>
      </w:pPr>
      <w:r>
        <w:rPr>
          <w:rFonts w:hint="eastAsia" w:ascii="黑体" w:hAnsi="黑体" w:eastAsia="黑体" w:cs="宋体"/>
          <w:kern w:val="2"/>
          <w:sz w:val="32"/>
          <w:szCs w:val="32"/>
          <w:highlight w:val="none"/>
          <w:lang w:val="en-US" w:eastAsia="zh-CN" w:bidi="ar-SA"/>
        </w:rPr>
        <w:t>七、无效投标情形</w:t>
      </w:r>
    </w:p>
    <w:p>
      <w:pPr>
        <w:spacing w:beforeLines="0" w:afterLines="0"/>
        <w:ind w:firstLine="560" w:firstLineChars="200"/>
        <w:jc w:val="left"/>
        <w:rPr>
          <w:rFonts w:hint="eastAsia" w:ascii="FangSong_GB2312" w:hAnsi="FangSong_GB2312" w:eastAsia="FangSong_GB2312"/>
          <w:sz w:val="28"/>
          <w:szCs w:val="24"/>
          <w:highlight w:val="none"/>
        </w:rPr>
      </w:pPr>
      <w:r>
        <w:rPr>
          <w:rFonts w:hint="eastAsia" w:ascii="FangSong_GB2312" w:hAnsi="FangSong_GB2312" w:eastAsia="FangSong_GB2312"/>
          <w:sz w:val="28"/>
          <w:szCs w:val="24"/>
          <w:highlight w:val="none"/>
        </w:rPr>
        <w:t>1.未按照</w:t>
      </w:r>
      <w:r>
        <w:rPr>
          <w:rFonts w:hint="eastAsia" w:ascii="FangSong_GB2312" w:hAnsi="FangSong_GB2312" w:eastAsia="FangSong_GB2312"/>
          <w:sz w:val="28"/>
          <w:szCs w:val="24"/>
          <w:highlight w:val="none"/>
          <w:lang w:eastAsia="zh-CN"/>
        </w:rPr>
        <w:t>公开比选文件</w:t>
      </w:r>
      <w:r>
        <w:rPr>
          <w:rFonts w:hint="eastAsia" w:ascii="FangSong_GB2312" w:hAnsi="FangSong_GB2312" w:eastAsia="FangSong_GB2312"/>
          <w:sz w:val="28"/>
          <w:szCs w:val="24"/>
          <w:highlight w:val="none"/>
        </w:rPr>
        <w:t>规定要求密封、签署、盖章的；</w:t>
      </w:r>
    </w:p>
    <w:p>
      <w:pPr>
        <w:spacing w:beforeLines="0" w:afterLines="0"/>
        <w:ind w:firstLine="560" w:firstLineChars="200"/>
        <w:jc w:val="left"/>
        <w:rPr>
          <w:rFonts w:hint="eastAsia" w:ascii="FangSong_GB2312" w:hAnsi="FangSong_GB2312" w:eastAsia="FangSong_GB2312"/>
          <w:sz w:val="28"/>
          <w:szCs w:val="24"/>
          <w:highlight w:val="none"/>
        </w:rPr>
      </w:pPr>
      <w:r>
        <w:rPr>
          <w:rFonts w:hint="eastAsia" w:ascii="FangSong_GB2312" w:hAnsi="FangSong_GB2312" w:eastAsia="FangSong_GB2312"/>
          <w:sz w:val="28"/>
          <w:szCs w:val="24"/>
          <w:highlight w:val="none"/>
        </w:rPr>
        <w:t>2.不具备</w:t>
      </w:r>
      <w:r>
        <w:rPr>
          <w:rFonts w:hint="eastAsia" w:ascii="FangSong_GB2312" w:hAnsi="FangSong_GB2312" w:eastAsia="FangSong_GB2312"/>
          <w:sz w:val="28"/>
          <w:szCs w:val="24"/>
          <w:highlight w:val="none"/>
          <w:lang w:eastAsia="zh-CN"/>
        </w:rPr>
        <w:t>公开比选文件</w:t>
      </w:r>
      <w:r>
        <w:rPr>
          <w:rFonts w:hint="eastAsia" w:ascii="FangSong_GB2312" w:hAnsi="FangSong_GB2312" w:eastAsia="FangSong_GB2312"/>
          <w:sz w:val="28"/>
          <w:szCs w:val="24"/>
          <w:highlight w:val="none"/>
        </w:rPr>
        <w:t>中规定资格要求的；</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宋体"/>
          <w:kern w:val="2"/>
          <w:sz w:val="32"/>
          <w:szCs w:val="32"/>
          <w:highlight w:val="none"/>
          <w:lang w:val="en-US" w:eastAsia="zh-CN" w:bidi="ar-SA"/>
        </w:rPr>
      </w:pPr>
      <w:r>
        <w:rPr>
          <w:rFonts w:hint="eastAsia" w:ascii="FangSong_GB2312" w:hAnsi="FangSong_GB2312" w:eastAsia="FangSong_GB2312"/>
          <w:sz w:val="28"/>
          <w:szCs w:val="24"/>
          <w:highlight w:val="none"/>
        </w:rPr>
        <w:t>3.不符合法律、法规和</w:t>
      </w:r>
      <w:r>
        <w:rPr>
          <w:rFonts w:hint="eastAsia" w:ascii="FangSong_GB2312" w:hAnsi="FangSong_GB2312" w:eastAsia="FangSong_GB2312"/>
          <w:sz w:val="28"/>
          <w:szCs w:val="24"/>
          <w:highlight w:val="none"/>
          <w:lang w:eastAsia="zh-CN"/>
        </w:rPr>
        <w:t>公开比选文件</w:t>
      </w:r>
      <w:r>
        <w:rPr>
          <w:rFonts w:hint="eastAsia" w:ascii="FangSong_GB2312" w:hAnsi="FangSong_GB2312" w:eastAsia="FangSong_GB2312"/>
          <w:sz w:val="28"/>
          <w:szCs w:val="24"/>
          <w:highlight w:val="none"/>
        </w:rPr>
        <w:t>中规定的其他实质性要求的。</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left"/>
        <w:rPr>
          <w:rFonts w:hint="eastAsia" w:ascii="黑体" w:hAnsi="黑体" w:eastAsia="黑体" w:cs="宋体"/>
          <w:kern w:val="2"/>
          <w:sz w:val="32"/>
          <w:szCs w:val="32"/>
          <w:highlight w:val="none"/>
          <w:lang w:val="en-US" w:eastAsia="zh-CN" w:bidi="ar-SA"/>
        </w:rPr>
      </w:pPr>
      <w:r>
        <w:rPr>
          <w:rFonts w:hint="eastAsia" w:ascii="黑体" w:hAnsi="黑体" w:eastAsia="黑体" w:cs="宋体"/>
          <w:kern w:val="2"/>
          <w:sz w:val="32"/>
          <w:szCs w:val="32"/>
          <w:highlight w:val="none"/>
          <w:lang w:val="en-US" w:eastAsia="zh-CN" w:bidi="ar-SA"/>
        </w:rPr>
        <w:t>八、废标情形</w:t>
      </w:r>
    </w:p>
    <w:p>
      <w:pPr>
        <w:spacing w:beforeLines="0" w:afterLines="0"/>
        <w:ind w:firstLine="560" w:firstLineChars="200"/>
        <w:jc w:val="left"/>
        <w:rPr>
          <w:rFonts w:hint="eastAsia" w:ascii="FangSong_GB2312" w:hAnsi="FangSong_GB2312" w:eastAsia="FangSong_GB2312"/>
          <w:sz w:val="28"/>
          <w:szCs w:val="24"/>
          <w:highlight w:val="none"/>
        </w:rPr>
      </w:pPr>
      <w:r>
        <w:rPr>
          <w:rFonts w:hint="eastAsia" w:ascii="FangSong_GB2312" w:hAnsi="FangSong_GB2312" w:eastAsia="FangSong_GB2312"/>
          <w:sz w:val="28"/>
          <w:szCs w:val="24"/>
          <w:highlight w:val="none"/>
        </w:rPr>
        <w:t>1.出现影响采购公正的违法、违规行为的；</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FangSong_GB2312" w:hAnsi="FangSong_GB2312" w:eastAsia="FangSong_GB2312"/>
          <w:sz w:val="28"/>
          <w:szCs w:val="24"/>
          <w:highlight w:val="none"/>
          <w:lang w:val="en-US" w:eastAsia="zh-CN"/>
        </w:rPr>
      </w:pPr>
      <w:r>
        <w:rPr>
          <w:rFonts w:hint="eastAsia" w:ascii="FangSong_GB2312" w:hAnsi="FangSong_GB2312" w:eastAsia="FangSong_GB2312"/>
          <w:sz w:val="28"/>
          <w:szCs w:val="24"/>
          <w:highlight w:val="none"/>
        </w:rPr>
        <w:t>2.因重大变故，采购任务取消的。</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left"/>
        <w:rPr>
          <w:rFonts w:hint="eastAsia" w:ascii="黑体" w:hAnsi="黑体" w:eastAsia="黑体" w:cs="宋体"/>
          <w:kern w:val="2"/>
          <w:sz w:val="32"/>
          <w:szCs w:val="32"/>
          <w:highlight w:val="none"/>
          <w:lang w:val="en-US" w:eastAsia="zh-CN" w:bidi="ar-SA"/>
        </w:rPr>
      </w:pPr>
    </w:p>
    <w:p>
      <w:pPr>
        <w:rPr>
          <w:rFonts w:hint="eastAsia" w:ascii="仿宋" w:hAnsi="仿宋" w:eastAsia="仿宋" w:cs="仿宋"/>
          <w:b/>
          <w:bCs/>
          <w:kern w:val="2"/>
          <w:sz w:val="44"/>
          <w:szCs w:val="44"/>
          <w:highlight w:val="none"/>
          <w:lang w:val="en-US" w:eastAsia="zh-CN" w:bidi="ar-SA"/>
        </w:rPr>
      </w:pPr>
      <w:bookmarkStart w:id="2" w:name="_Toc31338"/>
      <w:r>
        <w:rPr>
          <w:rFonts w:hint="eastAsia" w:ascii="仿宋" w:hAnsi="仿宋" w:eastAsia="仿宋" w:cs="仿宋"/>
          <w:b/>
          <w:bCs/>
          <w:kern w:val="2"/>
          <w:sz w:val="44"/>
          <w:szCs w:val="4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r>
        <w:rPr>
          <w:rFonts w:hint="eastAsia" w:ascii="仿宋" w:hAnsi="仿宋" w:eastAsia="仿宋" w:cs="仿宋"/>
          <w:b/>
          <w:bCs/>
          <w:kern w:val="2"/>
          <w:sz w:val="44"/>
          <w:szCs w:val="44"/>
          <w:highlight w:val="none"/>
          <w:lang w:val="en-US" w:eastAsia="zh-CN" w:bidi="ar-SA"/>
        </w:rPr>
        <w:t xml:space="preserve">第四章 </w:t>
      </w:r>
      <w:bookmarkEnd w:id="2"/>
      <w:r>
        <w:rPr>
          <w:rFonts w:hint="eastAsia" w:ascii="仿宋" w:hAnsi="仿宋" w:eastAsia="仿宋" w:cs="仿宋"/>
          <w:b/>
          <w:bCs/>
          <w:kern w:val="2"/>
          <w:sz w:val="44"/>
          <w:szCs w:val="44"/>
          <w:highlight w:val="none"/>
          <w:lang w:val="en-US" w:eastAsia="zh-CN" w:bidi="ar-SA"/>
        </w:rPr>
        <w:t>响应文件内容及格式</w:t>
      </w:r>
    </w:p>
    <w:p>
      <w:pPr>
        <w:rPr>
          <w:rFonts w:hint="default"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封面</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spacing w:val="-18"/>
          <w:sz w:val="44"/>
          <w:szCs w:val="44"/>
          <w:highlight w:val="none"/>
          <w:lang w:val="en-US" w:eastAsia="zh-CN"/>
        </w:rPr>
      </w:pPr>
    </w:p>
    <w:p>
      <w:pPr>
        <w:bidi w:val="0"/>
        <w:spacing w:line="360" w:lineRule="auto"/>
        <w:jc w:val="center"/>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2024年贵州省第三次土壤普查相关技术服务及货物政府采购代理机构公开比选</w:t>
      </w:r>
    </w:p>
    <w:p>
      <w:pPr>
        <w:jc w:val="center"/>
        <w:rPr>
          <w:rFonts w:ascii="宋体" w:hAnsi="宋体" w:cs="宋体"/>
          <w:spacing w:val="20"/>
          <w:sz w:val="44"/>
          <w:szCs w:val="44"/>
          <w:highlight w:val="none"/>
        </w:rPr>
      </w:pPr>
    </w:p>
    <w:p>
      <w:pPr>
        <w:jc w:val="center"/>
        <w:rPr>
          <w:rFonts w:hint="eastAsia" w:ascii="宋体" w:hAnsi="宋体" w:eastAsia="宋体" w:cs="宋体"/>
          <w:spacing w:val="40"/>
          <w:w w:val="110"/>
          <w:sz w:val="44"/>
          <w:szCs w:val="44"/>
          <w:highlight w:val="none"/>
        </w:rPr>
      </w:pPr>
      <w:r>
        <w:rPr>
          <w:rFonts w:hint="eastAsia" w:ascii="宋体" w:hAnsi="宋体" w:eastAsia="宋体" w:cs="宋体"/>
          <w:spacing w:val="40"/>
          <w:w w:val="110"/>
          <w:sz w:val="44"/>
          <w:szCs w:val="44"/>
          <w:highlight w:val="none"/>
        </w:rPr>
        <w:t>响应文件</w:t>
      </w:r>
    </w:p>
    <w:p>
      <w:pPr>
        <w:jc w:val="center"/>
        <w:rPr>
          <w:rFonts w:ascii="宋体" w:hAnsi="宋体" w:cs="宋体"/>
          <w:sz w:val="24"/>
          <w:highlight w:val="none"/>
        </w:rPr>
      </w:pPr>
    </w:p>
    <w:tbl>
      <w:tblPr>
        <w:tblStyle w:val="10"/>
        <w:tblpPr w:leftFromText="180" w:rightFromText="180" w:vertAnchor="text" w:horzAnchor="page" w:tblpX="2380" w:tblpY="2256"/>
        <w:tblOverlap w:val="never"/>
        <w:tblW w:w="7841" w:type="dxa"/>
        <w:tblInd w:w="0" w:type="dxa"/>
        <w:tblLayout w:type="fixed"/>
        <w:tblCellMar>
          <w:top w:w="0" w:type="dxa"/>
          <w:left w:w="108" w:type="dxa"/>
          <w:bottom w:w="0" w:type="dxa"/>
          <w:right w:w="108" w:type="dxa"/>
        </w:tblCellMar>
      </w:tblPr>
      <w:tblGrid>
        <w:gridCol w:w="1659"/>
        <w:gridCol w:w="2179"/>
        <w:gridCol w:w="1360"/>
        <w:gridCol w:w="2643"/>
      </w:tblGrid>
      <w:tr>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项目名称：</w:t>
            </w:r>
          </w:p>
        </w:tc>
        <w:tc>
          <w:tcPr>
            <w:tcW w:w="6182" w:type="dxa"/>
            <w:gridSpan w:val="3"/>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宋体" w:hAnsi="宋体" w:eastAsia="宋体" w:cs="宋体"/>
                <w:color w:val="auto"/>
                <w:kern w:val="2"/>
                <w:sz w:val="28"/>
                <w:szCs w:val="28"/>
                <w:highlight w:val="none"/>
                <w:lang w:val="en-US" w:eastAsia="zh-CN" w:bidi="ar-SA"/>
              </w:rPr>
            </w:pPr>
          </w:p>
        </w:tc>
      </w:tr>
      <w:tr>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w:t>
            </w:r>
          </w:p>
        </w:tc>
        <w:tc>
          <w:tcPr>
            <w:tcW w:w="6182" w:type="dxa"/>
            <w:gridSpan w:val="3"/>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宋体" w:hAnsi="宋体" w:eastAsia="宋体" w:cs="宋体"/>
                <w:color w:val="auto"/>
                <w:kern w:val="2"/>
                <w:sz w:val="28"/>
                <w:szCs w:val="28"/>
                <w:highlight w:val="none"/>
                <w:lang w:val="en-US" w:eastAsia="zh-CN" w:bidi="ar-SA"/>
              </w:rPr>
            </w:pPr>
          </w:p>
        </w:tc>
      </w:tr>
      <w:tr>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详细地址：</w:t>
            </w:r>
          </w:p>
        </w:tc>
        <w:tc>
          <w:tcPr>
            <w:tcW w:w="6182" w:type="dxa"/>
            <w:gridSpan w:val="3"/>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宋体" w:hAnsi="宋体" w:eastAsia="宋体" w:cs="宋体"/>
                <w:color w:val="auto"/>
                <w:kern w:val="2"/>
                <w:sz w:val="28"/>
                <w:szCs w:val="28"/>
                <w:highlight w:val="none"/>
                <w:lang w:val="en-US" w:eastAsia="zh-CN" w:bidi="ar-SA"/>
              </w:rPr>
            </w:pPr>
          </w:p>
        </w:tc>
      </w:tr>
      <w:tr>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联系人：</w:t>
            </w:r>
          </w:p>
        </w:tc>
        <w:tc>
          <w:tcPr>
            <w:tcW w:w="2179"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宋体" w:hAnsi="宋体" w:eastAsia="宋体" w:cs="宋体"/>
                <w:color w:val="auto"/>
                <w:kern w:val="2"/>
                <w:sz w:val="28"/>
                <w:szCs w:val="28"/>
                <w:highlight w:val="none"/>
                <w:lang w:val="en-US" w:eastAsia="zh-CN" w:bidi="ar-SA"/>
              </w:rPr>
            </w:pPr>
          </w:p>
        </w:tc>
        <w:tc>
          <w:tcPr>
            <w:tcW w:w="1360"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电  话：</w:t>
            </w:r>
          </w:p>
        </w:tc>
        <w:tc>
          <w:tcPr>
            <w:tcW w:w="2643" w:type="dxa"/>
            <w:tcBorders>
              <w:top w:val="single" w:color="auto" w:sz="12" w:space="0"/>
              <w:left w:val="single" w:color="auto" w:sz="12" w:space="0"/>
              <w:bottom w:val="single" w:color="auto" w:sz="12" w:space="0"/>
              <w:right w:val="single" w:color="auto" w:sz="12" w:space="0"/>
            </w:tcBorders>
            <w:noWrap w:val="0"/>
            <w:vAlign w:val="bottom"/>
          </w:tcPr>
          <w:p>
            <w:pPr>
              <w:widowControl w:val="0"/>
              <w:spacing w:line="240" w:lineRule="auto"/>
              <w:jc w:val="distribute"/>
              <w:rPr>
                <w:rFonts w:hint="eastAsia" w:ascii="宋体" w:hAnsi="宋体" w:eastAsia="宋体" w:cs="宋体"/>
                <w:color w:val="auto"/>
                <w:kern w:val="2"/>
                <w:sz w:val="28"/>
                <w:szCs w:val="28"/>
                <w:highlight w:val="none"/>
                <w:lang w:val="en-US" w:eastAsia="zh-CN" w:bidi="ar-SA"/>
              </w:rPr>
            </w:pPr>
          </w:p>
        </w:tc>
      </w:tr>
    </w:tbl>
    <w:p>
      <w:pPr>
        <w:widowControl/>
        <w:jc w:val="both"/>
        <w:rPr>
          <w:rFonts w:hAnsi="宋体"/>
          <w:highlight w:val="none"/>
        </w:rPr>
      </w:pPr>
      <w:r>
        <w:rPr>
          <w:rFonts w:hAnsi="宋体"/>
          <w:highlight w:val="none"/>
        </w:rPr>
        <w:br w:type="page"/>
      </w:r>
    </w:p>
    <w:p>
      <w:pPr>
        <w:widowControl/>
        <w:jc w:val="center"/>
        <w:rPr>
          <w:rFonts w:hAnsi="宋体"/>
          <w:highlight w:val="none"/>
        </w:rPr>
      </w:pPr>
    </w:p>
    <w:p>
      <w:pPr>
        <w:widowControl/>
        <w:jc w:val="center"/>
        <w:rPr>
          <w:rFonts w:hint="eastAsia" w:ascii="仿宋" w:hAnsi="仿宋" w:eastAsia="仿宋" w:cs="仿宋"/>
          <w:b/>
          <w:bCs/>
          <w:kern w:val="2"/>
          <w:sz w:val="44"/>
          <w:szCs w:val="44"/>
          <w:highlight w:val="none"/>
          <w:lang w:val="en-US" w:eastAsia="en-US"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center"/>
        <w:rPr>
          <w:rFonts w:hint="eastAsia" w:ascii="黑体" w:hAnsi="黑体" w:eastAsia="黑体" w:cs="宋体"/>
          <w:kern w:val="2"/>
          <w:sz w:val="32"/>
          <w:szCs w:val="32"/>
          <w:highlight w:val="none"/>
          <w:lang w:val="en-US" w:eastAsia="en-US" w:bidi="ar-SA"/>
        </w:rPr>
      </w:pPr>
      <w:r>
        <w:rPr>
          <w:rFonts w:hint="eastAsia" w:ascii="黑体" w:hAnsi="黑体" w:eastAsia="黑体" w:cs="宋体"/>
          <w:kern w:val="2"/>
          <w:sz w:val="32"/>
          <w:szCs w:val="32"/>
          <w:highlight w:val="none"/>
          <w:lang w:val="en-US" w:eastAsia="en-US" w:bidi="ar-SA"/>
        </w:rPr>
        <w:t>目  录</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center"/>
        <w:rPr>
          <w:rFonts w:hint="eastAsia" w:ascii="黑体" w:hAnsi="黑体" w:eastAsia="黑体" w:cs="宋体"/>
          <w:kern w:val="2"/>
          <w:sz w:val="32"/>
          <w:szCs w:val="32"/>
          <w:highlight w:val="none"/>
          <w:lang w:val="en-US" w:eastAsia="en-US" w:bidi="ar-SA"/>
        </w:rPr>
      </w:pPr>
      <w:r>
        <w:rPr>
          <w:rFonts w:hint="eastAsia" w:ascii="黑体" w:hAnsi="黑体" w:eastAsia="黑体" w:cs="宋体"/>
          <w:kern w:val="2"/>
          <w:sz w:val="32"/>
          <w:szCs w:val="32"/>
          <w:highlight w:val="none"/>
          <w:lang w:val="en-US" w:eastAsia="en-US" w:bidi="ar-SA"/>
        </w:rPr>
        <w:t>（按照</w:t>
      </w:r>
      <w:r>
        <w:rPr>
          <w:rFonts w:hint="eastAsia" w:ascii="黑体" w:hAnsi="黑体" w:eastAsia="黑体" w:cs="宋体"/>
          <w:kern w:val="2"/>
          <w:sz w:val="32"/>
          <w:szCs w:val="32"/>
          <w:highlight w:val="none"/>
          <w:lang w:val="en-US" w:eastAsia="zh-CN" w:bidi="ar-SA"/>
        </w:rPr>
        <w:t>响应</w:t>
      </w:r>
      <w:r>
        <w:rPr>
          <w:rFonts w:hint="eastAsia" w:ascii="黑体" w:hAnsi="黑体" w:eastAsia="黑体" w:cs="宋体"/>
          <w:kern w:val="2"/>
          <w:sz w:val="32"/>
          <w:szCs w:val="32"/>
          <w:highlight w:val="none"/>
          <w:lang w:val="en-US" w:eastAsia="en-US" w:bidi="ar-SA"/>
        </w:rPr>
        <w:t>文件组成内容完善目录明细）</w:t>
      </w:r>
    </w:p>
    <w:p>
      <w:pPr>
        <w:widowControl/>
        <w:jc w:val="both"/>
        <w:rPr>
          <w:rFonts w:ascii="宋体" w:hAnsi="宋体" w:cs="宋体"/>
          <w:b/>
          <w:kern w:val="0"/>
          <w:sz w:val="30"/>
          <w:szCs w:val="24"/>
          <w:highlight w:val="none"/>
          <w:lang w:eastAsia="en-US"/>
        </w:rPr>
      </w:pPr>
    </w:p>
    <w:p>
      <w:pPr>
        <w:spacing w:line="480" w:lineRule="auto"/>
        <w:ind w:leftChars="300"/>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 xml:space="preserve">第一部分 投标函 </w:t>
      </w:r>
    </w:p>
    <w:p>
      <w:pPr>
        <w:spacing w:line="480" w:lineRule="auto"/>
        <w:ind w:leftChars="300"/>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 xml:space="preserve">第二部分 报价表 </w:t>
      </w:r>
    </w:p>
    <w:p>
      <w:pPr>
        <w:spacing w:line="480" w:lineRule="auto"/>
        <w:ind w:leftChars="300"/>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 xml:space="preserve">第三部分 供应商资质基本要求的证明文件 </w:t>
      </w:r>
    </w:p>
    <w:p>
      <w:pPr>
        <w:spacing w:line="480" w:lineRule="auto"/>
        <w:ind w:leftChars="300"/>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 xml:space="preserve">第四部分 评审内容的证明文件 </w:t>
      </w:r>
    </w:p>
    <w:p>
      <w:pPr>
        <w:spacing w:line="480" w:lineRule="auto"/>
        <w:ind w:leftChars="300"/>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 xml:space="preserve">第五部分 其他资料 </w:t>
      </w:r>
    </w:p>
    <w:p>
      <w:pPr>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r>
        <w:rPr>
          <w:rFonts w:hint="eastAsia" w:ascii="仿宋" w:hAnsi="仿宋" w:eastAsia="仿宋" w:cs="仿宋"/>
          <w:b/>
          <w:bCs/>
          <w:kern w:val="2"/>
          <w:sz w:val="44"/>
          <w:szCs w:val="44"/>
          <w:highlight w:val="none"/>
          <w:lang w:val="en-US" w:eastAsia="zh-CN" w:bidi="ar-SA"/>
        </w:rPr>
        <w:t>第一部分 投标函</w:t>
      </w: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致____________(采购人)：</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根据________(项目名称)的</w:t>
      </w:r>
      <w:r>
        <w:rPr>
          <w:rFonts w:hint="eastAsia" w:ascii="宋体" w:hAnsi="宋体" w:eastAsia="宋体" w:cs="宋体"/>
          <w:color w:val="auto"/>
          <w:kern w:val="2"/>
          <w:sz w:val="24"/>
          <w:szCs w:val="24"/>
          <w:highlight w:val="none"/>
        </w:rPr>
        <w:t>投标</w:t>
      </w:r>
      <w:r>
        <w:rPr>
          <w:rFonts w:hint="eastAsia" w:ascii="宋体" w:hAnsi="宋体" w:eastAsia="宋体" w:cs="宋体"/>
          <w:kern w:val="2"/>
          <w:sz w:val="24"/>
          <w:szCs w:val="24"/>
          <w:highlight w:val="none"/>
        </w:rPr>
        <w:t>邀请，________(姓名、职务)代表</w:t>
      </w:r>
      <w:r>
        <w:rPr>
          <w:rFonts w:hint="eastAsia" w:hAnsi="宋体" w:cs="宋体"/>
          <w:kern w:val="2"/>
          <w:sz w:val="24"/>
          <w:szCs w:val="24"/>
          <w:highlight w:val="none"/>
          <w:lang w:eastAsia="zh-CN"/>
        </w:rPr>
        <w:t>供应商</w:t>
      </w:r>
      <w:r>
        <w:rPr>
          <w:rFonts w:hint="eastAsia" w:ascii="宋体" w:hAnsi="宋体" w:eastAsia="宋体" w:cs="宋体"/>
          <w:kern w:val="2"/>
          <w:sz w:val="24"/>
          <w:szCs w:val="24"/>
          <w:highlight w:val="none"/>
        </w:rPr>
        <w:t>________(</w:t>
      </w:r>
      <w:r>
        <w:rPr>
          <w:rFonts w:hint="eastAsia" w:ascii="宋体" w:hAnsi="宋体" w:eastAsia="宋体" w:cs="宋体"/>
          <w:kern w:val="2"/>
          <w:sz w:val="24"/>
          <w:szCs w:val="24"/>
          <w:highlight w:val="none"/>
          <w:lang w:eastAsia="zh-CN"/>
        </w:rPr>
        <w:t>供应商名称</w:t>
      </w:r>
      <w:r>
        <w:rPr>
          <w:rFonts w:hint="eastAsia" w:ascii="宋体" w:hAnsi="宋体" w:eastAsia="宋体" w:cs="宋体"/>
          <w:kern w:val="2"/>
          <w:sz w:val="24"/>
          <w:szCs w:val="24"/>
          <w:highlight w:val="none"/>
        </w:rPr>
        <w:t>、地址)参加本项目</w:t>
      </w:r>
      <w:r>
        <w:rPr>
          <w:rFonts w:hint="eastAsia" w:hAnsi="宋体" w:cs="宋体"/>
          <w:kern w:val="2"/>
          <w:sz w:val="24"/>
          <w:szCs w:val="24"/>
          <w:highlight w:val="none"/>
          <w:lang w:val="en-US" w:eastAsia="zh-CN"/>
        </w:rPr>
        <w:t>公开比选</w:t>
      </w:r>
      <w:r>
        <w:rPr>
          <w:rFonts w:hint="eastAsia" w:ascii="宋体" w:hAnsi="宋体" w:eastAsia="宋体" w:cs="宋体"/>
          <w:kern w:val="2"/>
          <w:sz w:val="24"/>
          <w:szCs w:val="24"/>
          <w:highlight w:val="none"/>
        </w:rPr>
        <w:t>活动。据此函，作如下承诺：</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1.具备本项目</w:t>
      </w:r>
      <w:r>
        <w:rPr>
          <w:rFonts w:hint="eastAsia" w:ascii="宋体" w:hAnsi="宋体" w:eastAsia="宋体" w:cs="宋体"/>
          <w:kern w:val="2"/>
          <w:sz w:val="24"/>
          <w:szCs w:val="24"/>
          <w:highlight w:val="none"/>
          <w:lang w:eastAsia="zh-CN"/>
        </w:rPr>
        <w:t>采购文件</w:t>
      </w:r>
      <w:r>
        <w:rPr>
          <w:rFonts w:hint="eastAsia" w:ascii="宋体" w:hAnsi="宋体" w:eastAsia="宋体" w:cs="宋体"/>
          <w:kern w:val="2"/>
          <w:sz w:val="24"/>
          <w:szCs w:val="24"/>
          <w:highlight w:val="none"/>
        </w:rPr>
        <w:t>中规定的</w:t>
      </w:r>
      <w:r>
        <w:rPr>
          <w:rFonts w:hint="eastAsia" w:ascii="宋体" w:hAnsi="宋体" w:eastAsia="宋体" w:cs="宋体"/>
          <w:kern w:val="2"/>
          <w:sz w:val="24"/>
          <w:szCs w:val="24"/>
          <w:highlight w:val="none"/>
          <w:lang w:val="en-US" w:eastAsia="zh-CN"/>
        </w:rPr>
        <w:t>资格要求</w:t>
      </w:r>
      <w:r>
        <w:rPr>
          <w:rFonts w:hint="eastAsia" w:ascii="宋体" w:hAnsi="宋体" w:eastAsia="宋体" w:cs="宋体"/>
          <w:kern w:val="2"/>
          <w:sz w:val="24"/>
          <w:szCs w:val="24"/>
          <w:highlight w:val="none"/>
        </w:rPr>
        <w:t>。</w:t>
      </w:r>
    </w:p>
    <w:p>
      <w:pPr>
        <w:pStyle w:val="6"/>
        <w:spacing w:line="360" w:lineRule="auto"/>
        <w:ind w:firstLine="480" w:firstLineChars="200"/>
        <w:jc w:val="left"/>
        <w:rPr>
          <w:rFonts w:hint="eastAsia" w:ascii="宋体" w:hAnsi="宋体" w:eastAsia="宋体" w:cs="宋体"/>
          <w:kern w:val="2"/>
          <w:sz w:val="24"/>
          <w:szCs w:val="24"/>
          <w:highlight w:val="none"/>
          <w:lang w:eastAsia="zh-CN"/>
        </w:rPr>
      </w:pPr>
      <w:r>
        <w:rPr>
          <w:rFonts w:hint="eastAsia"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.提供</w:t>
      </w:r>
      <w:r>
        <w:rPr>
          <w:rFonts w:hint="eastAsia" w:hAnsi="宋体" w:cs="宋体"/>
          <w:kern w:val="2"/>
          <w:sz w:val="24"/>
          <w:szCs w:val="24"/>
          <w:highlight w:val="none"/>
          <w:lang w:eastAsia="zh-CN"/>
        </w:rPr>
        <w:t>供应商</w:t>
      </w:r>
      <w:r>
        <w:rPr>
          <w:rFonts w:hint="eastAsia" w:ascii="宋体" w:hAnsi="宋体" w:eastAsia="宋体" w:cs="宋体"/>
          <w:kern w:val="2"/>
          <w:sz w:val="24"/>
          <w:szCs w:val="24"/>
          <w:highlight w:val="none"/>
        </w:rPr>
        <w:t>须知规定的全部</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，包括</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正本______份，副本______份</w:t>
      </w:r>
      <w:r>
        <w:rPr>
          <w:rFonts w:hint="eastAsia" w:hAnsi="宋体" w:eastAsia="宋体" w:cs="宋体"/>
          <w:kern w:val="2"/>
          <w:sz w:val="24"/>
          <w:szCs w:val="24"/>
          <w:highlight w:val="none"/>
          <w:lang w:eastAsia="zh-CN"/>
        </w:rPr>
        <w:t>，</w:t>
      </w:r>
      <w:r>
        <w:rPr>
          <w:rFonts w:hint="eastAsia" w:ascii="宋体" w:hAnsi="宋体" w:eastAsia="宋体" w:cs="宋体"/>
          <w:kern w:val="2"/>
          <w:sz w:val="24"/>
          <w:szCs w:val="24"/>
          <w:highlight w:val="none"/>
        </w:rPr>
        <w:t>营业执照及法定代表人授权委托书原件______份。</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.已详细审阅全部</w:t>
      </w:r>
      <w:r>
        <w:rPr>
          <w:rFonts w:hint="eastAsia" w:hAnsi="宋体" w:cs="宋体"/>
          <w:kern w:val="2"/>
          <w:sz w:val="24"/>
          <w:szCs w:val="24"/>
          <w:highlight w:val="none"/>
          <w:lang w:val="en-US" w:eastAsia="zh-CN"/>
        </w:rPr>
        <w:t>公开比选</w:t>
      </w:r>
      <w:r>
        <w:rPr>
          <w:rFonts w:hint="eastAsia" w:ascii="宋体" w:hAnsi="宋体" w:eastAsia="宋体" w:cs="宋体"/>
          <w:kern w:val="2"/>
          <w:sz w:val="24"/>
          <w:szCs w:val="24"/>
          <w:highlight w:val="none"/>
          <w:lang w:eastAsia="zh-CN"/>
        </w:rPr>
        <w:t>文件</w:t>
      </w:r>
      <w:r>
        <w:rPr>
          <w:rFonts w:hint="eastAsia" w:ascii="宋体" w:hAnsi="宋体" w:eastAsia="宋体" w:cs="宋体"/>
          <w:kern w:val="2"/>
          <w:sz w:val="24"/>
          <w:szCs w:val="24"/>
          <w:highlight w:val="none"/>
        </w:rPr>
        <w:t>(包括</w:t>
      </w:r>
      <w:r>
        <w:rPr>
          <w:rFonts w:hint="eastAsia" w:hAnsi="宋体" w:cs="宋体"/>
          <w:kern w:val="2"/>
          <w:sz w:val="24"/>
          <w:szCs w:val="24"/>
          <w:highlight w:val="none"/>
          <w:lang w:val="en-US" w:eastAsia="zh-CN"/>
        </w:rPr>
        <w:t>公开比选</w:t>
      </w:r>
      <w:r>
        <w:rPr>
          <w:rFonts w:hint="eastAsia" w:ascii="宋体" w:hAnsi="宋体" w:eastAsia="宋体" w:cs="宋体"/>
          <w:kern w:val="2"/>
          <w:sz w:val="24"/>
          <w:szCs w:val="24"/>
          <w:highlight w:val="none"/>
          <w:lang w:eastAsia="zh-CN"/>
        </w:rPr>
        <w:t>文件</w:t>
      </w:r>
      <w:r>
        <w:rPr>
          <w:rFonts w:hint="eastAsia" w:ascii="宋体" w:hAnsi="宋体" w:eastAsia="宋体" w:cs="宋体"/>
          <w:kern w:val="2"/>
          <w:sz w:val="24"/>
          <w:szCs w:val="24"/>
          <w:highlight w:val="none"/>
        </w:rPr>
        <w:t>澄清函)，理解</w:t>
      </w:r>
      <w:r>
        <w:rPr>
          <w:rFonts w:hint="eastAsia" w:hAnsi="宋体" w:cs="宋体"/>
          <w:kern w:val="2"/>
          <w:sz w:val="24"/>
          <w:szCs w:val="24"/>
          <w:highlight w:val="none"/>
          <w:lang w:eastAsia="zh-CN"/>
        </w:rPr>
        <w:t>供应商</w:t>
      </w:r>
      <w:r>
        <w:rPr>
          <w:rFonts w:hint="eastAsia" w:ascii="宋体" w:hAnsi="宋体" w:eastAsia="宋体" w:cs="宋体"/>
          <w:kern w:val="2"/>
          <w:sz w:val="24"/>
          <w:szCs w:val="24"/>
          <w:highlight w:val="none"/>
        </w:rPr>
        <w:t>须知的所有条款。</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.完全满足和响应</w:t>
      </w:r>
      <w:r>
        <w:rPr>
          <w:rFonts w:hint="eastAsia" w:hAnsi="宋体" w:cs="宋体"/>
          <w:kern w:val="2"/>
          <w:sz w:val="24"/>
          <w:szCs w:val="24"/>
          <w:highlight w:val="none"/>
          <w:lang w:val="en-US" w:eastAsia="zh-CN"/>
        </w:rPr>
        <w:t>公开比选</w:t>
      </w:r>
      <w:r>
        <w:rPr>
          <w:rFonts w:hint="eastAsia" w:ascii="宋体" w:hAnsi="宋体" w:eastAsia="宋体" w:cs="宋体"/>
          <w:kern w:val="2"/>
          <w:sz w:val="24"/>
          <w:szCs w:val="24"/>
          <w:highlight w:val="none"/>
          <w:lang w:eastAsia="zh-CN"/>
        </w:rPr>
        <w:t>文件</w:t>
      </w:r>
      <w:r>
        <w:rPr>
          <w:rFonts w:hint="eastAsia" w:ascii="宋体" w:hAnsi="宋体" w:eastAsia="宋体" w:cs="宋体"/>
          <w:kern w:val="2"/>
          <w:sz w:val="24"/>
          <w:szCs w:val="24"/>
          <w:highlight w:val="none"/>
        </w:rPr>
        <w:t>中的各项要求，若有偏差，已在</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中明确说明。</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.愿意提供任何与投标有关的数据、情况和技术资料等。</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.我方已详细审核全部</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、参考资料及有关附件，确认无误。</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hAnsi="宋体" w:eastAsia="宋体" w:cs="宋体"/>
          <w:kern w:val="2"/>
          <w:sz w:val="24"/>
          <w:szCs w:val="24"/>
          <w:highlight w:val="none"/>
          <w:lang w:val="en-US" w:eastAsia="zh-CN"/>
        </w:rPr>
        <w:t>7</w:t>
      </w:r>
      <w:r>
        <w:rPr>
          <w:rFonts w:hint="eastAsia" w:ascii="宋体" w:hAnsi="宋体" w:eastAsia="宋体" w:cs="宋体"/>
          <w:kern w:val="2"/>
          <w:sz w:val="24"/>
          <w:szCs w:val="24"/>
          <w:highlight w:val="none"/>
        </w:rPr>
        <w:t>.对本次招标内容及与本项目有关的知识产权、技术资料、商业秘密及相关信息保密。</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hAnsi="宋体" w:eastAsia="宋体" w:cs="宋体"/>
          <w:kern w:val="2"/>
          <w:sz w:val="24"/>
          <w:szCs w:val="24"/>
          <w:highlight w:val="none"/>
          <w:lang w:val="en-US" w:eastAsia="zh-CN"/>
        </w:rPr>
        <w:t>8</w:t>
      </w:r>
      <w:r>
        <w:rPr>
          <w:rFonts w:hint="eastAsia" w:ascii="宋体" w:hAnsi="宋体" w:eastAsia="宋体" w:cs="宋体"/>
          <w:kern w:val="2"/>
          <w:sz w:val="24"/>
          <w:szCs w:val="24"/>
          <w:highlight w:val="none"/>
        </w:rPr>
        <w:t>.与采购人无任何的隶属关系或者其他利害关系。</w:t>
      </w:r>
    </w:p>
    <w:p>
      <w:pPr>
        <w:pStyle w:val="6"/>
        <w:spacing w:line="360" w:lineRule="auto"/>
        <w:ind w:firstLine="480" w:firstLineChars="200"/>
        <w:jc w:val="left"/>
        <w:rPr>
          <w:rFonts w:hint="eastAsia" w:ascii="宋体" w:hAnsi="宋体" w:eastAsia="宋体" w:cs="宋体"/>
          <w:kern w:val="2"/>
          <w:sz w:val="24"/>
          <w:szCs w:val="24"/>
          <w:highlight w:val="none"/>
        </w:rPr>
      </w:pP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hAnsi="宋体" w:cs="宋体"/>
          <w:sz w:val="24"/>
          <w:szCs w:val="24"/>
          <w:highlight w:val="none"/>
          <w:lang w:eastAsia="zh-CN"/>
        </w:rPr>
        <w:t>供应商名称</w:t>
      </w:r>
      <w:r>
        <w:rPr>
          <w:rFonts w:hint="eastAsia" w:hAnsi="宋体" w:cs="宋体"/>
          <w:sz w:val="24"/>
          <w:szCs w:val="24"/>
          <w:highlight w:val="none"/>
        </w:rPr>
        <w:t>(公章)</w:t>
      </w:r>
      <w:r>
        <w:rPr>
          <w:rFonts w:hint="eastAsia" w:ascii="宋体" w:hAnsi="宋体" w:eastAsia="宋体" w:cs="宋体"/>
          <w:kern w:val="2"/>
          <w:sz w:val="24"/>
          <w:szCs w:val="24"/>
          <w:highlight w:val="none"/>
        </w:rPr>
        <w:t>：____________</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hAnsi="宋体" w:cs="宋体"/>
          <w:kern w:val="2"/>
          <w:sz w:val="24"/>
          <w:szCs w:val="24"/>
          <w:highlight w:val="none"/>
          <w:lang w:eastAsia="zh-CN"/>
        </w:rPr>
        <w:t>供应商</w:t>
      </w:r>
      <w:r>
        <w:rPr>
          <w:rFonts w:hint="eastAsia" w:ascii="宋体" w:hAnsi="宋体" w:eastAsia="宋体" w:cs="宋体"/>
          <w:kern w:val="2"/>
          <w:sz w:val="24"/>
          <w:szCs w:val="24"/>
          <w:highlight w:val="none"/>
        </w:rPr>
        <w:t>地址：____________</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邮编：____________</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电话：____________</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传真：____________</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法定代表人或</w:t>
      </w:r>
      <w:r>
        <w:rPr>
          <w:rFonts w:hint="eastAsia" w:hAnsi="宋体" w:cs="宋体"/>
          <w:kern w:val="2"/>
          <w:sz w:val="24"/>
          <w:szCs w:val="24"/>
          <w:highlight w:val="none"/>
          <w:lang w:eastAsia="zh-CN"/>
        </w:rPr>
        <w:t>供应商</w:t>
      </w:r>
      <w:r>
        <w:rPr>
          <w:rFonts w:hint="eastAsia" w:ascii="宋体" w:hAnsi="宋体" w:eastAsia="宋体" w:cs="宋体"/>
          <w:kern w:val="2"/>
          <w:sz w:val="24"/>
          <w:szCs w:val="24"/>
          <w:highlight w:val="none"/>
        </w:rPr>
        <w:t>代表(签字或盖章)：____________</w:t>
      </w:r>
    </w:p>
    <w:p>
      <w:pPr>
        <w:pStyle w:val="6"/>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日期：</w:t>
      </w:r>
    </w:p>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r>
        <w:rPr>
          <w:rFonts w:hint="eastAsia" w:ascii="仿宋" w:hAnsi="仿宋" w:eastAsia="仿宋" w:cs="仿宋"/>
          <w:b/>
          <w:bCs/>
          <w:kern w:val="2"/>
          <w:sz w:val="44"/>
          <w:szCs w:val="44"/>
          <w:highlight w:val="none"/>
          <w:lang w:val="en-US" w:eastAsia="zh-CN" w:bidi="ar-SA"/>
        </w:rPr>
        <w:t xml:space="preserve">第二部分 报价表 </w:t>
      </w:r>
    </w:p>
    <w:tbl>
      <w:tblPr>
        <w:tblStyle w:val="10"/>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3355"/>
        <w:gridCol w:w="3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92" w:type="dxa"/>
            <w:tcBorders>
              <w:top w:val="double" w:color="auto" w:sz="4" w:space="0"/>
              <w:left w:val="double" w:color="auto" w:sz="4" w:space="0"/>
            </w:tcBorders>
            <w:noWrap w:val="0"/>
            <w:vAlign w:val="center"/>
          </w:tcPr>
          <w:p>
            <w:pPr>
              <w:spacing w:line="360" w:lineRule="auto"/>
              <w:jc w:val="center"/>
              <w:rPr>
                <w:rFonts w:hint="eastAsia" w:ascii="宋体" w:hAnsi="宋体" w:eastAsia="宋体" w:cs="宋体"/>
                <w:b/>
                <w:szCs w:val="24"/>
                <w:highlight w:val="none"/>
                <w:lang w:eastAsia="zh-CN"/>
              </w:rPr>
            </w:pPr>
            <w:r>
              <w:rPr>
                <w:rFonts w:hint="eastAsia" w:ascii="宋体" w:hAnsi="宋体" w:cs="宋体"/>
                <w:b/>
                <w:highlight w:val="none"/>
                <w:lang w:val="en-US" w:eastAsia="zh-CN"/>
              </w:rPr>
              <w:t>序号</w:t>
            </w:r>
          </w:p>
        </w:tc>
        <w:tc>
          <w:tcPr>
            <w:tcW w:w="3355" w:type="dxa"/>
            <w:tcBorders>
              <w:top w:val="double" w:color="auto" w:sz="4" w:space="0"/>
              <w:right w:val="single" w:color="auto" w:sz="4" w:space="0"/>
            </w:tcBorders>
            <w:noWrap w:val="0"/>
            <w:vAlign w:val="center"/>
          </w:tcPr>
          <w:p>
            <w:pPr>
              <w:spacing w:line="360" w:lineRule="auto"/>
              <w:jc w:val="center"/>
              <w:rPr>
                <w:rFonts w:hint="default" w:ascii="宋体" w:hAnsi="宋体" w:eastAsia="宋体" w:cs="宋体"/>
                <w:b/>
                <w:szCs w:val="24"/>
                <w:highlight w:val="none"/>
                <w:lang w:val="en-US" w:eastAsia="zh-CN"/>
              </w:rPr>
            </w:pPr>
            <w:r>
              <w:rPr>
                <w:rFonts w:hint="eastAsia" w:ascii="宋体" w:hAnsi="宋体" w:cs="宋体"/>
                <w:b/>
                <w:szCs w:val="24"/>
                <w:highlight w:val="none"/>
                <w:lang w:val="en-US" w:eastAsia="zh-CN"/>
              </w:rPr>
              <w:t>项目名称</w:t>
            </w:r>
          </w:p>
        </w:tc>
        <w:tc>
          <w:tcPr>
            <w:tcW w:w="3718" w:type="dxa"/>
            <w:tcBorders>
              <w:top w:val="double" w:color="auto" w:sz="4" w:space="0"/>
              <w:left w:val="single" w:color="auto" w:sz="4" w:space="0"/>
            </w:tcBorders>
            <w:noWrap w:val="0"/>
            <w:vAlign w:val="center"/>
          </w:tcPr>
          <w:p>
            <w:pPr>
              <w:spacing w:line="360" w:lineRule="auto"/>
              <w:jc w:val="center"/>
              <w:rPr>
                <w:rFonts w:ascii="宋体" w:hAnsi="宋体" w:cs="宋体"/>
                <w:b/>
                <w:szCs w:val="24"/>
                <w:highlight w:val="none"/>
              </w:rPr>
            </w:pPr>
            <w:r>
              <w:rPr>
                <w:rFonts w:hint="eastAsia" w:ascii="宋体" w:hAnsi="宋体" w:cs="宋体"/>
                <w:b/>
                <w:szCs w:val="24"/>
                <w:highlight w:val="none"/>
                <w:lang w:val="en-US" w:eastAsia="zh-CN"/>
              </w:rPr>
              <w:t>代理服务费</w:t>
            </w:r>
            <w:r>
              <w:rPr>
                <w:rFonts w:hint="eastAsia" w:ascii="宋体" w:hAnsi="宋体" w:cs="宋体"/>
                <w:b/>
                <w:szCs w:val="24"/>
                <w:highlight w:val="none"/>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292" w:type="dxa"/>
            <w:tcBorders>
              <w:left w:val="double" w:color="auto" w:sz="4" w:space="0"/>
            </w:tcBorders>
            <w:noWrap w:val="0"/>
            <w:vAlign w:val="center"/>
          </w:tcPr>
          <w:p>
            <w:pPr>
              <w:spacing w:line="360" w:lineRule="auto"/>
              <w:ind w:left="420" w:leftChars="200" w:firstLine="430" w:firstLineChars="205"/>
              <w:jc w:val="center"/>
              <w:rPr>
                <w:rFonts w:ascii="宋体" w:hAnsi="宋体" w:cs="宋体"/>
                <w:szCs w:val="24"/>
                <w:highlight w:val="none"/>
              </w:rPr>
            </w:pPr>
          </w:p>
        </w:tc>
        <w:tc>
          <w:tcPr>
            <w:tcW w:w="3355" w:type="dxa"/>
            <w:tcBorders>
              <w:right w:val="single" w:color="auto" w:sz="4" w:space="0"/>
            </w:tcBorders>
            <w:noWrap w:val="0"/>
            <w:vAlign w:val="center"/>
          </w:tcPr>
          <w:p>
            <w:pPr>
              <w:spacing w:line="360" w:lineRule="auto"/>
              <w:ind w:left="420" w:leftChars="200"/>
              <w:jc w:val="center"/>
              <w:rPr>
                <w:rFonts w:ascii="宋体" w:hAnsi="宋体" w:cs="宋体"/>
                <w:szCs w:val="24"/>
                <w:highlight w:val="none"/>
              </w:rPr>
            </w:pPr>
          </w:p>
        </w:tc>
        <w:tc>
          <w:tcPr>
            <w:tcW w:w="3718" w:type="dxa"/>
            <w:tcBorders>
              <w:left w:val="single" w:color="auto" w:sz="4" w:space="0"/>
            </w:tcBorders>
            <w:noWrap w:val="0"/>
            <w:vAlign w:val="center"/>
          </w:tcPr>
          <w:p>
            <w:pPr>
              <w:spacing w:line="360" w:lineRule="auto"/>
              <w:ind w:left="420" w:leftChars="200"/>
              <w:jc w:val="center"/>
              <w:rPr>
                <w:rFonts w:ascii="宋体" w:hAnsi="宋体" w:cs="宋体"/>
                <w:szCs w:val="24"/>
                <w:highlight w:val="none"/>
              </w:rPr>
            </w:pPr>
          </w:p>
        </w:tc>
      </w:tr>
    </w:tbl>
    <w:p>
      <w:pPr>
        <w:pStyle w:val="15"/>
        <w:ind w:firstLine="420" w:firstLineChars="200"/>
        <w:rPr>
          <w:rFonts w:hint="eastAsia" w:hAnsi="宋体" w:cs="宋体"/>
          <w:highlight w:val="none"/>
          <w:lang w:eastAsia="zh-CN"/>
        </w:rPr>
      </w:pPr>
    </w:p>
    <w:p>
      <w:pPr>
        <w:pStyle w:val="15"/>
        <w:spacing w:line="360" w:lineRule="auto"/>
        <w:ind w:firstLine="480" w:firstLineChars="200"/>
        <w:rPr>
          <w:rFonts w:hint="eastAsia" w:hAnsi="宋体" w:cs="宋体"/>
          <w:sz w:val="24"/>
          <w:szCs w:val="24"/>
          <w:highlight w:val="none"/>
        </w:rPr>
      </w:pPr>
      <w:r>
        <w:rPr>
          <w:rFonts w:hint="eastAsia" w:hAnsi="宋体" w:cs="宋体"/>
          <w:sz w:val="24"/>
          <w:szCs w:val="24"/>
          <w:highlight w:val="none"/>
          <w:lang w:eastAsia="zh-CN"/>
        </w:rPr>
        <w:t>供应商名称</w:t>
      </w:r>
      <w:r>
        <w:rPr>
          <w:rFonts w:hint="eastAsia" w:hAnsi="宋体" w:cs="宋体"/>
          <w:sz w:val="24"/>
          <w:szCs w:val="24"/>
          <w:highlight w:val="none"/>
        </w:rPr>
        <w:t>(公章)：____________________</w:t>
      </w:r>
    </w:p>
    <w:p>
      <w:pPr>
        <w:pStyle w:val="15"/>
        <w:spacing w:line="360" w:lineRule="auto"/>
        <w:ind w:firstLine="480" w:firstLineChars="200"/>
        <w:rPr>
          <w:rFonts w:hint="eastAsia" w:hAnsi="宋体" w:cs="宋体"/>
          <w:sz w:val="24"/>
          <w:szCs w:val="24"/>
          <w:highlight w:val="none"/>
        </w:rPr>
      </w:pPr>
      <w:r>
        <w:rPr>
          <w:rFonts w:hint="eastAsia" w:hAnsi="宋体" w:cs="宋体"/>
          <w:sz w:val="24"/>
          <w:szCs w:val="24"/>
          <w:highlight w:val="none"/>
        </w:rPr>
        <w:t>法定代表人或其授权代表</w:t>
      </w:r>
      <w:r>
        <w:rPr>
          <w:rFonts w:hint="eastAsia" w:ascii="宋体" w:hAnsi="宋体" w:eastAsia="宋体" w:cs="宋体"/>
          <w:kern w:val="2"/>
          <w:sz w:val="24"/>
          <w:szCs w:val="24"/>
          <w:highlight w:val="none"/>
        </w:rPr>
        <w:t>(签字或盖章)</w:t>
      </w:r>
      <w:r>
        <w:rPr>
          <w:rFonts w:hint="eastAsia" w:hAnsi="宋体" w:cs="宋体"/>
          <w:sz w:val="24"/>
          <w:szCs w:val="24"/>
          <w:highlight w:val="none"/>
        </w:rPr>
        <w:t>：____________________</w:t>
      </w:r>
    </w:p>
    <w:p>
      <w:pPr>
        <w:pStyle w:val="15"/>
        <w:spacing w:line="360" w:lineRule="auto"/>
        <w:ind w:firstLine="480" w:firstLineChars="200"/>
        <w:rPr>
          <w:rFonts w:hint="eastAsia" w:hAnsi="宋体" w:cs="宋体"/>
          <w:sz w:val="24"/>
          <w:szCs w:val="24"/>
          <w:highlight w:val="none"/>
        </w:rPr>
      </w:pPr>
      <w:r>
        <w:rPr>
          <w:rFonts w:hint="eastAsia" w:hAnsi="宋体" w:cs="宋体"/>
          <w:sz w:val="24"/>
          <w:szCs w:val="24"/>
          <w:highlight w:val="none"/>
        </w:rPr>
        <w:t>日期：______年____月____日</w:t>
      </w:r>
    </w:p>
    <w:p>
      <w:pPr>
        <w:rPr>
          <w:rFonts w:hint="eastAsia" w:hAnsi="宋体" w:cs="宋体"/>
          <w:sz w:val="24"/>
          <w:szCs w:val="24"/>
          <w:highlight w:val="none"/>
        </w:rPr>
      </w:pPr>
      <w:r>
        <w:rPr>
          <w:rFonts w:hint="eastAsia" w:hAnsi="宋体" w:cs="宋体"/>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r>
        <w:rPr>
          <w:rFonts w:hint="eastAsia" w:ascii="仿宋" w:hAnsi="仿宋" w:eastAsia="仿宋" w:cs="仿宋"/>
          <w:b/>
          <w:bCs/>
          <w:kern w:val="2"/>
          <w:sz w:val="44"/>
          <w:szCs w:val="44"/>
          <w:highlight w:val="none"/>
          <w:lang w:val="en-US" w:eastAsia="zh-CN" w:bidi="ar-SA"/>
        </w:rPr>
        <w:t xml:space="preserve">第三部分 供应商资质基本要求的证明文件 </w:t>
      </w:r>
    </w:p>
    <w:p>
      <w:pPr>
        <w:pStyle w:val="15"/>
        <w:spacing w:line="360" w:lineRule="auto"/>
        <w:ind w:firstLine="480" w:firstLineChars="200"/>
        <w:rPr>
          <w:rFonts w:hint="eastAsia" w:hAnsi="宋体" w:cs="宋体"/>
          <w:sz w:val="24"/>
          <w:szCs w:val="24"/>
          <w:highlight w:val="none"/>
        </w:rPr>
      </w:pP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1.具有独立承担民事责任的能力，提供营业执照复印件。</w:t>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2.具有良好的商业信誉和健全的财务会计制度，提供2022年经第三方审计的审计报告复印件。</w:t>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3.具有履行合同所必需的设备和专业技术能力，供应商根据本次服务内容自行提供。</w:t>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4.有依法缴纳税收和社会保障资金的良好记录，提供2023年6月至今任意三个月依法缴纳税收和社保的相关证明材料。</w:t>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5.在中国政府采购网(http: //www.ccgp.gov.cn/）或中国政府采购网贵州分网完成网上登记备案，提供财政部政府采购管理交易系统机构信息维护页面的截图扫描件。</w:t>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6.法定代表人身份证明书（格式自拟）</w:t>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7.法定代表人授权委托书（格式自拟）</w:t>
      </w:r>
    </w:p>
    <w:p>
      <w:pPr>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r>
        <w:rPr>
          <w:rFonts w:hint="eastAsia" w:ascii="仿宋" w:hAnsi="仿宋" w:eastAsia="仿宋" w:cs="仿宋"/>
          <w:b/>
          <w:bCs/>
          <w:kern w:val="2"/>
          <w:sz w:val="44"/>
          <w:szCs w:val="44"/>
          <w:highlight w:val="none"/>
          <w:lang w:val="en-US" w:eastAsia="zh-CN" w:bidi="ar-SA"/>
        </w:rPr>
        <w:t xml:space="preserve">第四部分 评审内容的证明文件 </w:t>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t>根据评分标准内容自行提供。</w:t>
      </w:r>
    </w:p>
    <w:p>
      <w:pPr>
        <w:rPr>
          <w:rFonts w:hint="eastAsia" w:ascii="FangSong_GB2312" w:hAnsi="FangSong_GB2312" w:eastAsia="FangSong_GB2312" w:cs="黑体"/>
          <w:kern w:val="2"/>
          <w:sz w:val="28"/>
          <w:szCs w:val="24"/>
          <w:highlight w:val="none"/>
          <w:lang w:val="en-US" w:eastAsia="zh-CN" w:bidi="ar-SA"/>
        </w:rPr>
      </w:pPr>
      <w:r>
        <w:rPr>
          <w:rFonts w:hint="eastAsia" w:ascii="FangSong_GB2312" w:hAnsi="FangSong_GB2312" w:eastAsia="FangSong_GB2312" w:cs="黑体"/>
          <w:kern w:val="2"/>
          <w:sz w:val="28"/>
          <w:szCs w:val="24"/>
          <w:highlight w:val="none"/>
          <w:lang w:val="en-US" w:eastAsia="zh-CN" w:bidi="ar-SA"/>
        </w:rPr>
        <w:br w:type="page"/>
      </w:r>
    </w:p>
    <w:p>
      <w:pPr>
        <w:pStyle w:val="9"/>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center"/>
        <w:textAlignment w:val="auto"/>
        <w:rPr>
          <w:rFonts w:hint="eastAsia" w:ascii="仿宋" w:hAnsi="仿宋" w:eastAsia="仿宋" w:cs="仿宋"/>
          <w:b/>
          <w:bCs/>
          <w:kern w:val="2"/>
          <w:sz w:val="44"/>
          <w:szCs w:val="44"/>
          <w:highlight w:val="none"/>
          <w:lang w:val="en-US" w:eastAsia="zh-CN" w:bidi="ar-SA"/>
        </w:rPr>
      </w:pPr>
      <w:r>
        <w:rPr>
          <w:rFonts w:hint="eastAsia" w:ascii="仿宋" w:hAnsi="仿宋" w:eastAsia="仿宋" w:cs="仿宋"/>
          <w:b/>
          <w:bCs/>
          <w:kern w:val="2"/>
          <w:sz w:val="44"/>
          <w:szCs w:val="44"/>
          <w:highlight w:val="none"/>
          <w:lang w:val="en-US" w:eastAsia="zh-CN" w:bidi="ar-SA"/>
        </w:rPr>
        <w:t>第五部分 其他资料</w:t>
      </w:r>
    </w:p>
    <w:p>
      <w:pPr>
        <w:spacing w:line="360" w:lineRule="auto"/>
        <w:ind w:firstLine="480" w:firstLineChars="200"/>
        <w:rPr>
          <w:rFonts w:hint="eastAsia" w:hAnsi="宋体" w:cs="宋体"/>
          <w:sz w:val="24"/>
          <w:szCs w:val="24"/>
          <w:highlight w:val="none"/>
        </w:rPr>
      </w:pP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w:t>
      </w:r>
      <w:r>
        <w:rPr>
          <w:rFonts w:hint="eastAsia" w:ascii="FangSong_GB2312" w:hAnsi="FangSong_GB2312" w:eastAsia="FangSong_GB2312" w:cs="黑体"/>
          <w:kern w:val="2"/>
          <w:sz w:val="28"/>
          <w:szCs w:val="24"/>
          <w:highlight w:val="none"/>
          <w:lang w:val="en-US" w:eastAsia="zh-CN" w:bidi="ar-SA"/>
        </w:rPr>
        <w:t>应商认为与本项目相关的其他佐证文件、声明及承诺（格式自拟，复印或扫描件须加盖供应商公章）。</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rPr>
      </w:pPr>
      <w:r>
        <w:rPr>
          <w:rFonts w:hint="eastAsia" w:ascii="仿宋" w:hAnsi="仿宋" w:eastAsia="仿宋" w:cs="仿宋"/>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FangSong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ZTQ5MzA3MWQwNzkyOGMwMzUyYzU1ZTc3NGM5MDQifQ=="/>
  </w:docVars>
  <w:rsids>
    <w:rsidRoot w:val="34C83465"/>
    <w:rsid w:val="06022AF2"/>
    <w:rsid w:val="149A2D26"/>
    <w:rsid w:val="16B8664E"/>
    <w:rsid w:val="2A1B4A63"/>
    <w:rsid w:val="2CDE660B"/>
    <w:rsid w:val="2E342663"/>
    <w:rsid w:val="34C83465"/>
    <w:rsid w:val="375268D9"/>
    <w:rsid w:val="42960D77"/>
    <w:rsid w:val="42A73BFC"/>
    <w:rsid w:val="5AB54F35"/>
    <w:rsid w:val="5D101956"/>
    <w:rsid w:val="7BA94FF8"/>
    <w:rsid w:val="EEBFC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宋体" w:hAnsi="宋体" w:eastAsia="宋体" w:cs="Times New Roman"/>
      <w:kern w:val="0"/>
      <w:sz w:val="20"/>
    </w:rPr>
  </w:style>
  <w:style w:type="paragraph" w:styleId="5">
    <w:name w:val="Body Text"/>
    <w:basedOn w:val="1"/>
    <w:next w:val="1"/>
    <w:unhideWhenUsed/>
    <w:qFormat/>
    <w:uiPriority w:val="0"/>
    <w:pPr>
      <w:spacing w:after="120"/>
    </w:pPr>
  </w:style>
  <w:style w:type="paragraph" w:styleId="6">
    <w:name w:val="Plain Text"/>
    <w:basedOn w:val="1"/>
    <w:next w:val="1"/>
    <w:qFormat/>
    <w:uiPriority w:val="0"/>
    <w:rPr>
      <w:rFonts w:ascii="宋体" w:hAnsi="Courier New" w:cs="Courier New"/>
      <w:kern w:val="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rFonts w:eastAsia="黑体"/>
      <w:bCs/>
    </w:rPr>
  </w:style>
  <w:style w:type="character" w:styleId="14">
    <w:name w:val="Hyperlink"/>
    <w:basedOn w:val="12"/>
    <w:qFormat/>
    <w:uiPriority w:val="0"/>
    <w:rPr>
      <w:color w:val="0000FF"/>
      <w:u w:val="single"/>
    </w:rPr>
  </w:style>
  <w:style w:type="paragraph" w:customStyle="1" w:styleId="15">
    <w:name w:val="Plain Text"/>
    <w:basedOn w:val="1"/>
    <w:qFormat/>
    <w:uiPriority w:val="0"/>
    <w:pPr>
      <w:widowControl w:val="0"/>
      <w:jc w:val="both"/>
    </w:pPr>
    <w:rPr>
      <w:rFonts w:ascii="宋体" w:hAnsi="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2024-03-05T18:12:00Z</dcterms:created>
  <dc:creator>封尘</dc:creator>
  <cp:lastModifiedBy>嗯</cp:lastModifiedBy>
  <cp:lastPrinted>2024-03-08T11:28:00Z</cp:lastPrinted>
  <dcterms:modified xsi:type="dcterms:W3CDTF">2025-03-14T16:31:39Z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C009A9F523B54497AA16FC4916651064_13</vt:lpwstr>
  </property>
</Properties>
</file>