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15" w:rightChars="0"/>
        <w:rPr>
          <w:rFonts w:hint="eastAsia" w:ascii="宋体" w:hAnsi="宋体" w:cs="宋体"/>
          <w:b/>
          <w:color w:val="auto"/>
          <w:sz w:val="44"/>
          <w:szCs w:val="44"/>
          <w:lang w:eastAsia="zh-CN"/>
        </w:rPr>
      </w:pP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贵州地方畜禽遗传材料收集保存</w:t>
      </w:r>
    </w:p>
    <w:p>
      <w:pPr>
        <w:spacing w:after="120"/>
        <w:ind w:right="-115" w:rightChars="0"/>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试剂耗材</w:t>
      </w:r>
    </w:p>
    <w:p>
      <w:pPr>
        <w:spacing w:after="120"/>
        <w:ind w:right="1566"/>
        <w:rPr>
          <w:rFonts w:ascii="宋体" w:hAnsi="宋体" w:cs="宋体"/>
          <w:b/>
          <w:color w:val="auto"/>
          <w:sz w:val="24"/>
          <w:szCs w:val="24"/>
        </w:rPr>
      </w:pPr>
    </w:p>
    <w:p>
      <w:pPr>
        <w:spacing w:after="120"/>
        <w:ind w:right="105" w:rightChars="0"/>
        <w:rPr>
          <w:rFonts w:ascii="宋体" w:hAnsi="宋体" w:cs="宋体"/>
          <w:b/>
          <w:color w:val="auto"/>
          <w:sz w:val="24"/>
          <w:szCs w:val="24"/>
        </w:rPr>
      </w:pPr>
    </w:p>
    <w:p>
      <w:pPr>
        <w:spacing w:after="120"/>
        <w:ind w:right="1566"/>
        <w:rPr>
          <w:rFonts w:ascii="宋体" w:hAnsi="宋体" w:cs="宋体"/>
          <w:b/>
          <w:color w:val="auto"/>
          <w:sz w:val="24"/>
          <w:szCs w:val="24"/>
        </w:rPr>
      </w:pPr>
    </w:p>
    <w:p>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pPr>
        <w:jc w:val="center"/>
        <w:rPr>
          <w:rFonts w:ascii="宋体" w:hAnsi="宋体" w:cs="宋体"/>
          <w:b/>
          <w:color w:val="auto"/>
          <w:sz w:val="32"/>
          <w:szCs w:val="32"/>
          <w:u w:val="double"/>
        </w:rPr>
      </w:pPr>
    </w:p>
    <w:p>
      <w:pPr>
        <w:rPr>
          <w:rFonts w:ascii="宋体" w:hAnsi="宋体" w:cs="宋体"/>
          <w:b/>
          <w:color w:val="auto"/>
          <w:sz w:val="36"/>
        </w:rPr>
      </w:pPr>
    </w:p>
    <w:p>
      <w:pPr>
        <w:rPr>
          <w:rFonts w:ascii="宋体" w:hAnsi="宋体" w:cs="宋体"/>
          <w:b/>
          <w:color w:val="auto"/>
          <w:sz w:val="36"/>
        </w:rPr>
      </w:pPr>
    </w:p>
    <w:p>
      <w:pPr>
        <w:rPr>
          <w:rFonts w:ascii="宋体" w:hAnsi="宋体" w:cs="宋体"/>
          <w:b/>
          <w:color w:val="auto"/>
          <w:sz w:val="36"/>
        </w:rPr>
      </w:pPr>
    </w:p>
    <w:p>
      <w:pPr>
        <w:pStyle w:val="68"/>
        <w:spacing w:line="400" w:lineRule="exact"/>
        <w:rPr>
          <w:rFonts w:hAnsi="宋体" w:cs="宋体"/>
          <w:b/>
          <w:color w:val="auto"/>
          <w:sz w:val="30"/>
          <w:szCs w:val="30"/>
        </w:rPr>
      </w:pPr>
    </w:p>
    <w:p>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pPr>
        <w:pStyle w:val="68"/>
        <w:spacing w:line="400" w:lineRule="exact"/>
        <w:rPr>
          <w:rFonts w:hint="eastAsia" w:hAnsi="宋体" w:cs="宋体"/>
          <w:bCs/>
          <w:color w:val="auto"/>
          <w:sz w:val="34"/>
          <w:szCs w:val="28"/>
          <w:u w:val="single"/>
        </w:rPr>
      </w:pPr>
    </w:p>
    <w:p>
      <w:pPr>
        <w:pStyle w:val="68"/>
        <w:spacing w:line="400" w:lineRule="exact"/>
        <w:ind w:firstLine="1108" w:firstLineChars="396"/>
        <w:rPr>
          <w:rFonts w:hAnsi="宋体" w:cs="宋体"/>
          <w:bCs/>
          <w:color w:val="auto"/>
          <w:sz w:val="28"/>
          <w:szCs w:val="28"/>
          <w:u w:val="single"/>
        </w:rPr>
      </w:pPr>
    </w:p>
    <w:p>
      <w:pPr>
        <w:pStyle w:val="68"/>
        <w:spacing w:line="400" w:lineRule="exact"/>
        <w:ind w:firstLine="1020" w:firstLineChars="300"/>
        <w:rPr>
          <w:rFonts w:hint="eastAsia" w:hAnsi="宋体" w:cs="宋体"/>
          <w:bCs/>
          <w:color w:val="auto"/>
          <w:sz w:val="34"/>
          <w:szCs w:val="28"/>
          <w:lang w:val="en-US" w:eastAsia="zh-CN"/>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Ansi="宋体" w:cs="宋体"/>
          <w:bCs/>
          <w:color w:val="auto"/>
          <w:sz w:val="28"/>
          <w:szCs w:val="28"/>
        </w:rPr>
      </w:pPr>
    </w:p>
    <w:p>
      <w:pPr>
        <w:pStyle w:val="68"/>
        <w:spacing w:line="400" w:lineRule="exact"/>
        <w:jc w:val="center"/>
        <w:rPr>
          <w:rFonts w:hint="eastAsia" w:hAnsi="宋体" w:cs="宋体"/>
          <w:bCs/>
          <w:color w:val="auto"/>
          <w:sz w:val="28"/>
          <w:szCs w:val="28"/>
          <w:u w:val="single"/>
        </w:rPr>
      </w:pPr>
    </w:p>
    <w:p>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pPr>
        <w:spacing w:before="142" w:beforeLines="50" w:after="142" w:afterLines="50"/>
        <w:jc w:val="both"/>
        <w:rPr>
          <w:rFonts w:hint="eastAsia" w:asciiTheme="minorEastAsia" w:hAnsiTheme="minorEastAsia" w:cstheme="minorEastAsia"/>
          <w:b/>
          <w:bCs/>
          <w:color w:val="auto"/>
          <w:spacing w:val="20"/>
          <w:sz w:val="36"/>
          <w:szCs w:val="36"/>
          <w:lang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贵州地方畜禽遗传材料收集保存试剂耗材比选采购公告</w:t>
      </w:r>
    </w:p>
    <w:p>
      <w:pPr>
        <w:spacing w:before="142" w:beforeLines="50" w:after="142" w:afterLines="50"/>
        <w:jc w:val="both"/>
        <w:rPr>
          <w:rFonts w:hint="default" w:asciiTheme="minorEastAsia" w:hAnsiTheme="minorEastAsia" w:cstheme="minorEastAsia"/>
          <w:b w:val="0"/>
          <w:bCs w:val="0"/>
          <w:color w:val="auto"/>
          <w:spacing w:val="20"/>
          <w:sz w:val="24"/>
          <w:szCs w:val="24"/>
          <w:lang w:val="en-US" w:eastAsia="zh-CN"/>
        </w:rPr>
      </w:pPr>
      <w:r>
        <w:rPr>
          <w:rFonts w:hint="eastAsia" w:asciiTheme="minorEastAsia" w:hAnsiTheme="minorEastAsia" w:cstheme="minorEastAsia"/>
          <w:b w:val="0"/>
          <w:bCs w:val="0"/>
          <w:color w:val="auto"/>
          <w:spacing w:val="20"/>
          <w:sz w:val="24"/>
          <w:szCs w:val="24"/>
          <w:lang w:val="en-US" w:eastAsia="zh-CN"/>
        </w:rPr>
        <w:t>各竞标人：</w:t>
      </w:r>
    </w:p>
    <w:p>
      <w:pPr>
        <w:pStyle w:val="5"/>
        <w:spacing w:line="360" w:lineRule="auto"/>
        <w:ind w:left="0" w:leftChars="0" w:firstLine="440" w:firstLineChars="200"/>
        <w:rPr>
          <w:rFonts w:hint="default"/>
          <w:color w:val="auto"/>
          <w:u w:val="none"/>
          <w:lang w:val="en-US"/>
        </w:rPr>
      </w:pPr>
      <w:r>
        <w:rPr>
          <w:rFonts w:hint="eastAsia"/>
          <w:color w:val="auto"/>
          <w:u w:val="none"/>
          <w:lang w:val="en-US" w:eastAsia="zh-CN"/>
        </w:rPr>
        <w:t xml:space="preserve">我单位的 </w:t>
      </w:r>
      <w:r>
        <w:rPr>
          <w:rFonts w:hint="eastAsia"/>
          <w:b/>
          <w:bCs/>
          <w:color w:val="auto"/>
          <w:u w:val="single"/>
          <w:lang w:val="en-US" w:eastAsia="zh-CN"/>
        </w:rPr>
        <w:t xml:space="preserve">贵州地方畜禽遗传材料收集保存试剂耗材 </w:t>
      </w:r>
      <w:r>
        <w:rPr>
          <w:rFonts w:hint="eastAsia"/>
          <w:color w:val="auto"/>
          <w:u w:val="none"/>
          <w:lang w:val="en-US" w:eastAsia="zh-CN"/>
        </w:rPr>
        <w:t>项目已具备采购条件，现面向国内进行比选采购，欢迎符合条件的竞标人积极参与，现将有关事宜公告如下：</w:t>
      </w:r>
    </w:p>
    <w:p>
      <w:pPr>
        <w:pStyle w:val="5"/>
        <w:ind w:left="0" w:leftChars="0" w:firstLine="0" w:firstLineChars="0"/>
        <w:rPr>
          <w:rFonts w:hint="eastAsia" w:asciiTheme="minorHAnsi" w:hAnsiTheme="minorHAnsi" w:eastAsiaTheme="minorEastAsia" w:cstheme="minorBidi"/>
          <w:b/>
          <w:bCs/>
          <w:color w:val="auto"/>
          <w:kern w:val="2"/>
          <w:sz w:val="21"/>
          <w:szCs w:val="22"/>
          <w:lang w:val="en-US" w:eastAsia="zh-CN" w:bidi="ar-SA"/>
        </w:rPr>
      </w:pPr>
      <w:r>
        <w:rPr>
          <w:rFonts w:hint="eastAsia" w:asciiTheme="minorHAnsi" w:hAnsiTheme="minorHAnsi" w:eastAsiaTheme="minorEastAsia" w:cstheme="minorBidi"/>
          <w:b/>
          <w:bCs/>
          <w:color w:val="auto"/>
          <w:kern w:val="2"/>
          <w:sz w:val="21"/>
          <w:szCs w:val="22"/>
          <w:lang w:val="en-US" w:eastAsia="zh-CN" w:bidi="ar-SA"/>
        </w:rPr>
        <w:t>一、</w:t>
      </w:r>
      <w:r>
        <w:rPr>
          <w:rFonts w:hint="eastAsia" w:asciiTheme="minorHAnsi" w:hAnsiTheme="minorHAnsi" w:cstheme="minorBidi"/>
          <w:b/>
          <w:bCs/>
          <w:color w:val="auto"/>
          <w:kern w:val="2"/>
          <w:sz w:val="21"/>
          <w:szCs w:val="22"/>
          <w:lang w:val="en-US" w:eastAsia="zh-CN" w:bidi="ar-SA"/>
        </w:rPr>
        <w:t>项目概况及采购内容：</w:t>
      </w:r>
    </w:p>
    <w:p>
      <w:pPr>
        <w:spacing w:line="360" w:lineRule="auto"/>
        <w:ind w:firstLine="420" w:firstLineChars="200"/>
        <w:rPr>
          <w:rFonts w:hint="default" w:eastAsiaTheme="minorEastAsia"/>
          <w:color w:val="auto"/>
          <w:lang w:val="en-US" w:eastAsia="zh-CN"/>
        </w:rPr>
      </w:pPr>
      <w:r>
        <w:rPr>
          <w:rFonts w:hint="eastAsia"/>
          <w:color w:val="auto"/>
          <w:lang w:val="en-US" w:eastAsia="zh-CN"/>
        </w:rPr>
        <w:t>1.1采购内容：冻精试剂、无酶无菌PCR管、血液DNA提取试剂盒等，具体详见报价清单。</w:t>
      </w:r>
    </w:p>
    <w:p>
      <w:pPr>
        <w:spacing w:line="360" w:lineRule="auto"/>
        <w:ind w:left="1890" w:leftChars="200" w:hanging="1470" w:hangingChars="700"/>
        <w:rPr>
          <w:rFonts w:hint="default"/>
          <w:color w:val="auto"/>
          <w:lang w:val="en-US"/>
        </w:rPr>
      </w:pPr>
      <w:r>
        <w:rPr>
          <w:rFonts w:hint="eastAsia"/>
          <w:color w:val="auto"/>
          <w:lang w:val="en-US" w:eastAsia="zh-CN"/>
        </w:rPr>
        <w:t>1.2服务期：合同签订之日起6个月。</w:t>
      </w:r>
    </w:p>
    <w:p>
      <w:pPr>
        <w:spacing w:line="360" w:lineRule="auto"/>
        <w:ind w:left="1890" w:leftChars="200" w:hanging="1470" w:hangingChars="700"/>
        <w:rPr>
          <w:rFonts w:hint="eastAsia"/>
          <w:color w:val="auto"/>
          <w:lang w:val="en-US" w:eastAsia="zh-CN"/>
        </w:rPr>
      </w:pPr>
      <w:r>
        <w:rPr>
          <w:rFonts w:hint="eastAsia"/>
          <w:color w:val="auto"/>
          <w:lang w:val="en-US" w:eastAsia="zh-CN"/>
        </w:rPr>
        <w:t>1.3采购预算：人民币肆拾贰万壹仟玖佰元整（</w:t>
      </w:r>
      <w:r>
        <w:rPr>
          <w:rFonts w:hint="eastAsia" w:ascii="宋体" w:hAnsi="宋体" w:eastAsia="宋体" w:cs="宋体"/>
          <w:color w:val="auto"/>
          <w:lang w:val="en-US" w:eastAsia="zh-CN"/>
        </w:rPr>
        <w:t>￥</w:t>
      </w:r>
      <w:r>
        <w:rPr>
          <w:rFonts w:hint="eastAsia"/>
          <w:color w:val="auto"/>
          <w:lang w:val="en-US" w:eastAsia="zh-CN"/>
        </w:rPr>
        <w:t>421900.00元）</w:t>
      </w:r>
    </w:p>
    <w:p>
      <w:pPr>
        <w:spacing w:line="360" w:lineRule="auto"/>
        <w:rPr>
          <w:b/>
          <w:bCs/>
          <w:color w:val="auto"/>
        </w:rPr>
      </w:pPr>
      <w:r>
        <w:rPr>
          <w:rFonts w:hint="eastAsia"/>
          <w:b/>
          <w:bCs/>
          <w:color w:val="auto"/>
          <w:lang w:val="en-US" w:eastAsia="zh-CN"/>
        </w:rPr>
        <w:t>二</w:t>
      </w:r>
      <w:r>
        <w:rPr>
          <w:rFonts w:hint="eastAsia"/>
          <w:b/>
          <w:bCs/>
          <w:color w:val="auto"/>
        </w:rPr>
        <w:t>、</w:t>
      </w:r>
      <w:r>
        <w:rPr>
          <w:rFonts w:hint="eastAsia"/>
          <w:b/>
          <w:bCs/>
          <w:color w:val="auto"/>
          <w:lang w:eastAsia="zh-CN"/>
        </w:rPr>
        <w:t>竞标人</w:t>
      </w:r>
      <w:r>
        <w:rPr>
          <w:rFonts w:hint="eastAsia"/>
          <w:b/>
          <w:bCs/>
          <w:color w:val="auto"/>
        </w:rPr>
        <w:t>申请资格：</w:t>
      </w:r>
    </w:p>
    <w:p>
      <w:pPr>
        <w:spacing w:line="360" w:lineRule="auto"/>
        <w:ind w:firstLine="420" w:firstLineChars="200"/>
        <w:rPr>
          <w:rFonts w:hint="eastAsia"/>
          <w:color w:val="auto"/>
          <w:lang w:val="en-US" w:eastAsia="zh-CN"/>
        </w:rPr>
      </w:pPr>
      <w:r>
        <w:rPr>
          <w:rFonts w:hint="eastAsia"/>
          <w:color w:val="auto"/>
          <w:lang w:val="en-US" w:eastAsia="zh-CN"/>
        </w:rPr>
        <w:t>2</w:t>
      </w:r>
      <w:r>
        <w:rPr>
          <w:rFonts w:hint="eastAsia"/>
          <w:color w:val="auto"/>
        </w:rPr>
        <w:t>.1 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ind w:firstLine="420" w:firstLineChars="200"/>
        <w:rPr>
          <w:rFonts w:hint="eastAsia"/>
          <w:color w:val="auto"/>
          <w:lang w:val="en-US" w:eastAsia="zh-CN"/>
        </w:rPr>
      </w:pPr>
      <w:r>
        <w:rPr>
          <w:rFonts w:hint="eastAsia"/>
          <w:color w:val="auto"/>
          <w:lang w:val="en-US" w:eastAsia="zh-CN"/>
        </w:rPr>
        <w:t xml:space="preserve">2.2具有良好的商业信誉和健全的财务会计制度：提供2024年度经审计的财务报告或本年度内基本开户银行出具的资信证明或自行承诺书；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2.3具有履行合同所必需的设备和专业技术能力：提供具备履行合同所必需的设备和专业技术能力的证明材料或自行承诺书； </w:t>
      </w:r>
    </w:p>
    <w:p>
      <w:pPr>
        <w:spacing w:line="360" w:lineRule="auto"/>
        <w:ind w:firstLine="420" w:firstLineChars="200"/>
        <w:rPr>
          <w:rFonts w:hint="eastAsia"/>
          <w:color w:val="auto"/>
          <w:lang w:val="en-US" w:eastAsia="zh-CN"/>
        </w:rPr>
      </w:pPr>
      <w:r>
        <w:rPr>
          <w:rFonts w:hint="eastAsia"/>
          <w:color w:val="auto"/>
          <w:lang w:val="en-US" w:eastAsia="zh-CN"/>
        </w:rPr>
        <w:t xml:space="preserve">2.4具有依法缴纳税收和社会保障资金的良好记录：提供2025年至今任意一个月依法缴纳税收和社会保障资金的有效证明材料； </w:t>
      </w:r>
    </w:p>
    <w:p>
      <w:pPr>
        <w:spacing w:line="360" w:lineRule="auto"/>
        <w:ind w:firstLine="420" w:firstLineChars="200"/>
        <w:rPr>
          <w:rFonts w:hint="eastAsia"/>
          <w:color w:val="auto"/>
          <w:lang w:val="en-US" w:eastAsia="zh-CN"/>
        </w:rPr>
      </w:pPr>
      <w:r>
        <w:rPr>
          <w:rFonts w:hint="eastAsia"/>
          <w:color w:val="auto"/>
          <w:lang w:val="en-US" w:eastAsia="zh-CN"/>
        </w:rPr>
        <w:t>2.5参加本次采购活动前三年内，在经营活动中没有违法违规记录：提供参加采购活动前3年内在经营活动中没有重大违法记录的书面声明（格式自拟）；</w:t>
      </w:r>
    </w:p>
    <w:p>
      <w:pPr>
        <w:spacing w:line="360" w:lineRule="auto"/>
        <w:ind w:firstLine="420" w:firstLineChars="200"/>
        <w:rPr>
          <w:rFonts w:hint="eastAsia"/>
          <w:color w:val="auto"/>
        </w:rPr>
      </w:pPr>
      <w:r>
        <w:rPr>
          <w:rFonts w:hint="eastAsia"/>
          <w:color w:val="auto"/>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p>
    <w:p>
      <w:pPr>
        <w:numPr>
          <w:ilvl w:val="0"/>
          <w:numId w:val="0"/>
        </w:numPr>
        <w:spacing w:line="360" w:lineRule="auto"/>
        <w:rPr>
          <w:rFonts w:hint="eastAsia"/>
          <w:b/>
          <w:bCs/>
          <w:color w:val="auto"/>
          <w:lang w:val="en-US" w:eastAsia="zh-CN"/>
        </w:rPr>
      </w:pPr>
      <w:r>
        <w:rPr>
          <w:rFonts w:hint="eastAsia"/>
          <w:b/>
          <w:bCs/>
          <w:color w:val="auto"/>
          <w:lang w:val="en-US" w:eastAsia="zh-CN"/>
        </w:rPr>
        <w:t>三、响应文件递交截止时间(北京时间)</w:t>
      </w:r>
    </w:p>
    <w:p>
      <w:pPr>
        <w:numPr>
          <w:ilvl w:val="0"/>
          <w:numId w:val="0"/>
        </w:numPr>
        <w:spacing w:line="360" w:lineRule="auto"/>
        <w:ind w:firstLine="420" w:firstLineChars="200"/>
        <w:rPr>
          <w:rFonts w:hint="eastAsia"/>
          <w:b w:val="0"/>
          <w:bCs w:val="0"/>
          <w:color w:val="auto"/>
          <w:sz w:val="21"/>
          <w:szCs w:val="21"/>
        </w:rPr>
      </w:pPr>
      <w:r>
        <w:rPr>
          <w:rFonts w:hint="eastAsia"/>
          <w:b w:val="0"/>
          <w:bCs w:val="0"/>
          <w:color w:val="auto"/>
          <w:lang w:val="en-US" w:eastAsia="zh-CN"/>
        </w:rPr>
        <w:t>各潜在竞标人，如需参与本次比选采购，请自行在本次采购公告发布媒介上自行下载比选采购文件。并于2025年6月9日下午17：00点前递交3份竞标响应文件（逾期递交的响应文件恕不接受），响应文件应装订密封在一个封套中，在封套上注明竞标人名称及竞标项目名称，并加盖单位公章。响应文件递交地点：贵州省种畜禽种质测定中心一楼财务科（贵阳市乌当区东风镇云锦村）</w:t>
      </w:r>
    </w:p>
    <w:p>
      <w:pPr>
        <w:keepNext w:val="0"/>
        <w:keepLines w:val="0"/>
        <w:pageBreakBefore w:val="0"/>
        <w:widowControl w:val="0"/>
        <w:kinsoku/>
        <w:wordWrap/>
        <w:overflowPunct/>
        <w:autoSpaceDE/>
        <w:autoSpaceDN/>
        <w:bidi w:val="0"/>
        <w:adjustRightInd/>
        <w:snapToGrid/>
        <w:spacing w:line="420" w:lineRule="exact"/>
        <w:rPr>
          <w:rFonts w:hint="eastAsia"/>
          <w:b/>
          <w:bCs/>
          <w:color w:val="auto"/>
        </w:rPr>
      </w:pPr>
      <w:r>
        <w:rPr>
          <w:rFonts w:hint="eastAsia"/>
          <w:b/>
          <w:bCs/>
          <w:color w:val="auto"/>
          <w:lang w:val="en-US" w:eastAsia="zh-CN"/>
        </w:rPr>
        <w:t>四</w:t>
      </w:r>
      <w:r>
        <w:rPr>
          <w:rFonts w:hint="eastAsia"/>
          <w:b/>
          <w:bCs/>
          <w:color w:val="auto"/>
        </w:rPr>
        <w:t>、</w:t>
      </w:r>
      <w:r>
        <w:rPr>
          <w:rFonts w:hint="eastAsia"/>
          <w:b/>
          <w:bCs/>
          <w:color w:val="auto"/>
          <w:lang w:val="en-US" w:eastAsia="zh-CN"/>
        </w:rPr>
        <w:t>比选时间及地点</w:t>
      </w:r>
    </w:p>
    <w:p>
      <w:pPr>
        <w:numPr>
          <w:ilvl w:val="0"/>
          <w:numId w:val="0"/>
        </w:numPr>
        <w:spacing w:line="360" w:lineRule="auto"/>
        <w:ind w:firstLine="420" w:firstLineChars="200"/>
        <w:rPr>
          <w:rFonts w:hint="default"/>
          <w:b w:val="0"/>
          <w:bCs w:val="0"/>
          <w:color w:val="auto"/>
          <w:lang w:val="en-US" w:eastAsia="zh-CN"/>
        </w:rPr>
      </w:pPr>
      <w:r>
        <w:rPr>
          <w:rFonts w:hint="eastAsia"/>
          <w:b w:val="0"/>
          <w:bCs w:val="0"/>
          <w:color w:val="auto"/>
          <w:lang w:val="en-US" w:eastAsia="zh-CN"/>
        </w:rPr>
        <w:t>由贵州省种畜禽种质测定中心另行通知。</w:t>
      </w:r>
    </w:p>
    <w:p>
      <w:pPr>
        <w:keepNext w:val="0"/>
        <w:keepLines w:val="0"/>
        <w:pageBreakBefore w:val="0"/>
        <w:widowControl w:val="0"/>
        <w:kinsoku/>
        <w:wordWrap/>
        <w:overflowPunct/>
        <w:autoSpaceDE/>
        <w:autoSpaceDN/>
        <w:bidi w:val="0"/>
        <w:adjustRightInd/>
        <w:snapToGrid/>
        <w:spacing w:line="420" w:lineRule="exact"/>
        <w:rPr>
          <w:rFonts w:hint="eastAsia"/>
          <w:b/>
          <w:bCs/>
          <w:color w:val="auto"/>
          <w:lang w:val="en-US" w:eastAsia="zh-CN"/>
        </w:rPr>
      </w:pPr>
      <w:r>
        <w:rPr>
          <w:rFonts w:hint="eastAsia"/>
          <w:b/>
          <w:bCs/>
          <w:color w:val="auto"/>
          <w:lang w:val="en-US" w:eastAsia="zh-CN"/>
        </w:rPr>
        <w:t>五、比选评审办法</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pPr>
        <w:keepNext w:val="0"/>
        <w:keepLines w:val="0"/>
        <w:pageBreakBefore w:val="0"/>
        <w:widowControl w:val="0"/>
        <w:kinsoku/>
        <w:wordWrap/>
        <w:overflowPunct/>
        <w:autoSpaceDE/>
        <w:autoSpaceDN/>
        <w:bidi w:val="0"/>
        <w:adjustRightInd/>
        <w:snapToGrid/>
        <w:spacing w:line="420" w:lineRule="exact"/>
        <w:rPr>
          <w:b/>
          <w:bCs/>
          <w:color w:val="auto"/>
        </w:rPr>
      </w:pPr>
      <w:r>
        <w:rPr>
          <w:rFonts w:hint="eastAsia"/>
          <w:b/>
          <w:bCs/>
          <w:color w:val="auto"/>
          <w:lang w:val="en-US" w:eastAsia="zh-CN"/>
        </w:rPr>
        <w:t>六</w:t>
      </w:r>
      <w:r>
        <w:rPr>
          <w:rFonts w:hint="eastAsia"/>
          <w:b/>
          <w:bCs/>
          <w:color w:val="auto"/>
        </w:rPr>
        <w:t xml:space="preserve">、发布公告的媒介 </w:t>
      </w:r>
    </w:p>
    <w:p>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lang w:val="en-US" w:eastAsia="zh-CN"/>
        </w:rPr>
      </w:pPr>
      <w:r>
        <w:rPr>
          <w:rFonts w:hint="eastAsia"/>
          <w:color w:val="auto"/>
        </w:rPr>
        <w:t>本次</w:t>
      </w:r>
      <w:r>
        <w:rPr>
          <w:rFonts w:hint="eastAsia"/>
          <w:color w:val="auto"/>
          <w:lang w:val="en-US" w:eastAsia="zh-CN"/>
        </w:rPr>
        <w:t>比选</w:t>
      </w:r>
      <w:r>
        <w:rPr>
          <w:rFonts w:hint="eastAsia"/>
          <w:color w:val="auto"/>
        </w:rPr>
        <w:t>公告在</w:t>
      </w:r>
      <w:r>
        <w:rPr>
          <w:rFonts w:hint="eastAsia"/>
          <w:color w:val="auto"/>
          <w:lang w:val="en-US" w:eastAsia="zh-CN"/>
        </w:rPr>
        <w:t>贵州省农业农村厅（官方网址：</w:t>
      </w:r>
      <w:r>
        <w:rPr>
          <w:rFonts w:hint="eastAsia"/>
          <w:color w:val="auto"/>
        </w:rPr>
        <w:t>http://nynct.guizhou.gov.cn/</w:t>
      </w:r>
      <w:r>
        <w:rPr>
          <w:rFonts w:hint="eastAsia"/>
          <w:color w:val="auto"/>
          <w:lang w:eastAsia="zh-CN"/>
        </w:rPr>
        <w:t>）</w:t>
      </w:r>
      <w:r>
        <w:rPr>
          <w:rFonts w:hint="eastAsia"/>
          <w:color w:val="auto"/>
        </w:rPr>
        <w:t>上发布。</w:t>
      </w:r>
    </w:p>
    <w:p>
      <w:pPr>
        <w:keepNext w:val="0"/>
        <w:keepLines w:val="0"/>
        <w:pageBreakBefore w:val="0"/>
        <w:widowControl w:val="0"/>
        <w:kinsoku/>
        <w:wordWrap/>
        <w:overflowPunct/>
        <w:autoSpaceDE/>
        <w:autoSpaceDN/>
        <w:bidi w:val="0"/>
        <w:adjustRightInd/>
        <w:snapToGrid/>
        <w:spacing w:line="420" w:lineRule="exact"/>
        <w:rPr>
          <w:rFonts w:hint="default"/>
          <w:b/>
          <w:bCs/>
          <w:color w:val="auto"/>
          <w:lang w:val="en-US" w:eastAsia="zh-CN"/>
        </w:rPr>
      </w:pPr>
      <w:r>
        <w:rPr>
          <w:rFonts w:hint="eastAsia"/>
          <w:b/>
          <w:bCs/>
          <w:color w:val="auto"/>
          <w:lang w:val="en-US" w:eastAsia="zh-CN"/>
        </w:rPr>
        <w:t>七、废标条款</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eastAsia" w:ascii="宋体" w:hAnsi="宋体" w:cs="宋体"/>
          <w:color w:val="auto"/>
          <w:sz w:val="21"/>
          <w:szCs w:val="21"/>
          <w:lang w:val="en-US" w:eastAsia="zh-CN"/>
        </w:rPr>
        <w:t>86224522</w:t>
      </w:r>
      <w:bookmarkStart w:id="12" w:name="_GoBack"/>
      <w:bookmarkEnd w:id="12"/>
    </w:p>
    <w:p>
      <w:pPr>
        <w:pStyle w:val="5"/>
        <w:keepNext w:val="0"/>
        <w:keepLines w:val="0"/>
        <w:pageBreakBefore w:val="0"/>
        <w:widowControl w:val="0"/>
        <w:kinsoku/>
        <w:wordWrap/>
        <w:overflowPunct/>
        <w:topLinePunct w:val="0"/>
        <w:bidi w:val="0"/>
        <w:snapToGrid/>
        <w:spacing w:line="440" w:lineRule="exact"/>
        <w:textAlignment w:val="auto"/>
        <w:rPr>
          <w:rFonts w:hint="default"/>
          <w:color w:val="auto"/>
          <w:sz w:val="21"/>
          <w:szCs w:val="21"/>
          <w:lang w:val="en-US" w:eastAsia="zh-CN"/>
        </w:rPr>
      </w:pPr>
      <w:r>
        <w:rPr>
          <w:rFonts w:hint="eastAsia" w:cs="宋体"/>
          <w:color w:val="auto"/>
          <w:sz w:val="21"/>
          <w:szCs w:val="21"/>
          <w:lang w:val="en-US" w:eastAsia="zh-CN"/>
        </w:rPr>
        <w:t>联系地址：</w:t>
      </w:r>
      <w:r>
        <w:rPr>
          <w:rFonts w:hint="eastAsia" w:ascii="宋体" w:hAnsi="宋体" w:eastAsia="宋体" w:cs="宋体"/>
          <w:color w:val="auto"/>
          <w:sz w:val="24"/>
          <w:szCs w:val="24"/>
          <w:lang w:val="en-US" w:eastAsia="zh-CN"/>
        </w:rPr>
        <w:t>贵阳市乌当区东风镇云锦村</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pStyle w:val="9"/>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1"/>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p>
        </w:tc>
      </w:tr>
      <w:tr>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pPr>
              <w:pStyle w:val="9"/>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pStyle w:val="9"/>
        <w:numPr>
          <w:ilvl w:val="0"/>
          <w:numId w:val="0"/>
        </w:numPr>
        <w:spacing w:before="1" w:line="218" w:lineRule="auto"/>
        <w:ind w:leftChars="0"/>
        <w:rPr>
          <w:rFonts w:hint="default"/>
          <w:color w:val="auto"/>
          <w:spacing w:val="-4"/>
          <w:lang w:val="en-US" w:eastAsia="zh-CN"/>
        </w:rPr>
      </w:pPr>
    </w:p>
    <w:p>
      <w:pPr>
        <w:spacing w:before="286" w:beforeLines="100" w:after="143" w:afterLines="50"/>
        <w:rPr>
          <w:rFonts w:ascii="宋体" w:hAnsi="宋体" w:cs="宋体"/>
          <w:color w:val="auto"/>
        </w:rPr>
      </w:pPr>
      <w:r>
        <w:rPr>
          <w:rFonts w:hint="eastAsia" w:ascii="宋体" w:hAnsi="宋体" w:cs="宋体"/>
          <w:color w:val="auto"/>
        </w:rPr>
        <w:t>2.评分表</w:t>
      </w:r>
    </w:p>
    <w:p>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1"/>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供应商4</w:t>
            </w:r>
          </w:p>
        </w:tc>
      </w:tr>
      <w:tr>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3</w:t>
            </w:r>
            <w:r>
              <w:rPr>
                <w:rFonts w:hint="eastAsia" w:ascii="宋体" w:hAnsi="宋体" w:cs="宋体"/>
                <w:color w:val="auto"/>
                <w:sz w:val="22"/>
                <w:szCs w:val="22"/>
              </w:rPr>
              <w:t>0；</w:t>
            </w:r>
          </w:p>
          <w:p>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50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3</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p>
          <w:p>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hint="eastAsia" w:ascii="宋体" w:hAnsi="宋体" w:cs="宋体"/>
                <w:color w:val="auto"/>
                <w:sz w:val="22"/>
                <w:szCs w:val="22"/>
              </w:rPr>
            </w:pPr>
          </w:p>
        </w:tc>
      </w:tr>
      <w:tr>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pPr>
              <w:widowControl/>
              <w:ind w:firstLine="480"/>
              <w:rPr>
                <w:rFonts w:hint="eastAsia" w:ascii="宋体" w:hAnsi="宋体" w:cs="宋体"/>
                <w:color w:val="auto"/>
                <w:sz w:val="22"/>
                <w:szCs w:val="22"/>
              </w:rPr>
            </w:pPr>
          </w:p>
          <w:p>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pPr>
        <w:widowControl/>
        <w:ind w:firstLine="480"/>
        <w:rPr>
          <w:rFonts w:hint="eastAsia" w:ascii="宋体" w:hAnsi="宋体" w:cs="宋体"/>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spacing w:line="360" w:lineRule="auto"/>
        <w:rPr>
          <w:rFonts w:hint="eastAsia" w:ascii="宋体" w:hAnsi="宋体"/>
          <w:b/>
          <w:bCs/>
          <w:color w:val="auto"/>
          <w:sz w:val="22"/>
          <w:szCs w:val="22"/>
        </w:rPr>
      </w:pPr>
    </w:p>
    <w:p>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pPr>
        <w:pStyle w:val="5"/>
        <w:ind w:left="0" w:leftChars="0"/>
        <w:rPr>
          <w:color w:val="auto"/>
          <w:lang w:eastAsia="zh-CN"/>
        </w:rPr>
      </w:pPr>
    </w:p>
    <w:p>
      <w:pPr>
        <w:rPr>
          <w:color w:val="auto"/>
        </w:rPr>
      </w:pPr>
    </w:p>
    <w:p>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1"/>
        <w:tblW w:w="10814" w:type="dxa"/>
        <w:jc w:val="center"/>
        <w:tblLayout w:type="fixed"/>
        <w:tblCellMar>
          <w:top w:w="0" w:type="dxa"/>
          <w:left w:w="108" w:type="dxa"/>
          <w:bottom w:w="0" w:type="dxa"/>
          <w:right w:w="108" w:type="dxa"/>
        </w:tblCellMar>
      </w:tblPr>
      <w:tblGrid>
        <w:gridCol w:w="10814"/>
      </w:tblGrid>
      <w:tr>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pPr>
        <w:pStyle w:val="5"/>
        <w:rPr>
          <w:rFonts w:hint="eastAsia"/>
          <w:b/>
          <w:bCs/>
          <w:color w:val="auto"/>
          <w:sz w:val="36"/>
          <w:szCs w:val="36"/>
          <w:u w:val="single"/>
          <w:lang w:eastAsia="zh-CN"/>
        </w:rPr>
      </w:pPr>
    </w:p>
    <w:p>
      <w:pPr>
        <w:rPr>
          <w:color w:val="auto"/>
        </w:rPr>
      </w:pPr>
    </w:p>
    <w:tbl>
      <w:tblPr>
        <w:tblStyle w:val="21"/>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rPr>
            </w:pPr>
            <w:r>
              <w:rPr>
                <w:rFonts w:hint="eastAsia" w:ascii="宋体" w:hAnsi="宋体" w:cs="宋体"/>
                <w:color w:val="auto"/>
                <w:kern w:val="0"/>
              </w:rPr>
              <w:t>得分</w:t>
            </w: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r>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pPr>
              <w:rPr>
                <w:rFonts w:ascii="宋体" w:hAnsi="宋体" w:cs="宋体"/>
                <w:color w:val="auto"/>
              </w:rPr>
            </w:pPr>
          </w:p>
        </w:tc>
      </w:tr>
    </w:tbl>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hint="eastAsia" w:ascii="宋体" w:hAnsi="宋体" w:cs="宋体"/>
          <w:b/>
          <w:bCs/>
          <w:color w:val="auto"/>
          <w:kern w:val="0"/>
          <w:sz w:val="36"/>
          <w:szCs w:val="36"/>
          <w:u w:val="single"/>
        </w:rPr>
      </w:pPr>
    </w:p>
    <w:p>
      <w:pPr>
        <w:rPr>
          <w:rFonts w:hint="eastAsia" w:ascii="宋体" w:hAnsi="宋体" w:cs="宋体"/>
          <w:b/>
          <w:bCs/>
          <w:color w:val="auto"/>
          <w:kern w:val="0"/>
          <w:sz w:val="36"/>
          <w:szCs w:val="36"/>
          <w:u w:val="single"/>
        </w:rPr>
      </w:pPr>
    </w:p>
    <w:p>
      <w:pPr>
        <w:pStyle w:val="73"/>
        <w:rPr>
          <w:rFonts w:hint="eastAsia"/>
          <w:color w:val="auto"/>
        </w:rPr>
      </w:pPr>
    </w:p>
    <w:p>
      <w:pPr>
        <w:pStyle w:val="73"/>
        <w:rPr>
          <w:rFonts w:hint="eastAsia"/>
          <w:color w:val="auto"/>
        </w:rPr>
      </w:pPr>
    </w:p>
    <w:p>
      <w:pPr>
        <w:rPr>
          <w:rFonts w:ascii="宋体" w:hAnsi="宋体" w:cs="宋体"/>
          <w:b/>
          <w:bCs/>
          <w:color w:val="auto"/>
          <w:kern w:val="0"/>
          <w:szCs w:val="21"/>
        </w:rPr>
      </w:pPr>
      <w:r>
        <w:rPr>
          <w:rFonts w:hint="eastAsia" w:ascii="宋体" w:hAnsi="宋体" w:cs="宋体"/>
          <w:b/>
          <w:bCs/>
          <w:color w:val="auto"/>
          <w:kern w:val="0"/>
          <w:szCs w:val="21"/>
        </w:rPr>
        <w:t>4.评分汇总表</w:t>
      </w:r>
    </w:p>
    <w:p>
      <w:pPr>
        <w:ind w:firstLine="730" w:firstLineChars="202"/>
        <w:jc w:val="center"/>
        <w:rPr>
          <w:rFonts w:hint="eastAsia" w:ascii="宋体" w:hAnsi="宋体" w:cs="宋体"/>
          <w:b/>
          <w:bCs/>
          <w:color w:val="auto"/>
          <w:kern w:val="0"/>
          <w:sz w:val="36"/>
          <w:szCs w:val="36"/>
          <w:u w:val="single"/>
        </w:rPr>
      </w:pPr>
    </w:p>
    <w:p>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1"/>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项目名称：</w:t>
            </w:r>
          </w:p>
        </w:tc>
      </w:tr>
      <w:tr>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rPr>
              <w:t>供应商4</w:t>
            </w:r>
          </w:p>
        </w:tc>
      </w:tr>
      <w:tr>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pPr>
              <w:ind w:firstLine="480"/>
              <w:rPr>
                <w:rFonts w:ascii="宋体" w:hAnsi="宋体" w:cs="宋体"/>
                <w:color w:val="auto"/>
              </w:rPr>
            </w:pPr>
          </w:p>
        </w:tc>
      </w:tr>
      <w:tr>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pPr>
              <w:widowControl/>
              <w:ind w:firstLine="480"/>
              <w:rPr>
                <w:rFonts w:ascii="宋体" w:hAnsi="宋体" w:cs="宋体"/>
                <w:color w:val="auto"/>
                <w:kern w:val="0"/>
              </w:rPr>
            </w:pPr>
          </w:p>
        </w:tc>
      </w:tr>
      <w:tr>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pPr>
              <w:widowControl/>
              <w:ind w:firstLine="480"/>
              <w:rPr>
                <w:rFonts w:ascii="宋体" w:hAnsi="宋体" w:cs="宋体"/>
                <w:color w:val="auto"/>
                <w:kern w:val="0"/>
              </w:rPr>
            </w:pPr>
          </w:p>
        </w:tc>
      </w:tr>
    </w:tbl>
    <w:p>
      <w:pPr>
        <w:spacing w:line="360" w:lineRule="auto"/>
        <w:rPr>
          <w:rFonts w:hint="eastAsia" w:ascii="宋体" w:hAnsi="宋体"/>
          <w:b/>
          <w:bCs/>
          <w:color w:val="auto"/>
        </w:rPr>
      </w:pPr>
    </w:p>
    <w:p>
      <w:pPr>
        <w:spacing w:line="360" w:lineRule="auto"/>
        <w:rPr>
          <w:rFonts w:ascii="宋体" w:hAnsi="宋体"/>
          <w:b/>
          <w:bCs/>
          <w:color w:val="auto"/>
        </w:rPr>
      </w:pPr>
      <w:r>
        <w:rPr>
          <w:rFonts w:hint="eastAsia" w:ascii="宋体" w:hAnsi="宋体"/>
          <w:b/>
          <w:bCs/>
          <w:color w:val="auto"/>
          <w:lang w:val="en-US" w:eastAsia="zh-CN"/>
        </w:rPr>
        <w:t>5</w:t>
      </w:r>
      <w:r>
        <w:rPr>
          <w:rFonts w:hint="eastAsia" w:ascii="宋体" w:hAnsi="宋体"/>
          <w:b/>
          <w:bCs/>
          <w:color w:val="auto"/>
        </w:rPr>
        <w:t>．定标准则及</w:t>
      </w:r>
      <w:r>
        <w:rPr>
          <w:rFonts w:hint="eastAsia" w:ascii="宋体" w:hAnsi="宋体"/>
          <w:b/>
          <w:bCs/>
          <w:color w:val="auto"/>
          <w:lang w:val="en-US" w:eastAsia="zh-CN"/>
        </w:rPr>
        <w:t>比选</w:t>
      </w:r>
      <w:r>
        <w:rPr>
          <w:rFonts w:hint="eastAsia" w:ascii="宋体" w:hAnsi="宋体"/>
          <w:b/>
          <w:bCs/>
          <w:color w:val="auto"/>
        </w:rPr>
        <w:t>成交</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ascii="宋体" w:hAnsi="宋体"/>
          <w:color w:val="auto"/>
        </w:rPr>
        <w:t>1</w:t>
      </w:r>
      <w:r>
        <w:rPr>
          <w:rFonts w:hint="eastAsia" w:ascii="宋体" w:hAnsi="宋体"/>
          <w:color w:val="auto"/>
        </w:rPr>
        <w:t>综合评标价法，是指以价格、技术、商务为主要因素确定</w:t>
      </w:r>
      <w:r>
        <w:rPr>
          <w:rFonts w:hint="eastAsia" w:ascii="宋体" w:hAnsi="宋体"/>
          <w:color w:val="auto"/>
          <w:lang w:eastAsia="zh-CN"/>
        </w:rPr>
        <w:t>比选</w:t>
      </w:r>
      <w:r>
        <w:rPr>
          <w:rFonts w:hint="eastAsia" w:ascii="宋体" w:hAnsi="宋体"/>
          <w:color w:val="auto"/>
        </w:rPr>
        <w:t>成交候选人的评标方法，即在全部满足</w:t>
      </w:r>
      <w:r>
        <w:rPr>
          <w:rFonts w:hint="eastAsia" w:ascii="宋体" w:hAnsi="宋体"/>
          <w:color w:val="auto"/>
          <w:lang w:eastAsia="zh-CN"/>
        </w:rPr>
        <w:t>比选</w:t>
      </w:r>
      <w:r>
        <w:rPr>
          <w:rFonts w:hint="eastAsia" w:ascii="宋体" w:hAnsi="宋体"/>
          <w:color w:val="auto"/>
        </w:rPr>
        <w:t>文件实质性要求前提下，依据统一评审要素评定投标申请文件，以综合得分最高的竞标人作为中标候选人或者中标人的评标方法。</w:t>
      </w:r>
    </w:p>
    <w:p>
      <w:pPr>
        <w:spacing w:line="360"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.2竞标价格采用最低价优先法，在全部满足采购文件实质性要求前提下，最终报价最低的投标报价为评标基准价。</w:t>
      </w:r>
    </w:p>
    <w:p>
      <w:pPr>
        <w:spacing w:line="360" w:lineRule="auto"/>
        <w:rPr>
          <w:rFonts w:ascii="宋体" w:hAnsi="宋体"/>
          <w:b/>
          <w:bCs/>
          <w:color w:val="auto"/>
        </w:rPr>
      </w:pPr>
      <w:r>
        <w:rPr>
          <w:rFonts w:hint="eastAsia" w:ascii="宋体" w:hAnsi="宋体"/>
          <w:b/>
          <w:bCs/>
          <w:color w:val="auto"/>
          <w:lang w:val="en-US" w:eastAsia="zh-CN"/>
        </w:rPr>
        <w:t>6</w:t>
      </w:r>
      <w:r>
        <w:rPr>
          <w:rFonts w:hint="eastAsia" w:ascii="宋体" w:hAnsi="宋体"/>
          <w:b/>
          <w:bCs/>
          <w:color w:val="auto"/>
        </w:rPr>
        <w:t>．</w:t>
      </w:r>
      <w:r>
        <w:rPr>
          <w:rFonts w:hint="eastAsia" w:ascii="宋体" w:hAnsi="宋体"/>
          <w:b/>
          <w:bCs/>
          <w:color w:val="auto"/>
          <w:lang w:val="en-US" w:eastAsia="zh-CN"/>
        </w:rPr>
        <w:t>比选</w:t>
      </w:r>
      <w:r>
        <w:rPr>
          <w:rFonts w:hint="eastAsia" w:ascii="宋体" w:hAnsi="宋体"/>
          <w:b/>
          <w:bCs/>
          <w:color w:val="auto"/>
        </w:rPr>
        <w:t>成交通知</w:t>
      </w:r>
    </w:p>
    <w:p>
      <w:pPr>
        <w:spacing w:line="360" w:lineRule="auto"/>
        <w:ind w:firstLine="420" w:firstLineChars="200"/>
        <w:rPr>
          <w:rFonts w:hint="eastAsia" w:ascii="宋体" w:hAnsi="宋体"/>
          <w:b/>
          <w:bCs/>
          <w:color w:val="auto"/>
        </w:rPr>
      </w:pPr>
      <w:r>
        <w:rPr>
          <w:rFonts w:hint="eastAsia" w:ascii="宋体" w:hAnsi="宋体"/>
          <w:color w:val="auto"/>
          <w:lang w:val="en-US" w:eastAsia="zh-CN"/>
        </w:rPr>
        <w:t>6</w:t>
      </w:r>
      <w:r>
        <w:rPr>
          <w:rFonts w:hint="eastAsia" w:ascii="宋体" w:hAnsi="宋体"/>
          <w:color w:val="auto"/>
        </w:rPr>
        <w:t>.</w:t>
      </w:r>
      <w:r>
        <w:rPr>
          <w:rFonts w:ascii="宋体" w:hAnsi="宋体"/>
          <w:color w:val="auto"/>
        </w:rPr>
        <w:t>1</w:t>
      </w:r>
      <w:r>
        <w:rPr>
          <w:rFonts w:hint="eastAsia" w:ascii="宋体" w:hAnsi="宋体"/>
          <w:color w:val="auto"/>
          <w:lang w:val="en-US" w:eastAsia="zh-CN"/>
        </w:rPr>
        <w:t>比选评审</w:t>
      </w:r>
      <w:r>
        <w:rPr>
          <w:rFonts w:hint="eastAsia" w:ascii="宋体" w:hAnsi="宋体"/>
          <w:color w:val="auto"/>
        </w:rPr>
        <w:t>结束</w:t>
      </w:r>
      <w:r>
        <w:rPr>
          <w:rFonts w:hint="eastAsia" w:ascii="宋体" w:hAnsi="宋体"/>
          <w:color w:val="auto"/>
          <w:lang w:val="en-US" w:eastAsia="zh-CN"/>
        </w:rPr>
        <w:t>并经挂网公示无异议</w:t>
      </w:r>
      <w:r>
        <w:rPr>
          <w:rFonts w:hint="eastAsia" w:ascii="宋体" w:hAnsi="宋体"/>
          <w:color w:val="auto"/>
        </w:rPr>
        <w:t>后，</w:t>
      </w:r>
      <w:r>
        <w:rPr>
          <w:rFonts w:hint="eastAsia" w:ascii="宋体" w:hAnsi="宋体"/>
          <w:color w:val="auto"/>
          <w:lang w:val="en-US" w:eastAsia="zh-CN"/>
        </w:rPr>
        <w:t>采购人</w:t>
      </w:r>
      <w:r>
        <w:rPr>
          <w:rFonts w:hint="eastAsia" w:ascii="宋体" w:hAnsi="宋体"/>
          <w:color w:val="auto"/>
        </w:rPr>
        <w:t>即按照相关法规以书面形式签发《成交通知书》</w:t>
      </w:r>
      <w:r>
        <w:rPr>
          <w:rFonts w:hint="eastAsia" w:ascii="宋体" w:hAnsi="宋体"/>
          <w:color w:val="auto"/>
          <w:lang w:val="en-US" w:eastAsia="zh-CN"/>
        </w:rPr>
        <w:t>。</w:t>
      </w:r>
    </w:p>
    <w:p>
      <w:pPr>
        <w:spacing w:line="360" w:lineRule="auto"/>
        <w:rPr>
          <w:rFonts w:ascii="宋体" w:hAnsi="宋体"/>
          <w:b/>
          <w:bCs/>
          <w:color w:val="auto"/>
        </w:rPr>
      </w:pPr>
      <w:r>
        <w:rPr>
          <w:rFonts w:hint="eastAsia" w:ascii="宋体" w:hAnsi="宋体"/>
          <w:b/>
          <w:bCs/>
          <w:color w:val="auto"/>
          <w:lang w:val="en-US" w:eastAsia="zh-CN"/>
        </w:rPr>
        <w:t>7</w:t>
      </w:r>
      <w:r>
        <w:rPr>
          <w:rFonts w:hint="eastAsia" w:ascii="宋体" w:hAnsi="宋体"/>
          <w:b/>
          <w:bCs/>
          <w:color w:val="auto"/>
        </w:rPr>
        <w:t>．签订合同</w:t>
      </w:r>
    </w:p>
    <w:p>
      <w:pPr>
        <w:spacing w:line="360" w:lineRule="auto"/>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 xml:space="preserve">.1 </w:t>
      </w:r>
      <w:r>
        <w:rPr>
          <w:rFonts w:hint="eastAsia" w:ascii="宋体" w:hAnsi="宋体"/>
          <w:color w:val="auto"/>
          <w:lang w:eastAsia="zh-CN"/>
        </w:rPr>
        <w:t>比选</w:t>
      </w:r>
      <w:r>
        <w:rPr>
          <w:rFonts w:hint="eastAsia" w:ascii="宋体" w:hAnsi="宋体"/>
          <w:color w:val="auto"/>
        </w:rPr>
        <w:t>成交方须按《成交通知书》指定的时间与采购方签订合同。</w:t>
      </w:r>
    </w:p>
    <w:p>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lang w:val="en-US" w:eastAsia="zh-CN"/>
        </w:rPr>
        <w:t>7</w:t>
      </w:r>
      <w:r>
        <w:rPr>
          <w:rFonts w:ascii="宋体" w:hAnsi="宋体"/>
          <w:color w:val="auto"/>
        </w:rPr>
        <w:t>.2</w:t>
      </w:r>
      <w:r>
        <w:rPr>
          <w:rFonts w:hint="eastAsia" w:ascii="宋体" w:hAnsi="宋体"/>
          <w:color w:val="auto"/>
        </w:rPr>
        <w:t>竞争性</w:t>
      </w:r>
      <w:r>
        <w:rPr>
          <w:rFonts w:hint="eastAsia" w:ascii="宋体" w:hAnsi="宋体"/>
          <w:color w:val="auto"/>
          <w:lang w:eastAsia="zh-CN"/>
        </w:rPr>
        <w:t>比选</w:t>
      </w:r>
      <w:r>
        <w:rPr>
          <w:rFonts w:hint="eastAsia" w:ascii="宋体" w:hAnsi="宋体"/>
          <w:color w:val="auto"/>
        </w:rPr>
        <w:t>文件、成交方的竞标文件和《成交通知书》将作为签订合同的依据。</w:t>
      </w:r>
    </w:p>
    <w:p>
      <w:pPr>
        <w:jc w:val="left"/>
        <w:rPr>
          <w:rFonts w:hint="eastAsia" w:ascii="宋体" w:hAnsi="宋体" w:cs="宋体"/>
          <w:color w:val="auto"/>
          <w:sz w:val="24"/>
          <w:szCs w:val="24"/>
          <w:lang w:val="en-US" w:eastAsia="zh-CN"/>
        </w:rPr>
      </w:pPr>
    </w:p>
    <w:p>
      <w:pPr>
        <w:pStyle w:val="2"/>
        <w:jc w:val="both"/>
        <w:rPr>
          <w:rFonts w:hint="eastAsia" w:ascii="宋体" w:hAnsi="宋体"/>
          <w:color w:val="auto"/>
          <w:sz w:val="32"/>
          <w:szCs w:val="32"/>
        </w:rPr>
      </w:pPr>
      <w:r>
        <w:rPr>
          <w:rFonts w:hint="eastAsia" w:ascii="宋体" w:hAnsi="宋体"/>
          <w:color w:val="auto"/>
          <w:sz w:val="32"/>
          <w:szCs w:val="32"/>
        </w:rPr>
        <w:t xml:space="preserve"> </w:t>
      </w:r>
    </w:p>
    <w:p>
      <w:pPr>
        <w:pStyle w:val="2"/>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pPr>
        <w:pStyle w:val="20"/>
        <w:ind w:firstLine="640"/>
        <w:rPr>
          <w:color w:val="auto"/>
        </w:rPr>
      </w:pPr>
    </w:p>
    <w:p>
      <w:pPr>
        <w:jc w:val="center"/>
        <w:rPr>
          <w:rFonts w:ascii="宋体" w:hAnsi="宋体"/>
          <w:b/>
          <w:color w:val="auto"/>
          <w:kern w:val="44"/>
          <w:sz w:val="44"/>
          <w:szCs w:val="44"/>
        </w:rPr>
      </w:pPr>
    </w:p>
    <w:p>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贵州地方畜禽遗传材料收集保存</w:t>
      </w:r>
    </w:p>
    <w:p>
      <w:pPr>
        <w:jc w:val="center"/>
        <w:rPr>
          <w:rFonts w:ascii="宋体" w:hAnsi="宋体"/>
          <w:color w:val="auto"/>
          <w:sz w:val="40"/>
          <w:szCs w:val="40"/>
        </w:rPr>
      </w:pPr>
      <w:r>
        <w:rPr>
          <w:rFonts w:hint="eastAsia" w:ascii="宋体" w:hAnsi="宋体"/>
          <w:color w:val="auto"/>
          <w:sz w:val="40"/>
          <w:szCs w:val="40"/>
          <w:lang w:val="en-US" w:eastAsia="zh-CN"/>
        </w:rPr>
        <w:t>试剂耗材</w:t>
      </w:r>
    </w:p>
    <w:p>
      <w:pPr>
        <w:jc w:val="center"/>
        <w:rPr>
          <w:rFonts w:hint="eastAsia" w:ascii="宋体" w:hAnsi="宋体"/>
          <w:color w:val="auto"/>
          <w:sz w:val="120"/>
        </w:rPr>
      </w:pPr>
    </w:p>
    <w:p>
      <w:pPr>
        <w:jc w:val="center"/>
        <w:rPr>
          <w:rFonts w:ascii="宋体" w:hAnsi="宋体"/>
          <w:color w:val="auto"/>
          <w:sz w:val="120"/>
        </w:rPr>
      </w:pPr>
      <w:r>
        <w:rPr>
          <w:rFonts w:hint="eastAsia" w:ascii="宋体" w:hAnsi="宋体"/>
          <w:color w:val="auto"/>
          <w:sz w:val="120"/>
        </w:rPr>
        <w:t>竞 标 文 件</w:t>
      </w:r>
    </w:p>
    <w:p>
      <w:pPr>
        <w:jc w:val="center"/>
        <w:rPr>
          <w:rFonts w:ascii="宋体" w:hAnsi="宋体"/>
          <w:color w:val="auto"/>
          <w:sz w:val="24"/>
        </w:rPr>
      </w:pPr>
    </w:p>
    <w:p>
      <w:pPr>
        <w:ind w:firstLine="1600" w:firstLineChars="500"/>
        <w:rPr>
          <w:rFonts w:ascii="宋体" w:hAnsi="宋体"/>
          <w:color w:val="auto"/>
          <w:sz w:val="32"/>
          <w:u w:val="single"/>
        </w:rPr>
      </w:pPr>
    </w:p>
    <w:p>
      <w:pPr>
        <w:rPr>
          <w:rFonts w:ascii="宋体" w:hAnsi="宋体"/>
          <w:color w:val="auto"/>
          <w:sz w:val="32"/>
          <w:u w:val="single"/>
        </w:rPr>
      </w:pPr>
    </w:p>
    <w:p>
      <w:pPr>
        <w:rPr>
          <w:rFonts w:ascii="宋体" w:hAnsi="宋体"/>
          <w:color w:val="auto"/>
          <w:sz w:val="32"/>
          <w:u w:val="single"/>
        </w:rPr>
      </w:pPr>
    </w:p>
    <w:p>
      <w:pPr>
        <w:spacing w:line="600" w:lineRule="exact"/>
        <w:rPr>
          <w:rFonts w:ascii="宋体" w:hAnsi="宋体"/>
          <w:color w:val="auto"/>
          <w:sz w:val="28"/>
        </w:rPr>
      </w:pPr>
      <w:r>
        <w:rPr>
          <w:rFonts w:hint="eastAsia" w:ascii="宋体" w:hAnsi="宋体"/>
          <w:color w:val="auto"/>
          <w:sz w:val="28"/>
        </w:rPr>
        <w:t>竞 标 人 名 称：（加盖单位章）</w:t>
      </w:r>
    </w:p>
    <w:p>
      <w:pPr>
        <w:spacing w:line="600" w:lineRule="exact"/>
        <w:rPr>
          <w:rFonts w:ascii="宋体" w:hAnsi="宋体"/>
          <w:color w:val="auto"/>
          <w:sz w:val="28"/>
        </w:rPr>
      </w:pPr>
    </w:p>
    <w:p>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pPr>
        <w:spacing w:line="600" w:lineRule="exact"/>
        <w:jc w:val="center"/>
        <w:rPr>
          <w:rFonts w:ascii="宋体" w:hAnsi="宋体"/>
          <w:color w:val="auto"/>
          <w:sz w:val="28"/>
        </w:rPr>
      </w:pPr>
    </w:p>
    <w:p>
      <w:pPr>
        <w:spacing w:line="600" w:lineRule="exact"/>
        <w:jc w:val="center"/>
        <w:rPr>
          <w:rFonts w:ascii="宋体" w:hAnsi="宋体"/>
          <w:color w:val="auto"/>
          <w:sz w:val="28"/>
        </w:rPr>
      </w:pPr>
    </w:p>
    <w:p>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24"/>
          <w:szCs w:val="24"/>
          <w:lang w:val="en-US" w:eastAsia="zh-CN"/>
        </w:rPr>
      </w:pPr>
    </w:p>
    <w:p>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pPr>
        <w:rPr>
          <w:rFonts w:ascii="宋体" w:hAnsi="宋体" w:cs="宋体"/>
          <w:color w:val="auto"/>
          <w:szCs w:val="21"/>
        </w:rPr>
      </w:pP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pPr>
        <w:autoSpaceDE w:val="0"/>
        <w:autoSpaceDN w:val="0"/>
        <w:adjustRightInd w:val="0"/>
        <w:jc w:val="left"/>
        <w:rPr>
          <w:rFonts w:ascii="宋体" w:hAnsi="宋体" w:cs="宋体"/>
          <w:color w:val="auto"/>
          <w:kern w:val="0"/>
          <w:szCs w:val="21"/>
        </w:rPr>
      </w:pPr>
    </w:p>
    <w:p>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pPr>
        <w:pStyle w:val="5"/>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pPr>
        <w:pStyle w:val="5"/>
        <w:spacing w:line="360" w:lineRule="auto"/>
        <w:rPr>
          <w:rFonts w:hint="eastAsia" w:ascii="宋体" w:hAnsi="TimesNewRomanPSMT" w:cs="宋体" w:eastAsiaTheme="minorEastAsia"/>
          <w:color w:val="auto"/>
          <w:kern w:val="0"/>
          <w:sz w:val="21"/>
          <w:szCs w:val="21"/>
          <w:lang w:val="en-US" w:eastAsia="zh-CN" w:bidi="ar-SA"/>
        </w:rPr>
      </w:pPr>
    </w:p>
    <w:p>
      <w:pPr>
        <w:pStyle w:val="33"/>
        <w:spacing w:line="360" w:lineRule="auto"/>
        <w:rPr>
          <w:color w:val="auto"/>
          <w:szCs w:val="21"/>
        </w:rPr>
      </w:pPr>
      <w:bookmarkStart w:id="0" w:name="_Toc398107931"/>
    </w:p>
    <w:p>
      <w:pPr>
        <w:pStyle w:val="33"/>
        <w:rPr>
          <w:color w:val="auto"/>
          <w:szCs w:val="21"/>
        </w:rPr>
      </w:pPr>
    </w:p>
    <w:p>
      <w:pPr>
        <w:spacing w:line="480" w:lineRule="auto"/>
        <w:ind w:firstLine="420"/>
        <w:rPr>
          <w:color w:val="auto"/>
          <w:szCs w:val="21"/>
        </w:rPr>
      </w:pPr>
    </w:p>
    <w:p>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pPr>
        <w:spacing w:line="440" w:lineRule="exact"/>
        <w:rPr>
          <w:rFonts w:ascii="宋体" w:hAnsi="宋体"/>
          <w:color w:val="auto"/>
          <w:szCs w:val="21"/>
        </w:rPr>
      </w:pPr>
    </w:p>
    <w:p>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pPr>
        <w:pStyle w:val="44"/>
        <w:jc w:val="both"/>
        <w:rPr>
          <w:rFonts w:hint="eastAsia" w:ascii="宋体" w:hAnsi="宋体" w:eastAsia="宋体"/>
          <w:color w:val="auto"/>
          <w:sz w:val="24"/>
          <w:szCs w:val="24"/>
          <w:lang w:val="en-US" w:eastAsia="zh-CN"/>
        </w:rPr>
      </w:pPr>
      <w:bookmarkStart w:id="1" w:name="_Toc144974467"/>
      <w:bookmarkStart w:id="2" w:name="_Toc179715756"/>
      <w:bookmarkStart w:id="3" w:name="_Toc152047263"/>
      <w:bookmarkStart w:id="4" w:name="_Toc398107933"/>
    </w:p>
    <w:p>
      <w:pPr>
        <w:pStyle w:val="44"/>
        <w:jc w:val="both"/>
        <w:rPr>
          <w:rFonts w:hint="eastAsia" w:ascii="宋体" w:hAnsi="宋体" w:eastAsia="宋体"/>
          <w:color w:val="auto"/>
          <w:sz w:val="24"/>
          <w:szCs w:val="24"/>
          <w:lang w:val="en-US" w:eastAsia="zh-CN"/>
        </w:rPr>
      </w:pPr>
    </w:p>
    <w:bookmarkEnd w:id="1"/>
    <w:bookmarkEnd w:id="2"/>
    <w:bookmarkEnd w:id="3"/>
    <w:p>
      <w:pPr>
        <w:spacing w:line="400" w:lineRule="exact"/>
        <w:rPr>
          <w:rFonts w:ascii="宋体" w:hAnsi="宋体" w:cs="宋体"/>
          <w:color w:val="auto"/>
          <w:sz w:val="36"/>
          <w:szCs w:val="36"/>
        </w:rPr>
      </w:pPr>
      <w:r>
        <w:rPr>
          <w:color w:val="auto"/>
        </w:rPr>
        <w:br w:type="page"/>
      </w:r>
    </w:p>
    <w:p>
      <w:pPr>
        <w:pStyle w:val="44"/>
        <w:numPr>
          <w:ilvl w:val="0"/>
          <w:numId w:val="3"/>
        </w:numPr>
        <w:jc w:val="both"/>
        <w:rPr>
          <w:rFonts w:hint="eastAsia" w:ascii="宋体" w:hAnsi="宋体" w:eastAsia="宋体"/>
          <w:color w:val="auto"/>
          <w:sz w:val="24"/>
          <w:szCs w:val="24"/>
          <w:lang w:val="en-US" w:eastAsia="zh-CN"/>
        </w:rPr>
      </w:pPr>
      <w:bookmarkStart w:id="5" w:name="_Toc152047264"/>
      <w:bookmarkStart w:id="6" w:name="_Toc27269"/>
      <w:bookmarkStart w:id="7" w:name="_Toc179715757"/>
      <w:bookmarkStart w:id="8" w:name="_Toc144974468"/>
      <w:r>
        <w:rPr>
          <w:rFonts w:hint="eastAsia" w:ascii="宋体" w:hAnsi="宋体" w:eastAsia="宋体"/>
          <w:color w:val="auto"/>
          <w:sz w:val="24"/>
          <w:szCs w:val="24"/>
          <w:lang w:val="en-US" w:eastAsia="zh-CN"/>
        </w:rPr>
        <w:t>报价清单</w:t>
      </w:r>
    </w:p>
    <w:p>
      <w:pPr>
        <w:pStyle w:val="44"/>
        <w:numPr>
          <w:ilvl w:val="0"/>
          <w:numId w:val="0"/>
        </w:numPr>
        <w:ind w:leftChars="0"/>
        <w:jc w:val="cente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报价清单</w:t>
      </w:r>
    </w:p>
    <w:tbl>
      <w:tblPr>
        <w:tblStyle w:val="21"/>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3180"/>
        <w:gridCol w:w="2082"/>
        <w:gridCol w:w="955"/>
        <w:gridCol w:w="92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名称</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数量</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单价（元）</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牛冻精试剂</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r>
              <w:rPr>
                <w:rStyle w:val="78"/>
                <w:color w:val="auto"/>
                <w:sz w:val="18"/>
                <w:szCs w:val="18"/>
                <w:lang w:val="en-US" w:eastAsia="zh-CN" w:bidi="ar"/>
              </w:rPr>
              <w:t>瓶</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羊冻精试剂</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r>
              <w:rPr>
                <w:rStyle w:val="78"/>
                <w:color w:val="auto"/>
                <w:sz w:val="18"/>
                <w:szCs w:val="18"/>
                <w:lang w:val="en-US" w:eastAsia="zh-CN" w:bidi="ar"/>
              </w:rPr>
              <w:t>瓶</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鸡冻精试剂</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200mL/</w:t>
            </w:r>
            <w:r>
              <w:rPr>
                <w:rStyle w:val="78"/>
                <w:color w:val="auto"/>
                <w:sz w:val="18"/>
                <w:szCs w:val="18"/>
                <w:lang w:val="en-US" w:eastAsia="zh-CN" w:bidi="ar"/>
              </w:rPr>
              <w:t>套</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盒装无菌吸头</w:t>
            </w:r>
            <w:r>
              <w:rPr>
                <w:rStyle w:val="69"/>
                <w:rFonts w:eastAsia="仿宋"/>
                <w:color w:val="auto"/>
                <w:sz w:val="18"/>
                <w:szCs w:val="18"/>
                <w:lang w:val="en-US" w:eastAsia="zh-CN" w:bidi="ar"/>
              </w:rPr>
              <w:t>10uL</w:t>
            </w:r>
            <w:r>
              <w:rPr>
                <w:rStyle w:val="78"/>
                <w:color w:val="auto"/>
                <w:sz w:val="18"/>
                <w:szCs w:val="18"/>
                <w:lang w:val="en-US" w:eastAsia="zh-CN" w:bidi="ar"/>
              </w:rPr>
              <w:t>，</w:t>
            </w:r>
            <w:r>
              <w:rPr>
                <w:rStyle w:val="69"/>
                <w:rFonts w:eastAsia="仿宋"/>
                <w:color w:val="auto"/>
                <w:sz w:val="18"/>
                <w:szCs w:val="18"/>
                <w:lang w:val="en-US" w:eastAsia="zh-CN" w:bidi="ar"/>
              </w:rPr>
              <w:t>DNA/RNA FREE</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盒装无菌吸头</w:t>
            </w:r>
            <w:r>
              <w:rPr>
                <w:rStyle w:val="69"/>
                <w:rFonts w:eastAsia="仿宋"/>
                <w:color w:val="auto"/>
                <w:sz w:val="18"/>
                <w:szCs w:val="18"/>
                <w:lang w:val="en-US" w:eastAsia="zh-CN" w:bidi="ar"/>
              </w:rPr>
              <w:t>200uL</w:t>
            </w:r>
            <w:r>
              <w:rPr>
                <w:rStyle w:val="78"/>
                <w:color w:val="auto"/>
                <w:sz w:val="18"/>
                <w:szCs w:val="18"/>
                <w:lang w:val="en-US" w:eastAsia="zh-CN" w:bidi="ar"/>
              </w:rPr>
              <w:t>，</w:t>
            </w:r>
            <w:r>
              <w:rPr>
                <w:rStyle w:val="69"/>
                <w:rFonts w:eastAsia="仿宋"/>
                <w:color w:val="auto"/>
                <w:sz w:val="18"/>
                <w:szCs w:val="18"/>
                <w:lang w:val="en-US" w:eastAsia="zh-CN" w:bidi="ar"/>
              </w:rPr>
              <w:t>DNA/RNA FREE</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盒装无菌吸头</w:t>
            </w:r>
            <w:r>
              <w:rPr>
                <w:rStyle w:val="69"/>
                <w:rFonts w:eastAsia="仿宋"/>
                <w:color w:val="auto"/>
                <w:sz w:val="18"/>
                <w:szCs w:val="18"/>
                <w:lang w:val="en-US" w:eastAsia="zh-CN" w:bidi="ar"/>
              </w:rPr>
              <w:t>1000uL</w:t>
            </w:r>
            <w:r>
              <w:rPr>
                <w:rStyle w:val="78"/>
                <w:color w:val="auto"/>
                <w:sz w:val="18"/>
                <w:szCs w:val="18"/>
                <w:lang w:val="en-US" w:eastAsia="zh-CN" w:bidi="ar"/>
              </w:rPr>
              <w:t>，</w:t>
            </w:r>
            <w:r>
              <w:rPr>
                <w:rStyle w:val="69"/>
                <w:rFonts w:eastAsia="仿宋"/>
                <w:color w:val="auto"/>
                <w:sz w:val="18"/>
                <w:szCs w:val="18"/>
                <w:lang w:val="en-US" w:eastAsia="zh-CN" w:bidi="ar"/>
              </w:rPr>
              <w:t>DNA/RNA FREE</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96</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无酶无菌</w:t>
            </w:r>
            <w:r>
              <w:rPr>
                <w:rStyle w:val="69"/>
                <w:rFonts w:eastAsia="仿宋"/>
                <w:color w:val="auto"/>
                <w:sz w:val="18"/>
                <w:szCs w:val="18"/>
                <w:lang w:val="en-US" w:eastAsia="zh-CN" w:bidi="ar"/>
              </w:rPr>
              <w:t>PCR</w:t>
            </w:r>
            <w:r>
              <w:rPr>
                <w:rStyle w:val="78"/>
                <w:color w:val="auto"/>
                <w:sz w:val="18"/>
                <w:szCs w:val="18"/>
                <w:lang w:val="en-US" w:eastAsia="zh-CN" w:bidi="ar"/>
              </w:rPr>
              <w:t>管</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0.2mL 1000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血液</w:t>
            </w:r>
            <w:r>
              <w:rPr>
                <w:rStyle w:val="69"/>
                <w:rFonts w:eastAsia="仿宋"/>
                <w:color w:val="auto"/>
                <w:sz w:val="18"/>
                <w:szCs w:val="18"/>
                <w:lang w:val="en-US" w:eastAsia="zh-CN" w:bidi="ar"/>
              </w:rPr>
              <w:t>DNA</w:t>
            </w:r>
            <w:r>
              <w:rPr>
                <w:rStyle w:val="78"/>
                <w:color w:val="auto"/>
                <w:sz w:val="18"/>
                <w:szCs w:val="18"/>
                <w:lang w:val="en-US" w:eastAsia="zh-CN" w:bidi="ar"/>
              </w:rPr>
              <w:t>提取试剂盒</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螺口尖底离心管</w:t>
            </w:r>
            <w:r>
              <w:rPr>
                <w:rStyle w:val="69"/>
                <w:rFonts w:eastAsia="仿宋"/>
                <w:color w:val="auto"/>
                <w:sz w:val="18"/>
                <w:szCs w:val="18"/>
                <w:lang w:val="en-US" w:eastAsia="zh-CN" w:bidi="ar"/>
              </w:rPr>
              <w:t>15mL</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84</w:t>
            </w:r>
            <w:r>
              <w:rPr>
                <w:rStyle w:val="78"/>
                <w:color w:val="auto"/>
                <w:sz w:val="18"/>
                <w:szCs w:val="18"/>
                <w:lang w:val="en-US" w:eastAsia="zh-CN" w:bidi="ar"/>
              </w:rPr>
              <w:t xml:space="preserve">消毒液 </w:t>
            </w:r>
            <w:r>
              <w:rPr>
                <w:rStyle w:val="69"/>
                <w:rFonts w:eastAsia="宋体"/>
                <w:color w:val="auto"/>
                <w:sz w:val="18"/>
                <w:szCs w:val="18"/>
                <w:lang w:val="en-US" w:eastAsia="zh-CN" w:bidi="ar"/>
              </w:rPr>
              <w:t>500mL</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r>
              <w:rPr>
                <w:rStyle w:val="78"/>
                <w:color w:val="auto"/>
                <w:sz w:val="18"/>
                <w:szCs w:val="18"/>
                <w:lang w:val="en-US" w:eastAsia="zh-CN" w:bidi="ar"/>
              </w:rPr>
              <w:t>瓶</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11</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细胞培养皿</w:t>
            </w:r>
            <w:r>
              <w:rPr>
                <w:rStyle w:val="69"/>
                <w:rFonts w:eastAsia="仿宋"/>
                <w:color w:val="auto"/>
                <w:sz w:val="18"/>
                <w:szCs w:val="18"/>
                <w:lang w:val="en-US" w:eastAsia="zh-CN" w:bidi="ar"/>
              </w:rPr>
              <w:t>100mm</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一次性无粉芦荟乳胶手套中号</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r>
              <w:rPr>
                <w:rStyle w:val="78"/>
                <w:color w:val="auto"/>
                <w:sz w:val="18"/>
                <w:szCs w:val="18"/>
                <w:lang w:val="en-US" w:eastAsia="zh-CN" w:bidi="ar"/>
              </w:rPr>
              <w:t>双</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一次性无粉芦荟乳胶手套小号</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r>
              <w:rPr>
                <w:rStyle w:val="78"/>
                <w:color w:val="auto"/>
                <w:sz w:val="18"/>
                <w:szCs w:val="18"/>
                <w:lang w:val="en-US" w:eastAsia="zh-CN" w:bidi="ar"/>
              </w:rPr>
              <w:t>双</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一次性医用外科口罩</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盒，无菌型、独立包装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一次性鞋套（加厚）</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只</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采精液过滤纸</w:t>
            </w:r>
            <w:r>
              <w:rPr>
                <w:rStyle w:val="69"/>
                <w:rFonts w:eastAsia="仿宋"/>
                <w:color w:val="auto"/>
                <w:sz w:val="18"/>
                <w:szCs w:val="18"/>
                <w:lang w:val="en-US" w:eastAsia="zh-CN" w:bidi="ar"/>
              </w:rPr>
              <w:t>20</w:t>
            </w:r>
            <w:r>
              <w:rPr>
                <w:rStyle w:val="78"/>
                <w:color w:val="auto"/>
                <w:sz w:val="18"/>
                <w:szCs w:val="18"/>
                <w:lang w:val="en-US" w:eastAsia="zh-CN" w:bidi="ar"/>
              </w:rPr>
              <w:t>×</w:t>
            </w:r>
            <w:r>
              <w:rPr>
                <w:rStyle w:val="69"/>
                <w:rFonts w:eastAsia="仿宋"/>
                <w:color w:val="auto"/>
                <w:sz w:val="18"/>
                <w:szCs w:val="18"/>
                <w:lang w:val="en-US" w:eastAsia="zh-CN" w:bidi="ar"/>
              </w:rPr>
              <w:t>20cm</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张</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17</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生理盐水</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r>
              <w:rPr>
                <w:rStyle w:val="78"/>
                <w:color w:val="auto"/>
                <w:sz w:val="18"/>
                <w:szCs w:val="18"/>
                <w:lang w:val="en-US" w:eastAsia="zh-CN" w:bidi="ar"/>
              </w:rPr>
              <w:t>袋</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抗凝管</w:t>
            </w:r>
            <w:r>
              <w:rPr>
                <w:rStyle w:val="69"/>
                <w:rFonts w:eastAsia="仿宋"/>
                <w:color w:val="auto"/>
                <w:sz w:val="18"/>
                <w:szCs w:val="18"/>
                <w:lang w:val="en-US" w:eastAsia="zh-CN" w:bidi="ar"/>
              </w:rPr>
              <w:t>5mL</w:t>
            </w:r>
            <w:r>
              <w:rPr>
                <w:rStyle w:val="78"/>
                <w:color w:val="auto"/>
                <w:sz w:val="18"/>
                <w:szCs w:val="18"/>
                <w:lang w:val="en-US" w:eastAsia="zh-CN" w:bidi="ar"/>
              </w:rPr>
              <w:t>，（带针）</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19</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进口胎牛血清</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DMEM/F12 </w:t>
            </w:r>
            <w:r>
              <w:rPr>
                <w:rStyle w:val="78"/>
                <w:color w:val="auto"/>
                <w:sz w:val="18"/>
                <w:szCs w:val="18"/>
                <w:lang w:val="en-US" w:eastAsia="zh-CN" w:bidi="ar"/>
              </w:rPr>
              <w:t>培养基</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21</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支原体清除试剂</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Style w:val="78"/>
                <w:color w:val="auto"/>
                <w:sz w:val="18"/>
                <w:szCs w:val="18"/>
                <w:lang w:val="en-US" w:eastAsia="zh-CN" w:bidi="ar"/>
              </w:rPr>
              <w:t>×</w:t>
            </w:r>
            <w:r>
              <w:rPr>
                <w:rStyle w:val="69"/>
                <w:rFonts w:eastAsia="宋体"/>
                <w:color w:val="auto"/>
                <w:sz w:val="18"/>
                <w:szCs w:val="18"/>
                <w:lang w:val="en-US" w:eastAsia="zh-CN" w:bidi="ar"/>
              </w:rPr>
              <w:t>1mL</w:t>
            </w:r>
            <w:r>
              <w:rPr>
                <w:rStyle w:val="78"/>
                <w:color w:val="auto"/>
                <w:sz w:val="18"/>
                <w:szCs w:val="18"/>
                <w:lang w:val="en-US" w:eastAsia="zh-CN" w:bidi="ar"/>
              </w:rPr>
              <w:t>，</w:t>
            </w:r>
            <w:r>
              <w:rPr>
                <w:rStyle w:val="69"/>
                <w:rFonts w:eastAsia="宋体"/>
                <w:color w:val="auto"/>
                <w:sz w:val="18"/>
                <w:szCs w:val="18"/>
                <w:lang w:val="en-US" w:eastAsia="zh-CN" w:bidi="ar"/>
              </w:rPr>
              <w:t>50mg</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22</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双抗</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脂质体</w:t>
            </w:r>
            <w:r>
              <w:rPr>
                <w:rStyle w:val="69"/>
                <w:rFonts w:eastAsia="仿宋"/>
                <w:color w:val="auto"/>
                <w:sz w:val="18"/>
                <w:szCs w:val="18"/>
                <w:lang w:val="en-US" w:eastAsia="zh-CN" w:bidi="ar"/>
              </w:rPr>
              <w:t>3000</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24</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二甲基亚砜（</w:t>
            </w:r>
            <w:r>
              <w:rPr>
                <w:rStyle w:val="69"/>
                <w:rFonts w:eastAsia="仿宋"/>
                <w:color w:val="auto"/>
                <w:sz w:val="18"/>
                <w:szCs w:val="18"/>
                <w:lang w:val="en-US" w:eastAsia="zh-CN" w:bidi="ar"/>
              </w:rPr>
              <w:t>DMSO</w:t>
            </w:r>
            <w:r>
              <w:rPr>
                <w:rStyle w:val="78"/>
                <w:color w:val="auto"/>
                <w:sz w:val="18"/>
                <w:szCs w:val="18"/>
                <w:lang w:val="en-US" w:eastAsia="zh-CN" w:bidi="ar"/>
              </w:rPr>
              <w:t>）细胞储存液</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胰蛋白酶</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26</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核酸染料</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27</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正方透气盖斜口细胞培养瓶，</w:t>
            </w:r>
            <w:r>
              <w:rPr>
                <w:rStyle w:val="69"/>
                <w:rFonts w:eastAsia="仿宋"/>
                <w:color w:val="auto"/>
                <w:sz w:val="18"/>
                <w:szCs w:val="18"/>
                <w:lang w:val="en-US" w:eastAsia="zh-CN" w:bidi="ar"/>
              </w:rPr>
              <w:t>25cm</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Style w:val="78"/>
                <w:color w:val="auto"/>
                <w:sz w:val="18"/>
                <w:szCs w:val="18"/>
                <w:lang w:val="en-US" w:eastAsia="zh-CN" w:bidi="ar"/>
              </w:rPr>
              <w:t>个×</w:t>
            </w:r>
            <w:r>
              <w:rPr>
                <w:rStyle w:val="69"/>
                <w:rFonts w:eastAsia="宋体"/>
                <w:color w:val="auto"/>
                <w:sz w:val="18"/>
                <w:szCs w:val="18"/>
                <w:lang w:val="en-US" w:eastAsia="zh-CN" w:bidi="ar"/>
              </w:rPr>
              <w:t>20</w:t>
            </w:r>
            <w:r>
              <w:rPr>
                <w:rStyle w:val="78"/>
                <w:color w:val="auto"/>
                <w:sz w:val="18"/>
                <w:szCs w:val="18"/>
                <w:lang w:val="en-US" w:eastAsia="zh-CN" w:bidi="ar"/>
              </w:rPr>
              <w:t>包</w:t>
            </w:r>
            <w:r>
              <w:rPr>
                <w:rStyle w:val="69"/>
                <w:rFonts w:eastAsia="宋体"/>
                <w:color w:val="auto"/>
                <w:sz w:val="18"/>
                <w:szCs w:val="18"/>
                <w:lang w:val="en-US" w:eastAsia="zh-CN" w:bidi="ar"/>
              </w:rPr>
              <w:t>/</w:t>
            </w:r>
            <w:r>
              <w:rPr>
                <w:rStyle w:val="78"/>
                <w:color w:val="auto"/>
                <w:sz w:val="18"/>
                <w:szCs w:val="18"/>
                <w:lang w:val="en-US" w:eastAsia="zh-CN" w:bidi="ar"/>
              </w:rPr>
              <w:t>箱</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28</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r>
              <w:rPr>
                <w:rStyle w:val="78"/>
                <w:color w:val="auto"/>
                <w:sz w:val="18"/>
                <w:szCs w:val="18"/>
                <w:lang w:val="en-US" w:eastAsia="zh-CN" w:bidi="ar"/>
              </w:rPr>
              <w:t>离心管</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29</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10mL</w:t>
            </w:r>
            <w:r>
              <w:rPr>
                <w:rStyle w:val="78"/>
                <w:color w:val="auto"/>
                <w:sz w:val="18"/>
                <w:szCs w:val="18"/>
                <w:lang w:val="en-US" w:eastAsia="zh-CN" w:bidi="ar"/>
              </w:rPr>
              <w:t>注射器</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MACS Tissue Storage Solution</w:t>
            </w:r>
            <w:r>
              <w:rPr>
                <w:rStyle w:val="78"/>
                <w:color w:val="auto"/>
                <w:sz w:val="18"/>
                <w:szCs w:val="18"/>
                <w:lang w:val="en-US" w:eastAsia="zh-CN" w:bidi="ar"/>
              </w:rPr>
              <w:t>（组织保存液）</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r>
              <w:rPr>
                <w:rStyle w:val="78"/>
                <w:color w:val="auto"/>
                <w:sz w:val="18"/>
                <w:szCs w:val="18"/>
                <w:lang w:val="en-US" w:eastAsia="zh-CN" w:bidi="ar"/>
              </w:rPr>
              <w:t>瓶</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31</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MACS SmartStrainers </w:t>
            </w:r>
            <w:r>
              <w:rPr>
                <w:rStyle w:val="78"/>
                <w:color w:val="auto"/>
                <w:sz w:val="18"/>
                <w:szCs w:val="18"/>
                <w:lang w:val="en-US" w:eastAsia="zh-CN" w:bidi="ar"/>
              </w:rPr>
              <w:t>（</w:t>
            </w:r>
            <w:r>
              <w:rPr>
                <w:rStyle w:val="69"/>
                <w:rFonts w:eastAsia="宋体"/>
                <w:color w:val="auto"/>
                <w:sz w:val="18"/>
                <w:szCs w:val="18"/>
                <w:lang w:val="en-US" w:eastAsia="zh-CN" w:bidi="ar"/>
              </w:rPr>
              <w:t>100 µm</w:t>
            </w:r>
            <w:r>
              <w:rPr>
                <w:rStyle w:val="78"/>
                <w:color w:val="auto"/>
                <w:sz w:val="18"/>
                <w:szCs w:val="18"/>
                <w:lang w:val="en-US" w:eastAsia="zh-CN" w:bidi="ar"/>
              </w:rPr>
              <w:t>）细胞滤器</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Multi Tissue Dissociation Kit 1</w:t>
            </w:r>
            <w:r>
              <w:rPr>
                <w:rStyle w:val="78"/>
                <w:color w:val="auto"/>
                <w:sz w:val="18"/>
                <w:szCs w:val="18"/>
                <w:lang w:val="en-US" w:eastAsia="zh-CN" w:bidi="ar"/>
              </w:rPr>
              <w:t>组织解离试剂盒</w:t>
            </w:r>
            <w:r>
              <w:rPr>
                <w:rStyle w:val="69"/>
                <w:rFonts w:eastAsia="宋体"/>
                <w:color w:val="auto"/>
                <w:sz w:val="18"/>
                <w:szCs w:val="18"/>
                <w:lang w:val="en-US" w:eastAsia="zh-CN" w:bidi="ar"/>
              </w:rPr>
              <w:t>1</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r>
              <w:rPr>
                <w:rStyle w:val="78"/>
                <w:color w:val="auto"/>
                <w:sz w:val="18"/>
                <w:szCs w:val="18"/>
                <w:lang w:val="en-US" w:eastAsia="zh-CN" w:bidi="ar"/>
              </w:rPr>
              <w:t>次反应</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33</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r>
              <w:rPr>
                <w:rStyle w:val="78"/>
                <w:color w:val="auto"/>
                <w:sz w:val="18"/>
                <w:szCs w:val="18"/>
                <w:lang w:val="en-US" w:eastAsia="zh-CN" w:bidi="ar"/>
              </w:rPr>
              <w:t>管</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34</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细胞冻存盒</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箱</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巴氏吸管</w:t>
            </w:r>
            <w:r>
              <w:rPr>
                <w:rStyle w:val="69"/>
                <w:rFonts w:eastAsia="仿宋"/>
                <w:color w:val="auto"/>
                <w:sz w:val="18"/>
                <w:szCs w:val="18"/>
                <w:lang w:val="en-US" w:eastAsia="zh-CN" w:bidi="ar"/>
              </w:rPr>
              <w:t>3mL</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只</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36</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5mL</w:t>
            </w:r>
            <w:r>
              <w:rPr>
                <w:rStyle w:val="78"/>
                <w:color w:val="auto"/>
                <w:sz w:val="18"/>
                <w:szCs w:val="18"/>
                <w:lang w:val="en-US" w:eastAsia="zh-CN" w:bidi="ar"/>
              </w:rPr>
              <w:t>枪头</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w:t>
            </w:r>
            <w:r>
              <w:rPr>
                <w:rStyle w:val="78"/>
                <w:color w:val="auto"/>
                <w:sz w:val="18"/>
                <w:szCs w:val="18"/>
                <w:lang w:val="en-US" w:eastAsia="zh-CN" w:bidi="ar"/>
              </w:rPr>
              <w:t>包</w:t>
            </w:r>
            <w:r>
              <w:rPr>
                <w:rStyle w:val="69"/>
                <w:rFonts w:eastAsia="宋体"/>
                <w:color w:val="auto"/>
                <w:sz w:val="18"/>
                <w:szCs w:val="18"/>
                <w:lang w:val="en-US" w:eastAsia="zh-CN" w:bidi="ar"/>
              </w:rPr>
              <w:t>/</w:t>
            </w:r>
            <w:r>
              <w:rPr>
                <w:rStyle w:val="78"/>
                <w:color w:val="auto"/>
                <w:sz w:val="18"/>
                <w:szCs w:val="18"/>
                <w:lang w:val="en-US" w:eastAsia="zh-CN" w:bidi="ar"/>
              </w:rPr>
              <w:t>箱</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37</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2.0mL</w:t>
            </w:r>
            <w:r>
              <w:rPr>
                <w:rStyle w:val="78"/>
                <w:color w:val="auto"/>
                <w:sz w:val="18"/>
                <w:szCs w:val="18"/>
                <w:lang w:val="en-US" w:eastAsia="zh-CN" w:bidi="ar"/>
              </w:rPr>
              <w:t>可立内旋冻存管</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38</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TRIzol RNA</w:t>
            </w:r>
            <w:r>
              <w:rPr>
                <w:rStyle w:val="78"/>
                <w:color w:val="auto"/>
                <w:sz w:val="18"/>
                <w:szCs w:val="18"/>
                <w:lang w:val="en-US" w:eastAsia="zh-CN" w:bidi="ar"/>
              </w:rPr>
              <w:t>提取试剂</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100mL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3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冻精细管 </w:t>
            </w:r>
            <w:r>
              <w:rPr>
                <w:rStyle w:val="69"/>
                <w:rFonts w:eastAsia="仿宋"/>
                <w:color w:val="auto"/>
                <w:sz w:val="18"/>
                <w:szCs w:val="18"/>
                <w:lang w:val="en-US" w:eastAsia="zh-CN" w:bidi="ar"/>
              </w:rPr>
              <w:t>0.25mL</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包</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41</w:t>
            </w:r>
          </w:p>
        </w:tc>
        <w:tc>
          <w:tcPr>
            <w:tcW w:w="31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指拇管</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包，</w:t>
            </w:r>
            <w:r>
              <w:rPr>
                <w:rStyle w:val="69"/>
                <w:rFonts w:eastAsia="宋体"/>
                <w:color w:val="auto"/>
                <w:sz w:val="18"/>
                <w:szCs w:val="18"/>
                <w:lang w:val="en-US" w:eastAsia="zh-CN" w:bidi="ar"/>
              </w:rPr>
              <w:t>11.2*1.2cm</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42</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连脚防护服</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M/L/XL</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PBS</w:t>
            </w:r>
            <w:r>
              <w:rPr>
                <w:rStyle w:val="78"/>
                <w:color w:val="auto"/>
                <w:sz w:val="18"/>
                <w:szCs w:val="18"/>
                <w:lang w:val="en-US" w:eastAsia="zh-CN" w:bidi="ar"/>
              </w:rPr>
              <w:t>缓冲液</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r>
              <w:rPr>
                <w:rStyle w:val="78"/>
                <w:color w:val="auto"/>
                <w:sz w:val="18"/>
                <w:szCs w:val="18"/>
                <w:lang w:val="en-US" w:eastAsia="zh-CN" w:bidi="ar"/>
              </w:rPr>
              <w:t>、</w:t>
            </w:r>
            <w:r>
              <w:rPr>
                <w:rStyle w:val="69"/>
                <w:rFonts w:eastAsia="宋体"/>
                <w:color w:val="auto"/>
                <w:sz w:val="18"/>
                <w:szCs w:val="18"/>
                <w:lang w:val="en-US" w:eastAsia="zh-CN" w:bidi="ar"/>
              </w:rPr>
              <w:t>1x</w:t>
            </w:r>
            <w:r>
              <w:rPr>
                <w:rStyle w:val="78"/>
                <w:color w:val="auto"/>
                <w:sz w:val="18"/>
                <w:szCs w:val="18"/>
                <w:lang w:val="en-US" w:eastAsia="zh-CN" w:bidi="ar"/>
              </w:rPr>
              <w:t>、</w:t>
            </w:r>
            <w:r>
              <w:rPr>
                <w:rStyle w:val="69"/>
                <w:rFonts w:eastAsia="宋体"/>
                <w:color w:val="auto"/>
                <w:sz w:val="18"/>
                <w:szCs w:val="18"/>
                <w:lang w:val="en-US" w:eastAsia="zh-CN" w:bidi="ar"/>
              </w:rPr>
              <w:t>pH 7.4</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44</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PE</w:t>
            </w:r>
            <w:r>
              <w:rPr>
                <w:rStyle w:val="78"/>
                <w:color w:val="auto"/>
                <w:sz w:val="18"/>
                <w:szCs w:val="18"/>
                <w:lang w:val="en-US" w:eastAsia="zh-CN" w:bidi="ar"/>
              </w:rPr>
              <w:t>手套</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r>
              <w:rPr>
                <w:rStyle w:val="78"/>
                <w:color w:val="auto"/>
                <w:sz w:val="18"/>
                <w:szCs w:val="18"/>
                <w:lang w:val="en-US" w:eastAsia="zh-CN" w:bidi="ar"/>
              </w:rPr>
              <w:t>个</w:t>
            </w:r>
            <w:r>
              <w:rPr>
                <w:rStyle w:val="69"/>
                <w:rFonts w:eastAsia="宋体"/>
                <w:color w:val="auto"/>
                <w:sz w:val="18"/>
                <w:szCs w:val="18"/>
                <w:lang w:val="en-US" w:eastAsia="zh-CN" w:bidi="ar"/>
              </w:rPr>
              <w:t>/</w:t>
            </w:r>
            <w:r>
              <w:rPr>
                <w:rStyle w:val="78"/>
                <w:color w:val="auto"/>
                <w:sz w:val="18"/>
                <w:szCs w:val="18"/>
                <w:lang w:val="en-US" w:eastAsia="zh-CN" w:bidi="ar"/>
              </w:rPr>
              <w:t>包、</w:t>
            </w:r>
            <w:r>
              <w:rPr>
                <w:rStyle w:val="69"/>
                <w:rFonts w:eastAsia="宋体"/>
                <w:color w:val="auto"/>
                <w:sz w:val="18"/>
                <w:szCs w:val="18"/>
                <w:lang w:val="en-US" w:eastAsia="zh-CN" w:bidi="ar"/>
              </w:rPr>
              <w:t>50</w:t>
            </w:r>
            <w:r>
              <w:rPr>
                <w:rStyle w:val="78"/>
                <w:color w:val="auto"/>
                <w:sz w:val="18"/>
                <w:szCs w:val="18"/>
                <w:lang w:val="en-US" w:eastAsia="zh-CN" w:bidi="ar"/>
              </w:rPr>
              <w:t>包</w:t>
            </w:r>
            <w:r>
              <w:rPr>
                <w:rStyle w:val="69"/>
                <w:rFonts w:eastAsia="宋体"/>
                <w:color w:val="auto"/>
                <w:sz w:val="18"/>
                <w:szCs w:val="18"/>
                <w:lang w:val="en-US" w:eastAsia="zh-CN" w:bidi="ar"/>
              </w:rPr>
              <w:t>/</w:t>
            </w:r>
            <w:r>
              <w:rPr>
                <w:rStyle w:val="78"/>
                <w:color w:val="auto"/>
                <w:sz w:val="18"/>
                <w:szCs w:val="18"/>
                <w:lang w:val="en-US" w:eastAsia="zh-CN" w:bidi="ar"/>
              </w:rPr>
              <w:t>箱</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50mL</w:t>
            </w:r>
            <w:r>
              <w:rPr>
                <w:rStyle w:val="78"/>
                <w:color w:val="auto"/>
                <w:sz w:val="18"/>
                <w:szCs w:val="18"/>
                <w:lang w:val="en-US" w:eastAsia="zh-CN" w:bidi="ar"/>
              </w:rPr>
              <w:t>注射器</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r>
              <w:rPr>
                <w:rStyle w:val="78"/>
                <w:color w:val="auto"/>
                <w:sz w:val="18"/>
                <w:szCs w:val="18"/>
                <w:lang w:val="en-US" w:eastAsia="zh-CN" w:bidi="ar"/>
              </w:rPr>
              <w:t>支</w:t>
            </w:r>
            <w:r>
              <w:rPr>
                <w:rStyle w:val="69"/>
                <w:rFonts w:eastAsia="宋体"/>
                <w:color w:val="auto"/>
                <w:sz w:val="18"/>
                <w:szCs w:val="18"/>
                <w:lang w:val="en-US" w:eastAsia="zh-CN" w:bidi="ar"/>
              </w:rPr>
              <w:t>/</w:t>
            </w:r>
            <w:r>
              <w:rPr>
                <w:rStyle w:val="78"/>
                <w:color w:val="auto"/>
                <w:sz w:val="18"/>
                <w:szCs w:val="18"/>
                <w:lang w:val="en-US" w:eastAsia="zh-CN" w:bidi="ar"/>
              </w:rPr>
              <w:t>盒</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46</w:t>
            </w:r>
          </w:p>
        </w:tc>
        <w:tc>
          <w:tcPr>
            <w:tcW w:w="31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75%</w:t>
            </w:r>
            <w:r>
              <w:rPr>
                <w:rStyle w:val="78"/>
                <w:color w:val="auto"/>
                <w:sz w:val="18"/>
                <w:szCs w:val="18"/>
                <w:lang w:val="en-US" w:eastAsia="zh-CN" w:bidi="ar"/>
              </w:rPr>
              <w:t>酒精</w:t>
            </w:r>
          </w:p>
        </w:tc>
        <w:tc>
          <w:tcPr>
            <w:tcW w:w="208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500mL/</w:t>
            </w:r>
            <w:r>
              <w:rPr>
                <w:rStyle w:val="78"/>
                <w:color w:val="auto"/>
                <w:sz w:val="18"/>
                <w:szCs w:val="18"/>
                <w:lang w:val="en-US" w:eastAsia="zh-CN" w:bidi="ar"/>
              </w:rPr>
              <w:t>瓶</w:t>
            </w:r>
          </w:p>
        </w:tc>
        <w:tc>
          <w:tcPr>
            <w:tcW w:w="9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32</w:t>
            </w: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77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合计</w:t>
            </w:r>
          </w:p>
        </w:tc>
        <w:tc>
          <w:tcPr>
            <w:tcW w:w="2082" w:type="dxa"/>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auto"/>
                <w:sz w:val="18"/>
                <w:szCs w:val="18"/>
                <w:u w:val="none"/>
              </w:rPr>
            </w:pPr>
          </w:p>
        </w:tc>
        <w:tc>
          <w:tcPr>
            <w:tcW w:w="955" w:type="dxa"/>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auto"/>
                <w:sz w:val="18"/>
                <w:szCs w:val="18"/>
                <w:u w:val="none"/>
              </w:rPr>
            </w:pPr>
          </w:p>
        </w:tc>
        <w:tc>
          <w:tcPr>
            <w:tcW w:w="929" w:type="dxa"/>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auto"/>
                <w:sz w:val="18"/>
                <w:szCs w:val="18"/>
                <w:u w:val="none"/>
              </w:rPr>
            </w:pPr>
          </w:p>
        </w:tc>
        <w:tc>
          <w:tcPr>
            <w:tcW w:w="92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auto"/>
                <w:sz w:val="18"/>
                <w:szCs w:val="18"/>
                <w:u w:val="none"/>
              </w:rPr>
            </w:pPr>
          </w:p>
        </w:tc>
      </w:tr>
    </w:tbl>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                    </w:t>
      </w:r>
    </w:p>
    <w:p>
      <w:pPr>
        <w:pStyle w:val="44"/>
        <w:jc w:val="right"/>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pPr>
        <w:pStyle w:val="44"/>
        <w:jc w:val="both"/>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pStyle w:val="44"/>
        <w:jc w:val="both"/>
        <w:rPr>
          <w:rFonts w:hint="eastAsia" w:ascii="宋体" w:hAnsi="宋体" w:eastAsia="宋体"/>
          <w:color w:val="auto"/>
          <w:sz w:val="24"/>
          <w:szCs w:val="24"/>
          <w:lang w:val="en-US" w:eastAsia="zh-CN"/>
        </w:rPr>
      </w:pPr>
    </w:p>
    <w:p>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pPr>
        <w:pStyle w:val="44"/>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pPr>
        <w:pStyle w:val="44"/>
        <w:jc w:val="both"/>
        <w:rPr>
          <w:rFonts w:hint="default" w:ascii="宋体" w:hAnsi="宋体" w:eastAsia="宋体"/>
          <w:color w:val="auto"/>
          <w:sz w:val="24"/>
          <w:szCs w:val="24"/>
          <w:lang w:val="en-US" w:eastAsia="zh-CN"/>
        </w:rPr>
      </w:pPr>
    </w:p>
    <w:p>
      <w:pPr>
        <w:pStyle w:val="44"/>
        <w:jc w:val="both"/>
        <w:rPr>
          <w:rFonts w:hint="eastAsia" w:ascii="宋体" w:hAnsi="宋体" w:eastAsia="宋体"/>
          <w:color w:val="auto"/>
          <w:sz w:val="36"/>
          <w:szCs w:val="36"/>
        </w:rPr>
      </w:pPr>
      <w:bookmarkStart w:id="9" w:name="_Toc24236"/>
    </w:p>
    <w:p>
      <w:pPr>
        <w:pStyle w:val="44"/>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pPr>
        <w:spacing w:line="400" w:lineRule="exact"/>
        <w:rPr>
          <w:color w:val="auto"/>
        </w:rPr>
      </w:pPr>
      <w:r>
        <w:rPr>
          <w:color w:val="auto"/>
        </w:rPr>
        <w:t xml:space="preserve"> </w:t>
      </w:r>
    </w:p>
    <w:p>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pPr>
        <w:topLinePunct/>
        <w:spacing w:line="600" w:lineRule="exact"/>
        <w:ind w:firstLine="420" w:firstLineChars="200"/>
        <w:rPr>
          <w:bCs/>
          <w:color w:val="auto"/>
          <w:szCs w:val="21"/>
        </w:rPr>
      </w:pPr>
      <w:r>
        <w:rPr>
          <w:bCs/>
          <w:color w:val="auto"/>
          <w:szCs w:val="21"/>
        </w:rPr>
        <w:t>特此证明。</w:t>
      </w:r>
    </w:p>
    <w:p>
      <w:pPr>
        <w:pStyle w:val="33"/>
        <w:rPr>
          <w:color w:val="auto"/>
        </w:rPr>
      </w:pP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bl>
    <w:p>
      <w:pPr>
        <w:spacing w:line="360" w:lineRule="auto"/>
        <w:rPr>
          <w:color w:val="auto"/>
          <w:sz w:val="24"/>
        </w:rPr>
      </w:pPr>
      <w:r>
        <w:rPr>
          <w:rFonts w:hint="eastAsia"/>
          <w:color w:val="auto"/>
          <w:sz w:val="24"/>
        </w:rPr>
        <w:t xml:space="preserve">   </w:t>
      </w:r>
    </w:p>
    <w:p>
      <w:pPr>
        <w:spacing w:line="360" w:lineRule="auto"/>
        <w:rPr>
          <w:color w:val="auto"/>
          <w:sz w:val="24"/>
        </w:rPr>
      </w:pPr>
      <w:r>
        <w:rPr>
          <w:rFonts w:hint="eastAsia"/>
          <w:color w:val="auto"/>
          <w:sz w:val="24"/>
        </w:rPr>
        <w:t xml:space="preserve">    </w:t>
      </w:r>
    </w:p>
    <w:p>
      <w:pPr>
        <w:spacing w:line="360" w:lineRule="auto"/>
        <w:rPr>
          <w:color w:val="auto"/>
          <w:sz w:val="24"/>
        </w:rPr>
      </w:pPr>
    </w:p>
    <w:p>
      <w:pPr>
        <w:spacing w:line="360" w:lineRule="auto"/>
        <w:rPr>
          <w:color w:val="auto"/>
          <w:sz w:val="24"/>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440" w:lineRule="exact"/>
        <w:rPr>
          <w:bCs/>
          <w:color w:val="auto"/>
          <w:szCs w:val="21"/>
        </w:rPr>
      </w:pPr>
    </w:p>
    <w:p>
      <w:pPr>
        <w:topLinePunct/>
        <w:spacing w:line="600" w:lineRule="exact"/>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pPr>
        <w:spacing w:line="400" w:lineRule="exact"/>
        <w:rPr>
          <w:color w:val="auto"/>
        </w:rPr>
      </w:pPr>
    </w:p>
    <w:p>
      <w:pPr>
        <w:pStyle w:val="44"/>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pPr>
        <w:pStyle w:val="44"/>
        <w:jc w:val="both"/>
        <w:rPr>
          <w:rFonts w:hint="eastAsia" w:ascii="宋体" w:hAnsi="宋体" w:eastAsia="宋体"/>
          <w:b/>
          <w:bCs/>
          <w:color w:val="auto"/>
          <w:sz w:val="36"/>
          <w:szCs w:val="36"/>
        </w:rPr>
      </w:pPr>
    </w:p>
    <w:p>
      <w:pPr>
        <w:pStyle w:val="44"/>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pPr>
        <w:spacing w:line="400" w:lineRule="exact"/>
        <w:rPr>
          <w:color w:val="auto"/>
          <w:szCs w:val="21"/>
        </w:rPr>
      </w:pPr>
    </w:p>
    <w:p>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pPr>
        <w:topLinePunct/>
        <w:spacing w:line="600" w:lineRule="exact"/>
        <w:ind w:firstLine="420" w:firstLineChars="200"/>
        <w:rPr>
          <w:color w:val="auto"/>
          <w:szCs w:val="21"/>
        </w:rPr>
      </w:pPr>
      <w:r>
        <w:rPr>
          <w:rFonts w:hint="eastAsia"/>
          <w:color w:val="auto"/>
          <w:szCs w:val="21"/>
        </w:rPr>
        <w:t>代理人无转委托权。</w:t>
      </w:r>
    </w:p>
    <w:tbl>
      <w:tblPr>
        <w:tblStyle w:val="22"/>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法定代表人身份证复印件（正面）</w:t>
            </w:r>
          </w:p>
        </w:tc>
        <w:tc>
          <w:tcPr>
            <w:tcW w:w="3120" w:type="dxa"/>
            <w:vAlign w:val="center"/>
          </w:tcPr>
          <w:p>
            <w:pPr>
              <w:spacing w:line="360" w:lineRule="auto"/>
              <w:jc w:val="center"/>
              <w:rPr>
                <w:color w:val="auto"/>
                <w:sz w:val="24"/>
              </w:rPr>
            </w:pPr>
            <w:r>
              <w:rPr>
                <w:rFonts w:hint="eastAsia"/>
                <w:color w:val="auto"/>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pPr>
              <w:spacing w:line="360" w:lineRule="auto"/>
              <w:jc w:val="center"/>
              <w:rPr>
                <w:color w:val="auto"/>
                <w:sz w:val="24"/>
              </w:rPr>
            </w:pPr>
            <w:r>
              <w:rPr>
                <w:rFonts w:hint="eastAsia"/>
                <w:color w:val="auto"/>
                <w:sz w:val="24"/>
              </w:rPr>
              <w:t>委托代理人身份证复印件（正面）</w:t>
            </w:r>
          </w:p>
        </w:tc>
        <w:tc>
          <w:tcPr>
            <w:tcW w:w="3120" w:type="dxa"/>
            <w:vAlign w:val="center"/>
          </w:tcPr>
          <w:p>
            <w:pPr>
              <w:spacing w:line="360" w:lineRule="auto"/>
              <w:jc w:val="center"/>
              <w:rPr>
                <w:color w:val="auto"/>
                <w:sz w:val="24"/>
              </w:rPr>
            </w:pPr>
            <w:r>
              <w:rPr>
                <w:rFonts w:hint="eastAsia"/>
                <w:color w:val="auto"/>
                <w:sz w:val="24"/>
              </w:rPr>
              <w:t>委托代理人身份证复印件（反面）</w:t>
            </w:r>
          </w:p>
        </w:tc>
      </w:tr>
    </w:tbl>
    <w:p>
      <w:pPr>
        <w:topLinePunct/>
        <w:spacing w:line="600" w:lineRule="exact"/>
        <w:ind w:firstLine="610"/>
        <w:rPr>
          <w:color w:val="auto"/>
          <w:szCs w:val="21"/>
        </w:rPr>
      </w:pPr>
    </w:p>
    <w:p>
      <w:pPr>
        <w:topLinePunct/>
        <w:spacing w:line="600" w:lineRule="exact"/>
        <w:ind w:firstLine="610"/>
        <w:rPr>
          <w:color w:val="auto"/>
          <w:szCs w:val="21"/>
        </w:rPr>
      </w:pPr>
      <w:r>
        <w:rPr>
          <w:color w:val="auto"/>
          <w:szCs w:val="21"/>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pPr>
        <w:spacing w:line="420" w:lineRule="auto"/>
        <w:rPr>
          <w:color w:val="auto"/>
          <w:szCs w:val="21"/>
        </w:rPr>
      </w:pPr>
      <w:bookmarkStart w:id="10" w:name="_Toc398107934"/>
    </w:p>
    <w:p>
      <w:pPr>
        <w:spacing w:line="420" w:lineRule="auto"/>
        <w:rPr>
          <w:color w:val="auto"/>
          <w:szCs w:val="21"/>
        </w:rPr>
      </w:pPr>
    </w:p>
    <w:p>
      <w:pPr>
        <w:spacing w:line="420" w:lineRule="auto"/>
        <w:rPr>
          <w:color w:val="auto"/>
          <w:szCs w:val="21"/>
        </w:rPr>
      </w:pPr>
    </w:p>
    <w:p>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pPr>
        <w:spacing w:line="400" w:lineRule="exact"/>
        <w:jc w:val="both"/>
        <w:rPr>
          <w:rFonts w:hint="eastAsia" w:ascii="宋体" w:hAnsi="宋体" w:eastAsia="宋体"/>
          <w:color w:val="auto"/>
          <w:sz w:val="36"/>
          <w:szCs w:val="36"/>
        </w:rPr>
      </w:pPr>
      <w:bookmarkStart w:id="11" w:name="_Toc17353"/>
    </w:p>
    <w:bookmarkEnd w:id="11"/>
    <w:p>
      <w:pPr>
        <w:pStyle w:val="5"/>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pPr>
        <w:pStyle w:val="9"/>
        <w:spacing w:before="114" w:line="225" w:lineRule="auto"/>
        <w:ind w:left="2810"/>
        <w:rPr>
          <w:color w:val="auto"/>
          <w:spacing w:val="9"/>
          <w:sz w:val="35"/>
          <w:szCs w:val="35"/>
        </w:rPr>
      </w:pPr>
    </w:p>
    <w:p>
      <w:pPr>
        <w:pStyle w:val="9"/>
        <w:spacing w:before="114" w:line="225" w:lineRule="auto"/>
        <w:ind w:left="2810"/>
        <w:rPr>
          <w:color w:val="auto"/>
          <w:sz w:val="35"/>
          <w:szCs w:val="35"/>
        </w:rPr>
      </w:pPr>
      <w:r>
        <w:rPr>
          <w:color w:val="auto"/>
          <w:spacing w:val="9"/>
          <w:sz w:val="35"/>
          <w:szCs w:val="35"/>
        </w:rPr>
        <w:t>无重大违法记录的声明函</w:t>
      </w:r>
    </w:p>
    <w:p>
      <w:pPr>
        <w:spacing w:line="283"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pPr>
        <w:pStyle w:val="9"/>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pPr>
        <w:pStyle w:val="9"/>
        <w:spacing w:line="219" w:lineRule="auto"/>
        <w:ind w:left="11"/>
        <w:rPr>
          <w:color w:val="auto"/>
        </w:rPr>
      </w:pPr>
      <w:r>
        <w:rPr>
          <w:color w:val="auto"/>
          <w:spacing w:val="-1"/>
        </w:rPr>
        <w:t>者执照、较大数额罚款等行政处罚。</w:t>
      </w:r>
    </w:p>
    <w:p>
      <w:pPr>
        <w:spacing w:line="250" w:lineRule="auto"/>
        <w:rPr>
          <w:rFonts w:ascii="Arial"/>
          <w:color w:val="auto"/>
          <w:sz w:val="21"/>
        </w:rPr>
      </w:pPr>
    </w:p>
    <w:p>
      <w:pPr>
        <w:spacing w:line="250" w:lineRule="auto"/>
        <w:rPr>
          <w:rFonts w:ascii="Arial"/>
          <w:color w:val="auto"/>
          <w:sz w:val="21"/>
        </w:rPr>
      </w:pPr>
    </w:p>
    <w:p>
      <w:pPr>
        <w:pStyle w:val="9"/>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spacing w:line="360" w:lineRule="auto"/>
        <w:rPr>
          <w:rFonts w:hint="eastAsia"/>
          <w:color w:val="auto"/>
          <w:lang w:val="en-US" w:eastAsia="zh-CN"/>
        </w:rPr>
      </w:pPr>
    </w:p>
    <w:p>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pPr>
        <w:pStyle w:val="9"/>
        <w:spacing w:before="78" w:line="219" w:lineRule="auto"/>
        <w:ind w:left="494"/>
        <w:rPr>
          <w:rFonts w:hint="eastAsia"/>
          <w:color w:val="auto"/>
          <w:spacing w:val="-1"/>
          <w:lang w:val="en-US" w:eastAsia="zh-CN"/>
        </w:rPr>
      </w:pPr>
    </w:p>
    <w:p>
      <w:pPr>
        <w:pStyle w:val="9"/>
        <w:spacing w:before="78" w:line="219" w:lineRule="auto"/>
        <w:rPr>
          <w:color w:val="auto"/>
        </w:rPr>
      </w:pPr>
      <w:r>
        <w:rPr>
          <w:rFonts w:hint="eastAsia"/>
          <w:color w:val="auto"/>
          <w:spacing w:val="-1"/>
          <w:lang w:val="en-US" w:eastAsia="zh-CN"/>
        </w:rPr>
        <w:t>附格式：</w:t>
      </w:r>
      <w:r>
        <w:rPr>
          <w:color w:val="auto"/>
          <w:spacing w:val="-1"/>
        </w:rPr>
        <w:t>供应商信用记录承诺书</w:t>
      </w:r>
    </w:p>
    <w:p>
      <w:pPr>
        <w:spacing w:line="353" w:lineRule="auto"/>
        <w:rPr>
          <w:rFonts w:ascii="Arial"/>
          <w:color w:val="auto"/>
          <w:sz w:val="21"/>
        </w:rPr>
      </w:pPr>
    </w:p>
    <w:p>
      <w:pPr>
        <w:pStyle w:val="9"/>
        <w:spacing w:before="114" w:line="224" w:lineRule="auto"/>
        <w:ind w:left="2987"/>
        <w:rPr>
          <w:color w:val="auto"/>
          <w:sz w:val="35"/>
          <w:szCs w:val="35"/>
        </w:rPr>
      </w:pPr>
      <w:r>
        <w:rPr>
          <w:color w:val="auto"/>
          <w:spacing w:val="9"/>
          <w:sz w:val="35"/>
          <w:szCs w:val="35"/>
        </w:rPr>
        <w:t>供应商信用记录承诺书</w:t>
      </w:r>
    </w:p>
    <w:p>
      <w:pPr>
        <w:spacing w:line="284" w:lineRule="auto"/>
        <w:rPr>
          <w:rFonts w:ascii="Arial"/>
          <w:color w:val="auto"/>
          <w:sz w:val="21"/>
        </w:rPr>
      </w:pPr>
    </w:p>
    <w:p>
      <w:pPr>
        <w:spacing w:line="284" w:lineRule="auto"/>
        <w:rPr>
          <w:rFonts w:ascii="Arial"/>
          <w:color w:val="auto"/>
          <w:sz w:val="21"/>
        </w:rPr>
      </w:pPr>
    </w:p>
    <w:p>
      <w:pPr>
        <w:pStyle w:val="9"/>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pPr>
        <w:pStyle w:val="9"/>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pPr>
        <w:pStyle w:val="9"/>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pPr>
        <w:pStyle w:val="9"/>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pPr>
        <w:pStyle w:val="9"/>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pPr>
        <w:pStyle w:val="9"/>
        <w:spacing w:before="1" w:line="219" w:lineRule="auto"/>
        <w:ind w:left="38"/>
        <w:rPr>
          <w:color w:val="auto"/>
        </w:rPr>
      </w:pPr>
      <w:r>
        <w:rPr>
          <w:color w:val="auto"/>
          <w:spacing w:val="-3"/>
        </w:rPr>
        <w:t>由此造成的一切法律责任及后果。</w:t>
      </w:r>
    </w:p>
    <w:p>
      <w:pPr>
        <w:spacing w:line="262" w:lineRule="auto"/>
        <w:rPr>
          <w:rFonts w:ascii="Arial"/>
          <w:color w:val="auto"/>
          <w:sz w:val="21"/>
        </w:rPr>
      </w:pPr>
    </w:p>
    <w:p>
      <w:pPr>
        <w:spacing w:line="262"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pStyle w:val="9"/>
        <w:spacing w:before="78" w:line="219" w:lineRule="auto"/>
        <w:ind w:left="4929"/>
        <w:rPr>
          <w:color w:val="auto"/>
        </w:rPr>
      </w:pPr>
      <w:r>
        <w:rPr>
          <w:color w:val="auto"/>
          <w:spacing w:val="-2"/>
        </w:rPr>
        <w:t>承诺单位（公章</w:t>
      </w:r>
      <w:r>
        <w:rPr>
          <w:color w:val="auto"/>
          <w:spacing w:val="1"/>
        </w:rPr>
        <w:t>）：</w:t>
      </w:r>
    </w:p>
    <w:p>
      <w:pPr>
        <w:spacing w:line="384" w:lineRule="auto"/>
        <w:rPr>
          <w:rFonts w:ascii="Arial"/>
          <w:color w:val="auto"/>
          <w:sz w:val="21"/>
        </w:rPr>
      </w:pPr>
    </w:p>
    <w:p>
      <w:pPr>
        <w:pStyle w:val="9"/>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pPr>
        <w:spacing w:before="120" w:beforeLines="50" w:after="120" w:afterLines="50" w:line="240" w:lineRule="auto"/>
        <w:ind w:firstLine="480"/>
        <w:jc w:val="both"/>
        <w:rPr>
          <w:rFonts w:hint="eastAsia" w:ascii="宋体" w:hAnsi="宋体" w:eastAsia="宋体" w:cs="宋体"/>
          <w:color w:val="auto"/>
          <w:sz w:val="24"/>
          <w:szCs w:val="24"/>
        </w:rPr>
      </w:pPr>
    </w:p>
    <w:p>
      <w:pPr>
        <w:pStyle w:val="7"/>
        <w:numPr>
          <w:ilvl w:val="0"/>
          <w:numId w:val="0"/>
        </w:numPr>
        <w:rPr>
          <w:rFonts w:hint="default"/>
          <w:color w:val="auto"/>
          <w:lang w:val="en-US" w:eastAsia="zh-CN"/>
        </w:rPr>
      </w:pPr>
    </w:p>
    <w:p>
      <w:pPr>
        <w:rPr>
          <w:rFonts w:hint="default"/>
          <w:color w:val="auto"/>
          <w:lang w:val="en-US" w:eastAsia="zh-CN"/>
        </w:rPr>
      </w:pPr>
    </w:p>
    <w:bookmarkEnd w:id="10"/>
    <w:p>
      <w:pPr>
        <w:pStyle w:val="9"/>
        <w:spacing w:before="1" w:line="218" w:lineRule="auto"/>
        <w:rPr>
          <w:rFonts w:hint="default" w:eastAsia="宋体"/>
          <w:color w:val="auto"/>
          <w:spacing w:val="-4"/>
          <w:lang w:val="en-US" w:eastAsia="zh-CN"/>
        </w:rPr>
      </w:pPr>
    </w:p>
    <w:p>
      <w:pPr>
        <w:pStyle w:val="9"/>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pPr>
        <w:pStyle w:val="9"/>
        <w:numPr>
          <w:ilvl w:val="0"/>
          <w:numId w:val="0"/>
        </w:numPr>
        <w:spacing w:before="1" w:line="218" w:lineRule="auto"/>
        <w:ind w:firstLine="440" w:firstLineChars="200"/>
        <w:rPr>
          <w:rFonts w:hint="eastAsia"/>
          <w:color w:val="auto"/>
          <w:sz w:val="22"/>
          <w:szCs w:val="22"/>
          <w:lang w:val="en-US" w:eastAsia="zh-CN"/>
        </w:rPr>
      </w:pPr>
    </w:p>
    <w:p>
      <w:pPr>
        <w:pStyle w:val="9"/>
        <w:numPr>
          <w:ilvl w:val="0"/>
          <w:numId w:val="0"/>
        </w:numPr>
        <w:spacing w:before="1" w:line="218" w:lineRule="auto"/>
        <w:ind w:firstLine="440" w:firstLineChars="200"/>
        <w:rPr>
          <w:rFonts w:hint="default"/>
          <w:color w:val="auto"/>
          <w:sz w:val="22"/>
          <w:szCs w:val="22"/>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ind w:firstLine="404" w:firstLineChars="200"/>
        <w:rPr>
          <w:rFonts w:hint="default"/>
          <w:color w:val="auto"/>
          <w:spacing w:val="-4"/>
          <w:lang w:val="en-US" w:eastAsia="zh-CN"/>
        </w:rPr>
      </w:pPr>
    </w:p>
    <w:p>
      <w:pPr>
        <w:pStyle w:val="9"/>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1FAE5D-04A1-4D38-B280-44F17283C5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99E7B2-11C9-486F-AF1F-9B8BFBF82E2F}"/>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28B9FBCB-E514-4D29-B176-8C5CD613BB5C}"/>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embedRegular r:id="rId4" w:fontKey="{B13825A5-DBA2-483E-8730-E57E9F607B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rPr>
        <w:lang w:val="zh-CN"/>
      </w:rPr>
      <w:fldChar w:fldCharType="end"/>
    </w:r>
  </w:p>
  <w:p>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B16677"/>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950AE3"/>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685340"/>
    <w:rsid w:val="13956967"/>
    <w:rsid w:val="14233AAC"/>
    <w:rsid w:val="14363841"/>
    <w:rsid w:val="145E1409"/>
    <w:rsid w:val="14D509B9"/>
    <w:rsid w:val="14F52C04"/>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175CE0"/>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10B3C94"/>
    <w:rsid w:val="215B1BE7"/>
    <w:rsid w:val="21FC2F56"/>
    <w:rsid w:val="220819E7"/>
    <w:rsid w:val="2268281D"/>
    <w:rsid w:val="226D2CF4"/>
    <w:rsid w:val="22D756F0"/>
    <w:rsid w:val="22F01B88"/>
    <w:rsid w:val="23073E72"/>
    <w:rsid w:val="23127CE0"/>
    <w:rsid w:val="23223FD2"/>
    <w:rsid w:val="235F068B"/>
    <w:rsid w:val="23B90629"/>
    <w:rsid w:val="23F25AF3"/>
    <w:rsid w:val="242A2302"/>
    <w:rsid w:val="24322DCA"/>
    <w:rsid w:val="246F2D37"/>
    <w:rsid w:val="24A10863"/>
    <w:rsid w:val="24B4246A"/>
    <w:rsid w:val="24E268CC"/>
    <w:rsid w:val="24E822C0"/>
    <w:rsid w:val="25052C3D"/>
    <w:rsid w:val="25481584"/>
    <w:rsid w:val="254D513F"/>
    <w:rsid w:val="254D5CEB"/>
    <w:rsid w:val="25884792"/>
    <w:rsid w:val="25EA3B63"/>
    <w:rsid w:val="26023D86"/>
    <w:rsid w:val="26314111"/>
    <w:rsid w:val="26485C26"/>
    <w:rsid w:val="26492DAF"/>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381222"/>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B905C0"/>
    <w:rsid w:val="39E30DBA"/>
    <w:rsid w:val="39F83668"/>
    <w:rsid w:val="3A462E15"/>
    <w:rsid w:val="3A5432B0"/>
    <w:rsid w:val="3A547EFB"/>
    <w:rsid w:val="3A8B419B"/>
    <w:rsid w:val="3ADC5CF9"/>
    <w:rsid w:val="3BD3756D"/>
    <w:rsid w:val="3CA31F07"/>
    <w:rsid w:val="3D0B38EA"/>
    <w:rsid w:val="3D4843BC"/>
    <w:rsid w:val="3DBD7C44"/>
    <w:rsid w:val="3E10770C"/>
    <w:rsid w:val="3E602569"/>
    <w:rsid w:val="3ECD2378"/>
    <w:rsid w:val="3F254E6C"/>
    <w:rsid w:val="3F6346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097419"/>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232963"/>
    <w:rsid w:val="555B2295"/>
    <w:rsid w:val="55961478"/>
    <w:rsid w:val="562B6B25"/>
    <w:rsid w:val="568A03C1"/>
    <w:rsid w:val="56A33184"/>
    <w:rsid w:val="56E94033"/>
    <w:rsid w:val="57635ED1"/>
    <w:rsid w:val="57E91011"/>
    <w:rsid w:val="582D08DF"/>
    <w:rsid w:val="58CB7587"/>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5DF6369"/>
    <w:rsid w:val="65F04A1A"/>
    <w:rsid w:val="660B6537"/>
    <w:rsid w:val="661801F4"/>
    <w:rsid w:val="66194A4B"/>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BE4292B"/>
    <w:rsid w:val="6C533A3B"/>
    <w:rsid w:val="6C5678C7"/>
    <w:rsid w:val="6C8270B6"/>
    <w:rsid w:val="6D1127D2"/>
    <w:rsid w:val="6D996F86"/>
    <w:rsid w:val="6DB138E4"/>
    <w:rsid w:val="6DDF0A3F"/>
    <w:rsid w:val="6E4606A5"/>
    <w:rsid w:val="6E6D5B12"/>
    <w:rsid w:val="6E715B54"/>
    <w:rsid w:val="6E7632EE"/>
    <w:rsid w:val="6E904FF0"/>
    <w:rsid w:val="6EF96FB8"/>
    <w:rsid w:val="6F3F699F"/>
    <w:rsid w:val="6F625FBC"/>
    <w:rsid w:val="6F7D179B"/>
    <w:rsid w:val="6F940351"/>
    <w:rsid w:val="6FFB6495"/>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AD5C1C"/>
    <w:rsid w:val="76D514C5"/>
    <w:rsid w:val="77606FCC"/>
    <w:rsid w:val="77727FD6"/>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4">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jc w:val="left"/>
    </w:pPr>
    <w:rPr>
      <w:rFonts w:ascii="宋体" w:hAnsi="宋体" w:cs="宋体"/>
      <w:kern w:val="0"/>
      <w:sz w:val="22"/>
      <w:lang w:eastAsia="en-US"/>
    </w:r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39"/>
    <w:qFormat/>
    <w:uiPriority w:val="0"/>
    <w:pPr>
      <w:jc w:val="left"/>
    </w:pPr>
  </w:style>
  <w:style w:type="paragraph" w:styleId="9">
    <w:name w:val="Body Text"/>
    <w:basedOn w:val="1"/>
    <w:unhideWhenUsed/>
    <w:qFormat/>
    <w:uiPriority w:val="99"/>
    <w:pPr>
      <w:spacing w:after="120"/>
    </w:pPr>
    <w:rPr>
      <w:rFonts w:ascii="Calibri" w:hAnsi="Calibri" w:eastAsia="宋体"/>
    </w:rPr>
  </w:style>
  <w:style w:type="paragraph" w:styleId="10">
    <w:name w:val="Body Text Indent"/>
    <w:basedOn w:val="1"/>
    <w:next w:val="11"/>
    <w:qFormat/>
    <w:uiPriority w:val="0"/>
    <w:pPr>
      <w:spacing w:after="120"/>
      <w:ind w:left="200" w:leftChars="200"/>
    </w:pPr>
  </w:style>
  <w:style w:type="paragraph" w:styleId="11">
    <w:name w:val="Balloon Text"/>
    <w:basedOn w:val="1"/>
    <w:next w:val="1"/>
    <w:link w:val="38"/>
    <w:qFormat/>
    <w:uiPriority w:val="0"/>
    <w:rPr>
      <w:sz w:val="18"/>
      <w:szCs w:val="18"/>
    </w:rPr>
  </w:style>
  <w:style w:type="paragraph" w:styleId="12">
    <w:name w:val="Plain Text"/>
    <w:basedOn w:val="1"/>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index 1"/>
    <w:basedOn w:val="1"/>
    <w:next w:val="1"/>
    <w:qFormat/>
    <w:uiPriority w:val="0"/>
    <w:pPr>
      <w:ind w:firstLine="3045" w:firstLineChars="1450"/>
    </w:pPr>
    <w:rPr>
      <w:szCs w:val="21"/>
    </w:rPr>
  </w:style>
  <w:style w:type="paragraph" w:styleId="19">
    <w:name w:val="annotation subject"/>
    <w:basedOn w:val="8"/>
    <w:next w:val="8"/>
    <w:link w:val="40"/>
    <w:qFormat/>
    <w:uiPriority w:val="0"/>
    <w:rPr>
      <w:b/>
      <w:bCs/>
    </w:rPr>
  </w:style>
  <w:style w:type="paragraph" w:styleId="20">
    <w:name w:val="Body Text First Indent 2"/>
    <w:basedOn w:val="10"/>
    <w:next w:val="1"/>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qFormat/>
    <w:uiPriority w:val="0"/>
    <w:rPr>
      <w:color w:val="0033CC"/>
      <w:u w:val="single"/>
    </w:rPr>
  </w:style>
  <w:style w:type="character" w:styleId="27">
    <w:name w:val="Emphasis"/>
    <w:basedOn w:val="23"/>
    <w:qFormat/>
    <w:uiPriority w:val="0"/>
  </w:style>
  <w:style w:type="character" w:styleId="28">
    <w:name w:val="Hyperlink"/>
    <w:basedOn w:val="23"/>
    <w:qFormat/>
    <w:uiPriority w:val="0"/>
    <w:rPr>
      <w:color w:val="0033CC"/>
      <w:u w:val="single"/>
    </w:rPr>
  </w:style>
  <w:style w:type="character" w:styleId="29">
    <w:name w:val="HTML Code"/>
    <w:basedOn w:val="23"/>
    <w:qFormat/>
    <w:uiPriority w:val="0"/>
    <w:rPr>
      <w:rFonts w:hint="default" w:ascii="Consolas" w:hAnsi="Consolas" w:eastAsia="Consolas" w:cs="Consolas"/>
      <w:color w:val="C7254E"/>
      <w:sz w:val="21"/>
      <w:szCs w:val="21"/>
      <w:shd w:val="clear" w:color="auto" w:fill="F8F8F8"/>
    </w:rPr>
  </w:style>
  <w:style w:type="character" w:styleId="30">
    <w:name w:val="annotation reference"/>
    <w:basedOn w:val="23"/>
    <w:qFormat/>
    <w:uiPriority w:val="0"/>
    <w:rPr>
      <w:sz w:val="21"/>
      <w:szCs w:val="21"/>
    </w:rPr>
  </w:style>
  <w:style w:type="character" w:styleId="31">
    <w:name w:val="HTML Keyboard"/>
    <w:basedOn w:val="23"/>
    <w:qFormat/>
    <w:uiPriority w:val="0"/>
    <w:rPr>
      <w:rFonts w:hint="default" w:ascii="Consolas" w:hAnsi="Consolas" w:eastAsia="Consolas" w:cs="Consolas"/>
      <w:vanish/>
      <w:sz w:val="21"/>
      <w:szCs w:val="21"/>
    </w:rPr>
  </w:style>
  <w:style w:type="character" w:styleId="32">
    <w:name w:val="HTML Sample"/>
    <w:basedOn w:val="23"/>
    <w:qFormat/>
    <w:uiPriority w:val="0"/>
    <w:rPr>
      <w:rFonts w:hint="default" w:ascii="Consolas" w:hAnsi="Consolas" w:eastAsia="Consolas" w:cs="Consolas"/>
      <w:sz w:val="21"/>
      <w:szCs w:val="21"/>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TOC 标题1"/>
    <w:basedOn w:val="2"/>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3"/>
    <w:link w:val="13"/>
    <w:qFormat/>
    <w:uiPriority w:val="0"/>
    <w:rPr>
      <w:rFonts w:ascii="Times New Roman" w:hAnsi="Times New Roman" w:eastAsia="宋体" w:cs="Times New Roman"/>
      <w:kern w:val="2"/>
      <w:sz w:val="28"/>
      <w:szCs w:val="24"/>
    </w:rPr>
  </w:style>
  <w:style w:type="character" w:customStyle="1" w:styleId="36">
    <w:name w:val="keyword-span-wrap"/>
    <w:basedOn w:val="23"/>
    <w:qFormat/>
    <w:uiPriority w:val="0"/>
    <w:rPr>
      <w:color w:val="19A97B"/>
    </w:rPr>
  </w:style>
  <w:style w:type="character" w:customStyle="1" w:styleId="37">
    <w:name w:val="页眉 字符"/>
    <w:basedOn w:val="23"/>
    <w:link w:val="16"/>
    <w:qFormat/>
    <w:uiPriority w:val="99"/>
    <w:rPr>
      <w:rFonts w:asciiTheme="minorHAnsi" w:hAnsiTheme="minorHAnsi" w:eastAsiaTheme="minorEastAsia" w:cstheme="minorBidi"/>
      <w:kern w:val="2"/>
      <w:sz w:val="18"/>
      <w:szCs w:val="22"/>
    </w:rPr>
  </w:style>
  <w:style w:type="character" w:customStyle="1" w:styleId="38">
    <w:name w:val="批注框文本 字符"/>
    <w:basedOn w:val="23"/>
    <w:link w:val="11"/>
    <w:qFormat/>
    <w:uiPriority w:val="0"/>
    <w:rPr>
      <w:rFonts w:asciiTheme="minorHAnsi" w:hAnsiTheme="minorHAnsi" w:eastAsiaTheme="minorEastAsia" w:cstheme="minorBidi"/>
      <w:kern w:val="2"/>
      <w:sz w:val="18"/>
      <w:szCs w:val="18"/>
    </w:rPr>
  </w:style>
  <w:style w:type="character" w:customStyle="1" w:styleId="39">
    <w:name w:val="批注文字 字符"/>
    <w:basedOn w:val="23"/>
    <w:link w:val="8"/>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19"/>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2">
    <w:name w:val="标题 3 字符"/>
    <w:link w:val="4"/>
    <w:qFormat/>
    <w:uiPriority w:val="0"/>
    <w:rPr>
      <w:b/>
      <w:bCs/>
      <w:kern w:val="0"/>
      <w:sz w:val="32"/>
      <w:szCs w:val="32"/>
    </w:rPr>
  </w:style>
  <w:style w:type="character" w:customStyle="1" w:styleId="43">
    <w:name w:val="标题 2 字符"/>
    <w:link w:val="3"/>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3"/>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6">
    <w:name w:val="hover"/>
    <w:basedOn w:val="23"/>
    <w:qFormat/>
    <w:uiPriority w:val="0"/>
    <w:rPr>
      <w:shd w:val="clear" w:color="auto" w:fill="F0F0F0"/>
    </w:rPr>
  </w:style>
  <w:style w:type="character" w:customStyle="1" w:styleId="47">
    <w:name w:val="am-active17"/>
    <w:basedOn w:val="23"/>
    <w:qFormat/>
    <w:uiPriority w:val="0"/>
    <w:rPr>
      <w:color w:val="0084C7"/>
      <w:shd w:val="clear" w:color="auto" w:fill="F0F0F0"/>
    </w:rPr>
  </w:style>
  <w:style w:type="character" w:customStyle="1" w:styleId="48">
    <w:name w:val="am-active18"/>
    <w:basedOn w:val="23"/>
    <w:qFormat/>
    <w:uiPriority w:val="0"/>
    <w:rPr>
      <w:color w:val="AA4B00"/>
    </w:rPr>
  </w:style>
  <w:style w:type="character" w:customStyle="1" w:styleId="49">
    <w:name w:val="am-active19"/>
    <w:basedOn w:val="23"/>
    <w:qFormat/>
    <w:uiPriority w:val="0"/>
    <w:rPr>
      <w:color w:val="1B961B"/>
    </w:rPr>
  </w:style>
  <w:style w:type="character" w:customStyle="1" w:styleId="50">
    <w:name w:val="am-active20"/>
    <w:basedOn w:val="23"/>
    <w:qFormat/>
    <w:uiPriority w:val="0"/>
    <w:rPr>
      <w:color w:val="C10802"/>
    </w:rPr>
  </w:style>
  <w:style w:type="character" w:customStyle="1" w:styleId="51">
    <w:name w:val="am-datepicker-old"/>
    <w:basedOn w:val="23"/>
    <w:qFormat/>
    <w:uiPriority w:val="0"/>
    <w:rPr>
      <w:color w:val="89D7FF"/>
    </w:rPr>
  </w:style>
  <w:style w:type="character" w:customStyle="1" w:styleId="52">
    <w:name w:val="am-datepicker-old1"/>
    <w:basedOn w:val="23"/>
    <w:qFormat/>
    <w:uiPriority w:val="0"/>
    <w:rPr>
      <w:color w:val="FFAD6D"/>
    </w:rPr>
  </w:style>
  <w:style w:type="character" w:customStyle="1" w:styleId="53">
    <w:name w:val="am-datepicker-old2"/>
    <w:basedOn w:val="23"/>
    <w:qFormat/>
    <w:uiPriority w:val="0"/>
    <w:rPr>
      <w:color w:val="94DF94"/>
    </w:rPr>
  </w:style>
  <w:style w:type="character" w:customStyle="1" w:styleId="54">
    <w:name w:val="am-datepicker-old3"/>
    <w:basedOn w:val="23"/>
    <w:qFormat/>
    <w:uiPriority w:val="0"/>
    <w:rPr>
      <w:color w:val="F59490"/>
    </w:rPr>
  </w:style>
  <w:style w:type="character" w:customStyle="1" w:styleId="55">
    <w:name w:val="am-disabled"/>
    <w:basedOn w:val="23"/>
    <w:qFormat/>
    <w:uiPriority w:val="0"/>
    <w:rPr>
      <w:color w:val="999999"/>
      <w:shd w:val="clear" w:color="auto" w:fill="FAFAFA"/>
    </w:rPr>
  </w:style>
  <w:style w:type="character" w:customStyle="1" w:styleId="56">
    <w:name w:val="layui-laypage-curr"/>
    <w:basedOn w:val="23"/>
    <w:qFormat/>
    <w:uiPriority w:val="0"/>
  </w:style>
  <w:style w:type="paragraph" w:customStyle="1" w:styleId="57">
    <w:name w:val="txtindet-20"/>
    <w:basedOn w:val="1"/>
    <w:qFormat/>
    <w:uiPriority w:val="0"/>
    <w:pPr>
      <w:ind w:firstLine="300"/>
      <w:jc w:val="left"/>
    </w:pPr>
    <w:rPr>
      <w:rFonts w:cs="Times New Roman"/>
      <w:kern w:val="0"/>
    </w:rPr>
  </w:style>
  <w:style w:type="character" w:customStyle="1" w:styleId="58">
    <w:name w:val="layui-this2"/>
    <w:basedOn w:val="23"/>
    <w:qFormat/>
    <w:uiPriority w:val="0"/>
    <w:rPr>
      <w:bdr w:val="single" w:color="EEEEEE" w:sz="6" w:space="0"/>
      <w:shd w:val="clear" w:color="auto" w:fill="FFFFFF"/>
    </w:rPr>
  </w:style>
  <w:style w:type="character" w:customStyle="1" w:styleId="59">
    <w:name w:val="first-child2"/>
    <w:basedOn w:val="23"/>
    <w:qFormat/>
    <w:uiPriority w:val="0"/>
  </w:style>
  <w:style w:type="character" w:customStyle="1" w:styleId="60">
    <w:name w:val="txtindet-201"/>
    <w:basedOn w:val="23"/>
    <w:qFormat/>
    <w:uiPriority w:val="0"/>
  </w:style>
  <w:style w:type="character" w:customStyle="1" w:styleId="61">
    <w:name w:val="am-active"/>
    <w:basedOn w:val="23"/>
    <w:qFormat/>
    <w:uiPriority w:val="0"/>
    <w:rPr>
      <w:color w:val="AA4B00"/>
    </w:rPr>
  </w:style>
  <w:style w:type="character" w:customStyle="1" w:styleId="62">
    <w:name w:val="am-active1"/>
    <w:basedOn w:val="23"/>
    <w:qFormat/>
    <w:uiPriority w:val="0"/>
    <w:rPr>
      <w:color w:val="C10802"/>
    </w:rPr>
  </w:style>
  <w:style w:type="character" w:customStyle="1" w:styleId="63">
    <w:name w:val="am-active2"/>
    <w:basedOn w:val="23"/>
    <w:qFormat/>
    <w:uiPriority w:val="0"/>
    <w:rPr>
      <w:color w:val="1B961B"/>
    </w:rPr>
  </w:style>
  <w:style w:type="character" w:customStyle="1" w:styleId="64">
    <w:name w:val="am-active3"/>
    <w:basedOn w:val="23"/>
    <w:qFormat/>
    <w:uiPriority w:val="0"/>
    <w:rPr>
      <w:color w:val="0084C7"/>
      <w:shd w:val="clear" w:color="auto" w:fill="F0F0F0"/>
    </w:rPr>
  </w:style>
  <w:style w:type="character" w:customStyle="1" w:styleId="65">
    <w:name w:val="hover33"/>
    <w:basedOn w:val="23"/>
    <w:qFormat/>
    <w:uiPriority w:val="0"/>
    <w:rPr>
      <w:shd w:val="clear" w:color="auto" w:fill="F0F0F0"/>
    </w:rPr>
  </w:style>
  <w:style w:type="character" w:customStyle="1" w:styleId="66">
    <w:name w:val="am-disabled16"/>
    <w:basedOn w:val="23"/>
    <w:qFormat/>
    <w:uiPriority w:val="0"/>
    <w:rPr>
      <w:color w:val="999999"/>
      <w:shd w:val="clear" w:color="auto" w:fill="FAFAFA"/>
    </w:rPr>
  </w:style>
  <w:style w:type="character" w:customStyle="1" w:styleId="67">
    <w:name w:val="first-child"/>
    <w:basedOn w:val="23"/>
    <w:qFormat/>
    <w:uiPriority w:val="0"/>
  </w:style>
  <w:style w:type="paragraph" w:customStyle="1" w:styleId="68">
    <w:name w:val="Plain Text"/>
    <w:basedOn w:val="1"/>
    <w:qFormat/>
    <w:uiPriority w:val="0"/>
    <w:rPr>
      <w:rFonts w:ascii="宋体" w:hAnsi="Courier New"/>
    </w:rPr>
  </w:style>
  <w:style w:type="character" w:customStyle="1" w:styleId="69">
    <w:name w:val="font21"/>
    <w:basedOn w:val="23"/>
    <w:qFormat/>
    <w:uiPriority w:val="0"/>
    <w:rPr>
      <w:rFonts w:hint="eastAsia" w:ascii="仿宋" w:hAnsi="仿宋" w:eastAsia="仿宋" w:cs="仿宋"/>
      <w:color w:val="000000"/>
      <w:sz w:val="24"/>
      <w:szCs w:val="24"/>
      <w:u w:val="none"/>
    </w:rPr>
  </w:style>
  <w:style w:type="character" w:customStyle="1" w:styleId="70">
    <w:name w:val="font51"/>
    <w:basedOn w:val="23"/>
    <w:qFormat/>
    <w:uiPriority w:val="0"/>
    <w:rPr>
      <w:rFonts w:hint="eastAsia" w:ascii="仿宋" w:hAnsi="仿宋" w:eastAsia="仿宋" w:cs="仿宋"/>
      <w:color w:val="000000"/>
      <w:sz w:val="24"/>
      <w:szCs w:val="24"/>
      <w:u w:val="none"/>
    </w:rPr>
  </w:style>
  <w:style w:type="paragraph" w:customStyle="1" w:styleId="71">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2">
    <w:name w:val="footer"/>
    <w:basedOn w:val="1"/>
    <w:qFormat/>
    <w:uiPriority w:val="0"/>
    <w:pPr>
      <w:tabs>
        <w:tab w:val="center" w:pos="4153"/>
        <w:tab w:val="right" w:pos="8306"/>
      </w:tabs>
      <w:snapToGrid w:val="0"/>
      <w:jc w:val="left"/>
    </w:pPr>
    <w:rPr>
      <w:sz w:val="18"/>
    </w:rPr>
  </w:style>
  <w:style w:type="paragraph" w:customStyle="1" w:styleId="73">
    <w:name w:val="文档正文"/>
    <w:basedOn w:val="1"/>
    <w:qFormat/>
    <w:uiPriority w:val="0"/>
    <w:pPr>
      <w:adjustRightInd w:val="0"/>
      <w:ind w:firstLine="988"/>
      <w:textAlignment w:val="baseline"/>
    </w:pPr>
    <w:rPr>
      <w:rFonts w:ascii="宋体" w:cs="宋体"/>
      <w:kern w:val="0"/>
    </w:rPr>
  </w:style>
  <w:style w:type="character" w:customStyle="1" w:styleId="74">
    <w:name w:val="font61"/>
    <w:basedOn w:val="23"/>
    <w:qFormat/>
    <w:uiPriority w:val="0"/>
    <w:rPr>
      <w:rFonts w:hint="eastAsia" w:ascii="宋体" w:hAnsi="宋体" w:eastAsia="宋体" w:cs="宋体"/>
      <w:color w:val="000000"/>
      <w:sz w:val="18"/>
      <w:szCs w:val="18"/>
      <w:u w:val="none"/>
    </w:rPr>
  </w:style>
  <w:style w:type="character" w:customStyle="1" w:styleId="75">
    <w:name w:val="font71"/>
    <w:basedOn w:val="23"/>
    <w:qFormat/>
    <w:uiPriority w:val="0"/>
    <w:rPr>
      <w:rFonts w:hint="eastAsia" w:ascii="仿宋" w:hAnsi="仿宋" w:eastAsia="仿宋" w:cs="仿宋"/>
      <w:color w:val="000000"/>
      <w:sz w:val="18"/>
      <w:szCs w:val="18"/>
      <w:u w:val="none"/>
    </w:rPr>
  </w:style>
  <w:style w:type="character" w:customStyle="1" w:styleId="76">
    <w:name w:val="font41"/>
    <w:basedOn w:val="23"/>
    <w:qFormat/>
    <w:uiPriority w:val="0"/>
    <w:rPr>
      <w:rFonts w:ascii="仿宋" w:hAnsi="仿宋" w:eastAsia="仿宋" w:cs="仿宋"/>
      <w:color w:val="000000"/>
      <w:sz w:val="18"/>
      <w:szCs w:val="18"/>
      <w:u w:val="none"/>
    </w:rPr>
  </w:style>
  <w:style w:type="character" w:customStyle="1" w:styleId="77">
    <w:name w:val="font31"/>
    <w:basedOn w:val="23"/>
    <w:qFormat/>
    <w:uiPriority w:val="0"/>
    <w:rPr>
      <w:rFonts w:hint="default" w:ascii="Times New Roman" w:hAnsi="Times New Roman" w:cs="Times New Roman"/>
      <w:color w:val="000000"/>
      <w:sz w:val="18"/>
      <w:szCs w:val="18"/>
      <w:u w:val="none"/>
    </w:rPr>
  </w:style>
  <w:style w:type="character" w:customStyle="1" w:styleId="78">
    <w:name w:val="font11"/>
    <w:basedOn w:val="23"/>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4884</Words>
  <Characters>5585</Characters>
  <Lines>178</Lines>
  <Paragraphs>50</Paragraphs>
  <TotalTime>0</TotalTime>
  <ScaleCrop>false</ScaleCrop>
  <LinksUpToDate>false</LinksUpToDate>
  <CharactersWithSpaces>6829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田大瑶 </cp:lastModifiedBy>
  <cp:lastPrinted>2018-07-10T05:59:00Z</cp:lastPrinted>
  <dcterms:modified xsi:type="dcterms:W3CDTF">2025-06-04T01:11:15Z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C4CCEB6071FD4EEBA2605F291414ACB6_13</vt:lpwstr>
  </property>
  <property fmtid="{D5CDD505-2E9C-101B-9397-08002B2CF9AE}" pid="4" name="KSOTemplateDocerSaveRecord">
    <vt:lpwstr>eyJoZGlkIjoiYTBiMzg4YjNkMTZmZTY3MTA1ZTc3MTRhMzMxMGRkNDAiLCJ1c2VySWQiOiI1MjQ5MzQ3NjkifQ==</vt:lpwstr>
  </property>
</Properties>
</file>