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kinsoku/>
        <w:overflowPunct/>
        <w:topLinePunct w:val="0"/>
        <w:autoSpaceDE/>
        <w:autoSpaceDN/>
        <w:bidi w:val="0"/>
        <w:adjustRightInd/>
        <w:spacing w:line="360" w:lineRule="auto"/>
        <w:textAlignment w:val="auto"/>
        <w:rPr>
          <w:rFonts w:hint="eastAsia" w:ascii="黑体" w:hAnsi="黑体" w:eastAsia="黑体" w:cs="黑体"/>
          <w:sz w:val="40"/>
          <w:szCs w:val="40"/>
          <w:highlight w:val="none"/>
          <w:lang w:eastAsia="zh-CN"/>
        </w:rPr>
      </w:pPr>
      <w:r>
        <w:rPr>
          <w:rFonts w:hint="eastAsia" w:ascii="黑体" w:hAnsi="黑体" w:eastAsia="黑体" w:cs="黑体"/>
          <w:sz w:val="40"/>
          <w:szCs w:val="40"/>
          <w:highlight w:val="none"/>
          <w:lang w:eastAsia="zh-CN"/>
        </w:rPr>
        <w:t>附件</w:t>
      </w:r>
    </w:p>
    <w:p>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color w:val="auto"/>
          <w:kern w:val="0"/>
          <w:sz w:val="48"/>
          <w:szCs w:val="48"/>
          <w:highlight w:val="none"/>
          <w:lang w:val="en-US" w:eastAsia="zh-CN" w:bidi="ar"/>
        </w:rPr>
      </w:pPr>
    </w:p>
    <w:p>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eastAsia" w:ascii="方正公文小标宋" w:hAnsi="方正公文小标宋" w:eastAsia="方正公文小标宋" w:cs="方正公文小标宋"/>
          <w:color w:val="auto"/>
          <w:kern w:val="0"/>
          <w:sz w:val="48"/>
          <w:szCs w:val="48"/>
          <w:highlight w:val="none"/>
          <w:lang w:val="en-US" w:eastAsia="zh-CN" w:bidi="ar"/>
        </w:rPr>
      </w:pPr>
      <w:r>
        <w:rPr>
          <w:rFonts w:hint="eastAsia" w:ascii="方正公文小标宋" w:hAnsi="方正公文小标宋" w:eastAsia="方正公文小标宋" w:cs="方正公文小标宋"/>
          <w:color w:val="auto"/>
          <w:kern w:val="0"/>
          <w:sz w:val="48"/>
          <w:szCs w:val="48"/>
          <w:highlight w:val="none"/>
          <w:lang w:val="en-US" w:eastAsia="zh-CN" w:bidi="ar"/>
        </w:rPr>
        <w:t>贵州省高标准农田建设项目耕地质量</w:t>
      </w:r>
    </w:p>
    <w:p>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eastAsia" w:ascii="方正公文小标宋" w:hAnsi="方正公文小标宋" w:eastAsia="方正公文小标宋" w:cs="方正公文小标宋"/>
          <w:color w:val="auto"/>
          <w:kern w:val="0"/>
          <w:sz w:val="48"/>
          <w:szCs w:val="48"/>
          <w:highlight w:val="none"/>
          <w:lang w:val="en-US" w:eastAsia="zh-CN" w:bidi="ar"/>
        </w:rPr>
      </w:pPr>
      <w:r>
        <w:rPr>
          <w:rFonts w:hint="eastAsia" w:ascii="方正公文小标宋" w:hAnsi="方正公文小标宋" w:eastAsia="方正公文小标宋" w:cs="方正公文小标宋"/>
          <w:color w:val="auto"/>
          <w:kern w:val="0"/>
          <w:sz w:val="48"/>
          <w:szCs w:val="48"/>
          <w:highlight w:val="none"/>
          <w:lang w:val="en-US" w:eastAsia="zh-CN" w:bidi="ar"/>
        </w:rPr>
        <w:t>评价技术服务采购文件</w:t>
      </w:r>
    </w:p>
    <w:p>
      <w:pPr>
        <w:pStyle w:val="8"/>
        <w:rPr>
          <w:rFonts w:hint="eastAsia" w:ascii="方正小标宋简体" w:hAnsi="方正小标宋简体" w:eastAsia="方正小标宋简体" w:cs="方正小标宋简体"/>
          <w:sz w:val="48"/>
          <w:szCs w:val="48"/>
          <w:highlight w:val="none"/>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964" w:firstLineChars="200"/>
        <w:jc w:val="left"/>
        <w:rPr>
          <w:rFonts w:hint="eastAsia" w:ascii="方正小标宋简体" w:hAnsi="方正小标宋简体" w:eastAsia="方正小标宋简体" w:cs="方正小标宋简体"/>
          <w:b/>
          <w:sz w:val="48"/>
          <w:szCs w:val="48"/>
          <w:highlight w:val="none"/>
        </w:rPr>
      </w:pPr>
    </w:p>
    <w:p>
      <w:pPr>
        <w:pStyle w:val="8"/>
        <w:rPr>
          <w:rFonts w:hint="eastAsia" w:ascii="方正小标宋简体" w:hAnsi="方正小标宋简体" w:eastAsia="方正小标宋简体" w:cs="方正小标宋简体"/>
          <w:b/>
          <w:sz w:val="48"/>
          <w:szCs w:val="48"/>
          <w:highlight w:val="none"/>
        </w:rPr>
      </w:pPr>
    </w:p>
    <w:p>
      <w:pPr>
        <w:pStyle w:val="8"/>
        <w:rPr>
          <w:rFonts w:hint="eastAsia" w:ascii="方正小标宋简体" w:hAnsi="方正小标宋简体" w:eastAsia="方正小标宋简体" w:cs="方正小标宋简体"/>
          <w:b/>
          <w:sz w:val="48"/>
          <w:szCs w:val="48"/>
          <w:highlight w:val="none"/>
        </w:rPr>
      </w:pPr>
    </w:p>
    <w:p>
      <w:pPr>
        <w:rPr>
          <w:rFonts w:hint="eastAsia" w:ascii="仿宋" w:hAnsi="仿宋" w:eastAsia="仿宋" w:cs="仿宋"/>
          <w:b/>
          <w:sz w:val="36"/>
          <w:szCs w:val="36"/>
          <w:highlight w:val="none"/>
        </w:rPr>
      </w:pPr>
    </w:p>
    <w:p>
      <w:pPr>
        <w:pStyle w:val="22"/>
        <w:rPr>
          <w:rFonts w:hint="eastAsia" w:ascii="仿宋" w:hAnsi="仿宋" w:eastAsia="仿宋" w:cs="仿宋"/>
          <w:b/>
          <w:sz w:val="36"/>
          <w:szCs w:val="36"/>
          <w:highlight w:val="none"/>
        </w:rPr>
      </w:pPr>
    </w:p>
    <w:p>
      <w:pPr>
        <w:pStyle w:val="22"/>
        <w:rPr>
          <w:rFonts w:hint="eastAsia" w:ascii="仿宋" w:hAnsi="仿宋" w:eastAsia="仿宋" w:cs="仿宋"/>
          <w:b/>
          <w:sz w:val="36"/>
          <w:szCs w:val="36"/>
          <w:highlight w:val="none"/>
        </w:rPr>
      </w:pPr>
    </w:p>
    <w:p>
      <w:pPr>
        <w:pStyle w:val="22"/>
        <w:rPr>
          <w:rFonts w:hint="eastAsia" w:ascii="仿宋" w:hAnsi="仿宋" w:eastAsia="仿宋" w:cs="仿宋"/>
          <w:b/>
          <w:sz w:val="36"/>
          <w:szCs w:val="36"/>
          <w:highlight w:val="none"/>
        </w:rPr>
      </w:pPr>
    </w:p>
    <w:p>
      <w:pPr>
        <w:pStyle w:val="22"/>
        <w:rPr>
          <w:rFonts w:hint="eastAsia" w:ascii="楷体_GB2312" w:hAnsi="楷体_GB2312" w:eastAsia="楷体_GB2312" w:cs="楷体_GB2312"/>
          <w:b/>
          <w:sz w:val="36"/>
          <w:szCs w:val="36"/>
          <w:highlight w:val="none"/>
        </w:rPr>
      </w:pPr>
    </w:p>
    <w:p>
      <w:pPr>
        <w:pageBreakBefore w:val="0"/>
        <w:kinsoku/>
        <w:overflowPunct/>
        <w:topLinePunct w:val="0"/>
        <w:autoSpaceDE/>
        <w:autoSpaceDN/>
        <w:bidi w:val="0"/>
        <w:adjustRightInd/>
        <w:spacing w:line="360" w:lineRule="auto"/>
        <w:textAlignment w:val="auto"/>
        <w:rPr>
          <w:rFonts w:hint="eastAsia" w:ascii="楷体_GB2312" w:hAnsi="楷体_GB2312" w:eastAsia="楷体_GB2312" w:cs="楷体_GB2312"/>
          <w:b/>
          <w:sz w:val="30"/>
          <w:szCs w:val="30"/>
          <w:highlight w:val="none"/>
        </w:rPr>
      </w:pPr>
    </w:p>
    <w:p>
      <w:pPr>
        <w:keepNext w:val="0"/>
        <w:keepLines w:val="0"/>
        <w:pageBreakBefore w:val="0"/>
        <w:widowControl w:val="0"/>
        <w:kinsoku/>
        <w:wordWrap/>
        <w:overflowPunct/>
        <w:topLinePunct w:val="0"/>
        <w:autoSpaceDE/>
        <w:autoSpaceDN/>
        <w:bidi w:val="0"/>
        <w:adjustRightInd/>
        <w:snapToGrid/>
        <w:spacing w:line="720" w:lineRule="auto"/>
        <w:ind w:left="2860" w:leftChars="600" w:hanging="1600" w:hangingChars="5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项目名称：贵州省高标准农田建设项目耕地质量评价技术服务</w:t>
      </w:r>
    </w:p>
    <w:p>
      <w:pPr>
        <w:keepNext w:val="0"/>
        <w:keepLines w:val="0"/>
        <w:pageBreakBefore w:val="0"/>
        <w:widowControl w:val="0"/>
        <w:kinsoku/>
        <w:wordWrap/>
        <w:overflowPunct/>
        <w:topLinePunct w:val="0"/>
        <w:autoSpaceDE/>
        <w:autoSpaceDN/>
        <w:bidi w:val="0"/>
        <w:adjustRightInd/>
        <w:snapToGrid/>
        <w:spacing w:line="720" w:lineRule="auto"/>
        <w:ind w:leftChars="6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采 购 人：贵州省农业农村厅</w:t>
      </w:r>
    </w:p>
    <w:p>
      <w:pPr>
        <w:keepNext w:val="0"/>
        <w:keepLines w:val="0"/>
        <w:pageBreakBefore w:val="0"/>
        <w:widowControl w:val="0"/>
        <w:kinsoku/>
        <w:wordWrap/>
        <w:overflowPunct/>
        <w:topLinePunct w:val="0"/>
        <w:autoSpaceDE/>
        <w:autoSpaceDN/>
        <w:bidi w:val="0"/>
        <w:adjustRightInd/>
        <w:snapToGrid/>
        <w:spacing w:line="720" w:lineRule="auto"/>
        <w:ind w:left="2860" w:leftChars="600" w:hanging="1600" w:hangingChars="5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日    期：2025年7月</w:t>
      </w:r>
    </w:p>
    <w:p>
      <w:pPr>
        <w:pStyle w:val="8"/>
        <w:pageBreakBefore w:val="0"/>
        <w:kinsoku/>
        <w:overflowPunct/>
        <w:topLinePunct w:val="0"/>
        <w:autoSpaceDE/>
        <w:autoSpaceDN/>
        <w:bidi w:val="0"/>
        <w:adjustRightInd/>
        <w:spacing w:line="360" w:lineRule="auto"/>
        <w:textAlignment w:val="auto"/>
        <w:rPr>
          <w:rFonts w:hint="eastAsia" w:ascii="楷体_GB2312" w:hAnsi="楷体_GB2312" w:eastAsia="楷体_GB2312" w:cs="楷体_GB2312"/>
          <w:highlight w:val="none"/>
        </w:rPr>
      </w:pPr>
    </w:p>
    <w:p>
      <w:pPr>
        <w:rPr>
          <w:rFonts w:hint="eastAsia" w:ascii="仿宋" w:hAnsi="仿宋" w:eastAsia="仿宋" w:cs="仿宋"/>
          <w:b/>
          <w:sz w:val="36"/>
          <w:szCs w:val="36"/>
          <w:highlight w:val="none"/>
        </w:rPr>
      </w:pPr>
    </w:p>
    <w:p>
      <w:pPr>
        <w:pageBreakBefore w:val="0"/>
        <w:kinsoku/>
        <w:overflowPunct/>
        <w:topLinePunct w:val="0"/>
        <w:autoSpaceDE/>
        <w:autoSpaceDN/>
        <w:bidi w:val="0"/>
        <w:adjustRightInd/>
        <w:spacing w:line="360" w:lineRule="auto"/>
        <w:jc w:val="center"/>
        <w:textAlignment w:val="auto"/>
        <w:rPr>
          <w:rFonts w:hint="eastAsia" w:ascii="仿宋" w:hAnsi="仿宋" w:eastAsia="仿宋" w:cs="仿宋"/>
          <w:b/>
          <w:sz w:val="44"/>
          <w:szCs w:val="4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sz w:val="44"/>
          <w:szCs w:val="44"/>
          <w:highlight w:val="none"/>
        </w:rPr>
      </w:pPr>
      <w:bookmarkStart w:id="0" w:name="_Toc11306"/>
      <w:bookmarkStart w:id="1" w:name="_Toc22324"/>
      <w:r>
        <w:rPr>
          <w:rFonts w:hint="eastAsia" w:ascii="仿宋" w:hAnsi="仿宋" w:eastAsia="仿宋" w:cs="仿宋"/>
          <w:b/>
          <w:bCs/>
          <w:kern w:val="2"/>
          <w:sz w:val="44"/>
          <w:szCs w:val="44"/>
          <w:highlight w:val="none"/>
          <w:lang w:val="en-US" w:eastAsia="zh-CN" w:bidi="ar-SA"/>
        </w:rPr>
        <w:t>目 录</w:t>
      </w:r>
      <w:bookmarkEnd w:id="0"/>
      <w:bookmarkEnd w:id="1"/>
    </w:p>
    <w:p>
      <w:pPr>
        <w:pStyle w:val="13"/>
        <w:tabs>
          <w:tab w:val="right" w:leader="dot" w:pos="9746"/>
        </w:tabs>
        <w:rPr>
          <w:sz w:val="32"/>
          <w:szCs w:val="40"/>
        </w:rPr>
      </w:pPr>
      <w:r>
        <w:rPr>
          <w:rFonts w:hint="eastAsia" w:ascii="仿宋" w:hAnsi="仿宋" w:eastAsia="仿宋" w:cs="仿宋"/>
          <w:b/>
          <w:bCs/>
          <w:sz w:val="48"/>
          <w:szCs w:val="48"/>
          <w:highlight w:val="none"/>
        </w:rPr>
        <w:fldChar w:fldCharType="begin"/>
      </w:r>
      <w:r>
        <w:rPr>
          <w:rFonts w:hint="eastAsia" w:ascii="仿宋" w:hAnsi="仿宋" w:eastAsia="仿宋" w:cs="仿宋"/>
          <w:b/>
          <w:bCs/>
          <w:sz w:val="48"/>
          <w:szCs w:val="48"/>
          <w:highlight w:val="none"/>
        </w:rPr>
        <w:instrText xml:space="preserve">TOC \o "1-1" \h \u </w:instrText>
      </w:r>
      <w:r>
        <w:rPr>
          <w:rFonts w:hint="eastAsia" w:ascii="仿宋" w:hAnsi="仿宋" w:eastAsia="仿宋" w:cs="仿宋"/>
          <w:b/>
          <w:bCs/>
          <w:sz w:val="48"/>
          <w:szCs w:val="48"/>
          <w:highlight w:val="none"/>
        </w:rPr>
        <w:fldChar w:fldCharType="separate"/>
      </w: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_Toc11306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48"/>
          <w:highlight w:val="none"/>
          <w:lang w:val="en-US" w:eastAsia="zh-CN" w:bidi="ar-SA"/>
        </w:rPr>
        <w:t>目 录</w:t>
      </w:r>
      <w:r>
        <w:rPr>
          <w:sz w:val="32"/>
          <w:szCs w:val="40"/>
        </w:rPr>
        <w:tab/>
      </w:r>
      <w:r>
        <w:rPr>
          <w:sz w:val="32"/>
          <w:szCs w:val="40"/>
        </w:rPr>
        <w:fldChar w:fldCharType="begin"/>
      </w:r>
      <w:r>
        <w:rPr>
          <w:sz w:val="32"/>
          <w:szCs w:val="40"/>
        </w:rPr>
        <w:instrText xml:space="preserve"> PAGEREF _Toc11306 \h </w:instrText>
      </w:r>
      <w:r>
        <w:rPr>
          <w:sz w:val="32"/>
          <w:szCs w:val="40"/>
        </w:rPr>
        <w:fldChar w:fldCharType="separate"/>
      </w:r>
      <w:r>
        <w:rPr>
          <w:sz w:val="32"/>
          <w:szCs w:val="40"/>
        </w:rPr>
        <w:t>2</w:t>
      </w:r>
      <w:r>
        <w:rPr>
          <w:sz w:val="32"/>
          <w:szCs w:val="40"/>
        </w:rPr>
        <w:fldChar w:fldCharType="end"/>
      </w:r>
      <w:r>
        <w:rPr>
          <w:rFonts w:hint="eastAsia" w:ascii="仿宋" w:hAnsi="仿宋" w:eastAsia="仿宋" w:cs="仿宋"/>
          <w:bCs/>
          <w:sz w:val="32"/>
          <w:szCs w:val="48"/>
          <w:highlight w:val="none"/>
        </w:rPr>
        <w:fldChar w:fldCharType="end"/>
      </w:r>
    </w:p>
    <w:p>
      <w:pPr>
        <w:pStyle w:val="13"/>
        <w:tabs>
          <w:tab w:val="right" w:leader="dot" w:pos="9746"/>
        </w:tabs>
        <w:rPr>
          <w:sz w:val="32"/>
          <w:szCs w:val="40"/>
        </w:rPr>
      </w:pP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_Toc28621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72"/>
          <w:highlight w:val="none"/>
          <w:lang w:val="en-US" w:eastAsia="zh-CN" w:bidi="ar-SA"/>
        </w:rPr>
        <w:t>第一章  采购邀请</w:t>
      </w:r>
      <w:r>
        <w:rPr>
          <w:sz w:val="32"/>
          <w:szCs w:val="40"/>
        </w:rPr>
        <w:tab/>
      </w:r>
      <w:r>
        <w:rPr>
          <w:sz w:val="32"/>
          <w:szCs w:val="40"/>
        </w:rPr>
        <w:fldChar w:fldCharType="begin"/>
      </w:r>
      <w:r>
        <w:rPr>
          <w:sz w:val="32"/>
          <w:szCs w:val="40"/>
        </w:rPr>
        <w:instrText xml:space="preserve"> PAGEREF _Toc28621 \h </w:instrText>
      </w:r>
      <w:r>
        <w:rPr>
          <w:sz w:val="32"/>
          <w:szCs w:val="40"/>
        </w:rPr>
        <w:fldChar w:fldCharType="separate"/>
      </w:r>
      <w:r>
        <w:rPr>
          <w:sz w:val="32"/>
          <w:szCs w:val="40"/>
        </w:rPr>
        <w:t>1</w:t>
      </w:r>
      <w:r>
        <w:rPr>
          <w:sz w:val="32"/>
          <w:szCs w:val="40"/>
        </w:rPr>
        <w:fldChar w:fldCharType="end"/>
      </w:r>
      <w:r>
        <w:rPr>
          <w:rFonts w:hint="eastAsia" w:ascii="仿宋" w:hAnsi="仿宋" w:eastAsia="仿宋" w:cs="仿宋"/>
          <w:bCs/>
          <w:sz w:val="32"/>
          <w:szCs w:val="48"/>
          <w:highlight w:val="none"/>
        </w:rPr>
        <w:fldChar w:fldCharType="end"/>
      </w:r>
    </w:p>
    <w:p>
      <w:pPr>
        <w:pStyle w:val="13"/>
        <w:tabs>
          <w:tab w:val="right" w:leader="dot" w:pos="9746"/>
        </w:tabs>
        <w:rPr>
          <w:sz w:val="32"/>
          <w:szCs w:val="40"/>
        </w:rPr>
      </w:pP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_Toc10783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72"/>
          <w:highlight w:val="none"/>
          <w:lang w:val="en-US" w:eastAsia="zh-CN" w:bidi="ar-SA"/>
        </w:rPr>
        <w:t>第二章  供应商须知</w:t>
      </w:r>
      <w:r>
        <w:rPr>
          <w:sz w:val="32"/>
          <w:szCs w:val="40"/>
        </w:rPr>
        <w:tab/>
      </w:r>
      <w:r>
        <w:rPr>
          <w:sz w:val="32"/>
          <w:szCs w:val="40"/>
        </w:rPr>
        <w:fldChar w:fldCharType="begin"/>
      </w:r>
      <w:r>
        <w:rPr>
          <w:sz w:val="32"/>
          <w:szCs w:val="40"/>
        </w:rPr>
        <w:instrText xml:space="preserve"> PAGEREF _Toc10783 \h </w:instrText>
      </w:r>
      <w:r>
        <w:rPr>
          <w:sz w:val="32"/>
          <w:szCs w:val="40"/>
        </w:rPr>
        <w:fldChar w:fldCharType="separate"/>
      </w:r>
      <w:r>
        <w:rPr>
          <w:sz w:val="32"/>
          <w:szCs w:val="40"/>
        </w:rPr>
        <w:t>3</w:t>
      </w:r>
      <w:r>
        <w:rPr>
          <w:sz w:val="32"/>
          <w:szCs w:val="40"/>
        </w:rPr>
        <w:fldChar w:fldCharType="end"/>
      </w:r>
      <w:r>
        <w:rPr>
          <w:rFonts w:hint="eastAsia" w:ascii="仿宋" w:hAnsi="仿宋" w:eastAsia="仿宋" w:cs="仿宋"/>
          <w:bCs/>
          <w:sz w:val="32"/>
          <w:szCs w:val="48"/>
          <w:highlight w:val="none"/>
        </w:rPr>
        <w:fldChar w:fldCharType="end"/>
      </w:r>
    </w:p>
    <w:p>
      <w:pPr>
        <w:pStyle w:val="13"/>
        <w:tabs>
          <w:tab w:val="right" w:leader="dot" w:pos="9746"/>
        </w:tabs>
        <w:rPr>
          <w:sz w:val="32"/>
          <w:szCs w:val="40"/>
        </w:rPr>
      </w:pP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_Toc30760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72"/>
          <w:highlight w:val="none"/>
          <w:lang w:val="en-US" w:eastAsia="zh-CN" w:bidi="ar-SA"/>
        </w:rPr>
        <w:t>第三章 评标原则和办法</w:t>
      </w:r>
      <w:r>
        <w:rPr>
          <w:sz w:val="32"/>
          <w:szCs w:val="40"/>
        </w:rPr>
        <w:tab/>
      </w:r>
      <w:r>
        <w:rPr>
          <w:sz w:val="32"/>
          <w:szCs w:val="40"/>
        </w:rPr>
        <w:fldChar w:fldCharType="begin"/>
      </w:r>
      <w:r>
        <w:rPr>
          <w:sz w:val="32"/>
          <w:szCs w:val="40"/>
        </w:rPr>
        <w:instrText xml:space="preserve"> PAGEREF _Toc30760 \h </w:instrText>
      </w:r>
      <w:r>
        <w:rPr>
          <w:sz w:val="32"/>
          <w:szCs w:val="40"/>
        </w:rPr>
        <w:fldChar w:fldCharType="separate"/>
      </w:r>
      <w:r>
        <w:rPr>
          <w:sz w:val="32"/>
          <w:szCs w:val="40"/>
        </w:rPr>
        <w:t>5</w:t>
      </w:r>
      <w:r>
        <w:rPr>
          <w:sz w:val="32"/>
          <w:szCs w:val="40"/>
        </w:rPr>
        <w:fldChar w:fldCharType="end"/>
      </w:r>
      <w:r>
        <w:rPr>
          <w:rFonts w:hint="eastAsia" w:ascii="仿宋" w:hAnsi="仿宋" w:eastAsia="仿宋" w:cs="仿宋"/>
          <w:bCs/>
          <w:sz w:val="32"/>
          <w:szCs w:val="48"/>
          <w:highlight w:val="none"/>
        </w:rPr>
        <w:fldChar w:fldCharType="end"/>
      </w:r>
    </w:p>
    <w:p>
      <w:pPr>
        <w:pStyle w:val="13"/>
        <w:tabs>
          <w:tab w:val="right" w:leader="dot" w:pos="9746"/>
        </w:tabs>
        <w:rPr>
          <w:sz w:val="32"/>
          <w:szCs w:val="40"/>
        </w:rPr>
      </w:pP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_Toc12546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72"/>
          <w:highlight w:val="none"/>
          <w:lang w:val="en-US" w:eastAsia="zh-CN" w:bidi="ar-SA"/>
        </w:rPr>
        <w:t>第四章 响应文件内容及格式</w:t>
      </w:r>
      <w:r>
        <w:rPr>
          <w:sz w:val="32"/>
          <w:szCs w:val="40"/>
        </w:rPr>
        <w:tab/>
      </w:r>
      <w:r>
        <w:rPr>
          <w:sz w:val="32"/>
          <w:szCs w:val="40"/>
        </w:rPr>
        <w:fldChar w:fldCharType="begin"/>
      </w:r>
      <w:r>
        <w:rPr>
          <w:sz w:val="32"/>
          <w:szCs w:val="40"/>
        </w:rPr>
        <w:instrText xml:space="preserve"> PAGEREF _Toc12546 \h </w:instrText>
      </w:r>
      <w:r>
        <w:rPr>
          <w:sz w:val="32"/>
          <w:szCs w:val="40"/>
        </w:rPr>
        <w:fldChar w:fldCharType="separate"/>
      </w:r>
      <w:r>
        <w:rPr>
          <w:sz w:val="32"/>
          <w:szCs w:val="40"/>
        </w:rPr>
        <w:t>11</w:t>
      </w:r>
      <w:r>
        <w:rPr>
          <w:sz w:val="32"/>
          <w:szCs w:val="40"/>
        </w:rPr>
        <w:fldChar w:fldCharType="end"/>
      </w:r>
      <w:r>
        <w:rPr>
          <w:rFonts w:hint="eastAsia" w:ascii="仿宋" w:hAnsi="仿宋" w:eastAsia="仿宋" w:cs="仿宋"/>
          <w:bCs/>
          <w:sz w:val="32"/>
          <w:szCs w:val="48"/>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auto"/>
        <w:jc w:val="distribute"/>
        <w:textAlignment w:val="auto"/>
        <w:rPr>
          <w:rFonts w:hint="eastAsia" w:ascii="仿宋" w:hAnsi="仿宋" w:eastAsia="仿宋" w:cs="仿宋"/>
          <w:b/>
          <w:sz w:val="48"/>
          <w:szCs w:val="48"/>
          <w:highlight w:val="none"/>
        </w:rPr>
      </w:pPr>
      <w:r>
        <w:rPr>
          <w:rFonts w:hint="eastAsia" w:ascii="仿宋" w:hAnsi="仿宋" w:eastAsia="仿宋" w:cs="仿宋"/>
          <w:bCs/>
          <w:sz w:val="32"/>
          <w:szCs w:val="48"/>
          <w:highlight w:val="none"/>
        </w:rPr>
        <w:fldChar w:fldCharType="end"/>
      </w:r>
    </w:p>
    <w:p>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pPr>
        <w:pStyle w:val="8"/>
        <w:rPr>
          <w:rFonts w:hint="eastAsia" w:ascii="仿宋" w:hAnsi="仿宋" w:eastAsia="仿宋" w:cs="仿宋"/>
          <w:b/>
          <w:sz w:val="36"/>
          <w:szCs w:val="36"/>
          <w:highlight w:val="none"/>
        </w:rPr>
      </w:pPr>
    </w:p>
    <w:p>
      <w:pPr>
        <w:pStyle w:val="8"/>
        <w:rPr>
          <w:rFonts w:hint="eastAsia" w:ascii="仿宋" w:hAnsi="仿宋" w:eastAsia="仿宋" w:cs="仿宋"/>
          <w:b/>
          <w:sz w:val="36"/>
          <w:szCs w:val="36"/>
          <w:highlight w:val="none"/>
        </w:rPr>
      </w:pPr>
    </w:p>
    <w:p>
      <w:pPr>
        <w:pStyle w:val="8"/>
        <w:rPr>
          <w:rFonts w:hint="eastAsia" w:ascii="仿宋" w:hAnsi="仿宋" w:eastAsia="仿宋" w:cs="仿宋"/>
          <w:b/>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方正小标宋简体" w:hAnsi="方正小标宋简体" w:eastAsia="方正小标宋简体" w:cs="方正小标宋简体"/>
          <w:b/>
          <w:bCs/>
          <w:kern w:val="2"/>
          <w:sz w:val="44"/>
          <w:szCs w:val="44"/>
          <w:highlight w:val="none"/>
          <w:lang w:val="en-US" w:eastAsia="zh-CN" w:bidi="ar-SA"/>
        </w:rPr>
      </w:pPr>
      <w:bookmarkStart w:id="2" w:name="_Toc28621"/>
      <w:r>
        <w:rPr>
          <w:rFonts w:hint="eastAsia" w:ascii="方正小标宋简体" w:hAnsi="方正小标宋简体" w:eastAsia="方正小标宋简体" w:cs="方正小标宋简体"/>
          <w:b/>
          <w:bCs/>
          <w:kern w:val="2"/>
          <w:sz w:val="44"/>
          <w:szCs w:val="44"/>
          <w:highlight w:val="none"/>
          <w:lang w:val="en-US" w:eastAsia="zh-CN" w:bidi="ar-SA"/>
        </w:rPr>
        <w:t>第一章  采购邀请</w:t>
      </w:r>
      <w:bookmarkEnd w:id="2"/>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各相关单位：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贯彻落实《中共中央办公厅国务院办公厅关于加强耕地保护提升耕地质量完善占补平衡的意见》文件精神，根据《高标准农田建设质量管理办法》文件要求，按照省政府工作部署，贵州省农业农村厅拟开展《贵州省高标准农田建设项目耕地质量评价》课题研究。拟采购第三方专业技术机构开展相关技术服务，欢迎符合条件的供应商参加，现将有关事宜公告如下：</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一、采购内容</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1.现状分析</w:t>
      </w:r>
    </w:p>
    <w:p>
      <w:pPr>
        <w:pStyle w:val="8"/>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收集耕地质量评价相关资料，包括项目规划、建设内容、投资规模等。实地调研贵州省不同地区的高标准农田建设项目，了解项目实施情况和存在的问题。</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2.实地调研与</w:t>
      </w:r>
      <w:r>
        <w:rPr>
          <w:rFonts w:hint="eastAsia" w:ascii="仿宋" w:hAnsi="仿宋" w:eastAsia="仿宋" w:cs="仿宋"/>
          <w:kern w:val="2"/>
          <w:sz w:val="28"/>
          <w:szCs w:val="28"/>
          <w:highlight w:val="none"/>
          <w:lang w:val="en-US" w:eastAsia="zh-CN" w:bidi="ar-SA"/>
        </w:rPr>
        <w:t>取土送检</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确定耕地质量评价的基本原则和方法。从土壤理化性质、农田基础设施、生态环境等方面选取评价指标；运用层次分析法等方法确定各指标的权重；耕地质量评价数据采集与处理制定耕地质量评价数据采集方案，明确采样点的布设方法和数量；采集项目区建设前后的土壤样本、水样等，测定各项指标数据；对采集到的数据进行整理、分析和处理，确保数据的准确性和可靠性；</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3.数据分析及方法研究</w:t>
      </w:r>
    </w:p>
    <w:p>
      <w:pPr>
        <w:pStyle w:val="8"/>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对贵州省典型高标准农田建设项目区的耕地质量进行评价。比较建设前后耕地质量的变化情况，分析高标准农田建设项目对耕地质量的影响。</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4.耕地质量评价指标选取与综合评价</w:t>
      </w:r>
    </w:p>
    <w:p>
      <w:pPr>
        <w:pStyle w:val="8"/>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运用评价方法，对贵州省典型高标准农田建设项目区的耕地质量进行评价。比较建设前后耕地质量的变化情况，分析高标准农田建设项目对耕地质量的影响。</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5．</w:t>
      </w:r>
      <w:r>
        <w:rPr>
          <w:rFonts w:hint="eastAsia" w:ascii="仿宋" w:hAnsi="仿宋" w:eastAsia="仿宋" w:cs="仿宋"/>
          <w:kern w:val="2"/>
          <w:sz w:val="28"/>
          <w:szCs w:val="28"/>
          <w:highlight w:val="none"/>
          <w:lang w:val="en-US" w:eastAsia="zh-CN" w:bidi="ar-SA"/>
        </w:rPr>
        <w:t>编制评价报告</w:t>
      </w:r>
    </w:p>
    <w:p>
      <w:pPr>
        <w:pStyle w:val="8"/>
        <w:ind w:firstLine="560" w:firstLineChars="200"/>
        <w:rPr>
          <w:rFonts w:hint="eastAsia"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根据评价结果，</w:t>
      </w:r>
      <w:r>
        <w:rPr>
          <w:rFonts w:hint="eastAsia" w:ascii="仿宋" w:hAnsi="仿宋" w:eastAsia="仿宋" w:cs="仿宋"/>
          <w:kern w:val="2"/>
          <w:sz w:val="28"/>
          <w:szCs w:val="28"/>
          <w:highlight w:val="none"/>
          <w:lang w:val="en-US" w:eastAsia="zh-CN" w:bidi="ar-SA"/>
        </w:rPr>
        <w:t>编制评价报告，</w:t>
      </w:r>
      <w:r>
        <w:rPr>
          <w:rFonts w:hint="default" w:ascii="仿宋" w:hAnsi="仿宋" w:eastAsia="仿宋" w:cs="仿宋"/>
          <w:kern w:val="2"/>
          <w:sz w:val="28"/>
          <w:szCs w:val="28"/>
          <w:highlight w:val="none"/>
          <w:lang w:val="en-US" w:eastAsia="zh-CN" w:bidi="ar-SA"/>
        </w:rPr>
        <w:t>提出针对性的提升贵州省高标准农田建设项目耕地质量的对策建议</w:t>
      </w:r>
      <w:r>
        <w:rPr>
          <w:rFonts w:hint="eastAsia" w:ascii="仿宋" w:hAnsi="仿宋" w:eastAsia="仿宋" w:cs="仿宋"/>
          <w:kern w:val="2"/>
          <w:sz w:val="28"/>
          <w:szCs w:val="28"/>
          <w:highlight w:val="none"/>
          <w:lang w:val="en-US" w:eastAsia="zh-CN" w:bidi="ar-SA"/>
        </w:rPr>
        <w:t>，</w:t>
      </w:r>
      <w:r>
        <w:rPr>
          <w:rFonts w:hint="default" w:ascii="仿宋" w:hAnsi="仿宋" w:eastAsia="仿宋" w:cs="仿宋"/>
          <w:kern w:val="2"/>
          <w:sz w:val="28"/>
          <w:szCs w:val="28"/>
          <w:highlight w:val="none"/>
          <w:lang w:val="en-US" w:eastAsia="zh-CN" w:bidi="ar-SA"/>
        </w:rPr>
        <w:t>对对策建议的可行性进行分析和论证。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二、资金预算</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贵州省高标准农田建设项目耕地质量评价技术服务采购预算金额为：37万元。</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三、供应商资格要求</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1.具有独立承担民事责任的能力，具有土地规划乙级或测绘甲级以上（含）资质、提供营业执照及资质证书复印件。</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2.具有良好的商业信誉和健全的财务会计制度，提供2023年或者2024年经第三方审计的审计报告复印件。</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3.具有履行合同所必需的设备和专业技术能力，供应商根据本次服务内容自行提供。</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4.有依法缴纳税收和社会保障资金的良好记录，提供2024年6月至今任意三个月依法缴纳税收和社保的相关证明材料。</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四、获取采购文件的时间、方式</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1.获取采购文件的时间：2025年7月5日至2025年7月7日</w:t>
      </w:r>
      <w:r>
        <w:rPr>
          <w:rFonts w:hint="eastAsia" w:ascii="仿宋" w:hAnsi="仿宋" w:eastAsia="仿宋" w:cs="仿宋"/>
          <w:kern w:val="2"/>
          <w:sz w:val="28"/>
          <w:szCs w:val="28"/>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zh-CN" w:eastAsia="zh-CN" w:bidi="ar-SA"/>
        </w:rPr>
        <w:t>2.获取</w:t>
      </w:r>
      <w:r>
        <w:rPr>
          <w:rFonts w:hint="eastAsia" w:ascii="仿宋" w:hAnsi="仿宋" w:eastAsia="仿宋" w:cs="仿宋"/>
          <w:kern w:val="2"/>
          <w:sz w:val="28"/>
          <w:szCs w:val="28"/>
          <w:highlight w:val="none"/>
          <w:lang w:val="en-US" w:eastAsia="zh-CN" w:bidi="ar-SA"/>
        </w:rPr>
        <w:t>采购文件</w:t>
      </w:r>
      <w:r>
        <w:rPr>
          <w:rFonts w:hint="eastAsia" w:ascii="仿宋" w:hAnsi="仿宋" w:eastAsia="仿宋" w:cs="仿宋"/>
          <w:kern w:val="2"/>
          <w:sz w:val="28"/>
          <w:szCs w:val="28"/>
          <w:highlight w:val="none"/>
          <w:lang w:val="zh-CN" w:eastAsia="zh-CN" w:bidi="ar-SA"/>
        </w:rPr>
        <w:t>的方式：</w:t>
      </w:r>
      <w:r>
        <w:rPr>
          <w:rFonts w:hint="eastAsia" w:ascii="仿宋" w:hAnsi="仿宋" w:eastAsia="仿宋" w:cs="仿宋"/>
          <w:kern w:val="2"/>
          <w:sz w:val="28"/>
          <w:szCs w:val="28"/>
          <w:highlight w:val="none"/>
          <w:lang w:val="en-US" w:eastAsia="zh-CN" w:bidi="ar-SA"/>
        </w:rPr>
        <w:t>符合条件并有意愿的供应商在贵州省农业农村</w:t>
      </w:r>
      <w:bookmarkStart w:id="16" w:name="_GoBack"/>
      <w:bookmarkEnd w:id="16"/>
      <w:r>
        <w:rPr>
          <w:rFonts w:hint="eastAsia" w:ascii="仿宋" w:hAnsi="仿宋" w:eastAsia="仿宋" w:cs="仿宋"/>
          <w:kern w:val="2"/>
          <w:sz w:val="28"/>
          <w:szCs w:val="28"/>
          <w:highlight w:val="none"/>
          <w:lang w:val="en-US" w:eastAsia="zh-CN" w:bidi="ar-SA"/>
        </w:rPr>
        <w:t>厅网站自行下载。</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五、响应文件递交</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1.截止时间：响应文件须于2025年7月9日10时00分（北京时间）前送达，逾期送达或未送达指定地点的响应文件，采购人不予受理。</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2.响应文件提交地点：贵阳市云岩区瑞金北路1号8楼811办公室</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六、本次采购联系事项</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1.联 系 人： 周  勇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2.电    话： 0851-86571437</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color w:val="auto"/>
          <w:sz w:val="24"/>
          <w:szCs w:val="24"/>
          <w:highlight w:val="none"/>
          <w:shd w:val="clear" w:color="auto" w:fill="auto"/>
        </w:rPr>
      </w:pP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方正小标宋简体" w:hAnsi="方正小标宋简体" w:eastAsia="方正小标宋简体" w:cs="方正小标宋简体"/>
          <w:b/>
          <w:bCs/>
          <w:kern w:val="2"/>
          <w:sz w:val="44"/>
          <w:szCs w:val="44"/>
          <w:highlight w:val="none"/>
          <w:lang w:val="en-US" w:eastAsia="zh-CN" w:bidi="ar-SA"/>
        </w:rPr>
      </w:pPr>
      <w:bookmarkStart w:id="3" w:name="_Toc10783"/>
      <w:r>
        <w:rPr>
          <w:rFonts w:hint="eastAsia" w:ascii="方正小标宋简体" w:hAnsi="方正小标宋简体" w:eastAsia="方正小标宋简体" w:cs="方正小标宋简体"/>
          <w:b/>
          <w:bCs/>
          <w:kern w:val="2"/>
          <w:sz w:val="44"/>
          <w:szCs w:val="44"/>
          <w:highlight w:val="none"/>
          <w:lang w:val="en-US" w:eastAsia="zh-CN" w:bidi="ar-SA"/>
        </w:rPr>
        <w:t>第二章  供应商须知</w:t>
      </w:r>
      <w:bookmarkEnd w:id="3"/>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一、供应商资质要求</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1.具有独立承担民事责任的能力，具有土地规划乙级或测绘甲级以上（含）资质、提供营业执照及资质证书复印件。</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2.具有良好的商业信誉和健全的财务会计制度，提供2023年或者2024年经第三方审计的审计报告复印件。</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3.提供具备履行合同所必需的设备和专业技术能力的证明材料（自行承诺）。</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4.有依法缴纳税收和社会保障资金的良好记录，提供2024年6月至今任意三个月依法缴纳税收和社保的相关证明材料。</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二、响应文件的编制及递交</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1.供应商应认真阅读采购文件的所有内容，其响应文件须对采购文件作出实质性响应，并保证提供的全部资料的真实性和有效性，否则其投标将被拒绝；</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供应商应准备响应文件正本一份、副本一份。将其密封完整，并加盖投标单位公章，响应文件外层封套上应清楚地标明投标单位名称、项目名称的字样。任何行间插字、涂改或增删，必须有投标授权代表签字；另需准备法定代表人身份证明书或者法定代表人授权委托书原件一份用于现场身份验证。</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3.供应商应按采购文件提供的格式编写其响应文件并装订成册，供应商不得缺少任何采购文件要求填写的表格或提交的资料，并按要求签字和盖章，否则将作无效投标处理；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三、投标费用</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无论投标过程中的做法和结果如何，供应商自行承担所有与参加投标有关的全部费用，采购人无义务和责任承担上述费用。</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四、无效投标情形</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1.未按照采购文件规定要求密封、签署、盖章的；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2.不具备采购文件中规定资格要求的；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3.不符合法律、法规和采购文件中规定的其他实质性要求的。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五、废标情形</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1.出现影响采购公正的违法、违规行为的；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2.因重大变故，采购任务取消的。</w:t>
      </w:r>
    </w:p>
    <w:p>
      <w:pPr>
        <w:rPr>
          <w:rFonts w:hint="eastAsia" w:ascii="仿宋" w:hAnsi="仿宋" w:eastAsia="仿宋" w:cs="仿宋"/>
          <w:b/>
          <w:bCs/>
          <w:kern w:val="2"/>
          <w:sz w:val="44"/>
          <w:szCs w:val="44"/>
          <w:highlight w:val="none"/>
          <w:lang w:val="en-US" w:eastAsia="zh-CN" w:bidi="ar-SA"/>
        </w:rPr>
      </w:pPr>
      <w:r>
        <w:rPr>
          <w:rFonts w:hint="eastAsia" w:ascii="仿宋" w:hAnsi="仿宋" w:eastAsia="仿宋" w:cs="仿宋"/>
          <w:bCs/>
          <w:color w:val="auto"/>
          <w:sz w:val="28"/>
          <w:szCs w:val="28"/>
          <w:highlight w:val="none"/>
          <w:lang w:val="en-US" w:eastAsia="zh-CN"/>
        </w:rPr>
        <w:br w:type="page"/>
      </w:r>
      <w:bookmarkStart w:id="4" w:name="_Toc30760"/>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方正小标宋简体" w:hAnsi="方正小标宋简体" w:eastAsia="方正小标宋简体" w:cs="方正小标宋简体"/>
          <w:b/>
          <w:bCs/>
          <w:kern w:val="2"/>
          <w:sz w:val="44"/>
          <w:szCs w:val="44"/>
          <w:highlight w:val="none"/>
          <w:lang w:val="en-US" w:eastAsia="zh-CN" w:bidi="ar-SA"/>
        </w:rPr>
      </w:pPr>
      <w:r>
        <w:rPr>
          <w:rFonts w:hint="eastAsia" w:ascii="方正小标宋简体" w:hAnsi="方正小标宋简体" w:eastAsia="方正小标宋简体" w:cs="方正小标宋简体"/>
          <w:b/>
          <w:bCs/>
          <w:kern w:val="2"/>
          <w:sz w:val="44"/>
          <w:szCs w:val="44"/>
          <w:highlight w:val="none"/>
          <w:lang w:val="en-US" w:eastAsia="zh-CN" w:bidi="ar-SA"/>
        </w:rPr>
        <w:t>第三章 评标原则和办法</w:t>
      </w:r>
      <w:bookmarkEnd w:id="4"/>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一、评标原则</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600" w:firstLineChars="200"/>
        <w:jc w:val="left"/>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1.认真贯彻国家有关法律、法规和政策，维护国家利益。</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600" w:firstLineChars="200"/>
        <w:jc w:val="left"/>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 xml:space="preserve">2.维护各方当事人的合法权益。 </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60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30"/>
          <w:szCs w:val="30"/>
          <w:highlight w:val="none"/>
          <w:lang w:val="en-US" w:eastAsia="zh-CN" w:bidi="ar-SA"/>
        </w:rPr>
        <w:t>3.按照采购文件确定的标准和方法，对响应文</w:t>
      </w:r>
      <w:r>
        <w:rPr>
          <w:rFonts w:hint="eastAsia" w:ascii="仿宋" w:hAnsi="仿宋" w:eastAsia="仿宋" w:cs="仿宋"/>
          <w:kern w:val="2"/>
          <w:sz w:val="28"/>
          <w:szCs w:val="28"/>
          <w:highlight w:val="none"/>
          <w:lang w:val="en-US" w:eastAsia="zh-CN" w:bidi="ar-SA"/>
        </w:rPr>
        <w:t>件进行评审和比较。没有纳入采购文件的标准和方法，不得作为采购评标的依据。</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二、评标方法</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1.本次采购采用综合评分法。综合评分法，是指在最大限度地满足采购文件实质性要求前提下，按照采购文件中规定的各项因素进行综合评审后，以采购评审总得分最高的供应商作为中标供应商的评标方法。</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2.综合评分的主要因素是：投标报价、业绩评价、针对本项目的专项服务团队、针对本项目的服务方案及紧急预案等对采购文件的响应程度，以及相应的权值等。</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3.采购时，评标专家组各成员独立对每个有效供应商的响应文件进行评价、打分，然后汇总每个供应商每项评分因素的得分。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三、比选流程</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1.会议签到：参与采购的机构签到并递交响应文件。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2.评标专家组：评标专家组成员由相关处室参加。</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3.宣读纪律：宣读评审纪律和注意事项。</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初步审查：评标专家组依照《资格审查表》所列内容对供应商进行审查，审查通过的供应商进入评分环节。未通过初步审查的响应文件不参与评分和中标候选人推荐。通过资格审查的供应商不足三家的，本项目作废标处理，评标工作结束。</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评分：评标专家组严格按照评分标准逐项对应响应文件进行评分。评分依据为响应文件提供的有效资料。采购文件中未提供的资料、未明确的内容，评标专家组不得以个人的意愿、猜想、推测等方式得出的结论作为评分依据。评标专家组须独立评分，不得相互抄袭评分分值（价格分除外）。</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评分汇总：评标专家组组长将各成员的评分表汇总到评分汇总表，评分汇总表保留两位小数，按最终得分由高至低依次对供应商进行推荐排序。最终得分相同的，按投标报价分由高到低顺序排列，最终得分且投标报价分相同的，按技术和商务优劣顺序排列。评分表交由比选小组组长汇总后，评标专家组成员不得再更改各项打分分值（价格分及总分计算错误除外）。</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7.采购报告：评标专家组根据原始评标记录和评标结果编写的报告。</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四、资格审查</w:t>
      </w:r>
    </w:p>
    <w:p>
      <w:pPr>
        <w:pageBreakBefore w:val="0"/>
        <w:kinsoku/>
        <w:overflowPunct/>
        <w:topLinePunct w:val="0"/>
        <w:autoSpaceDE/>
        <w:autoSpaceDN/>
        <w:bidi w:val="0"/>
        <w:adjustRightInd/>
        <w:spacing w:line="360" w:lineRule="auto"/>
        <w:jc w:val="center"/>
        <w:textAlignment w:val="auto"/>
        <w:outlineLvl w:val="1"/>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资格</w:t>
      </w:r>
      <w:r>
        <w:rPr>
          <w:rFonts w:hint="eastAsia" w:ascii="仿宋" w:hAnsi="仿宋" w:eastAsia="仿宋" w:cs="仿宋"/>
          <w:b/>
          <w:bCs/>
          <w:kern w:val="2"/>
          <w:sz w:val="32"/>
          <w:szCs w:val="32"/>
          <w:highlight w:val="none"/>
          <w:lang w:val="zh-CN" w:eastAsia="zh-CN" w:bidi="ar-SA"/>
        </w:rPr>
        <w:t>审查表</w:t>
      </w:r>
    </w:p>
    <w:p>
      <w:pPr>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项目名称：贵州省高标准农田建设项目耕地质量评价技术服务 </w:t>
      </w:r>
    </w:p>
    <w:p>
      <w:pPr>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时    间：  年   月  日</w:t>
      </w:r>
    </w:p>
    <w:tbl>
      <w:tblPr>
        <w:tblStyle w:val="17"/>
        <w:tblW w:w="9692"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000"/>
        <w:gridCol w:w="928"/>
        <w:gridCol w:w="97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blHeader/>
        </w:trPr>
        <w:tc>
          <w:tcPr>
            <w:tcW w:w="776"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6000" w:type="dxa"/>
            <w:tcBorders>
              <w:tl2br w:val="single" w:color="auto" w:sz="4" w:space="0"/>
            </w:tcBorders>
          </w:tcPr>
          <w:p>
            <w:pPr>
              <w:pStyle w:val="8"/>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供应商名称</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资格要求</w:t>
            </w:r>
          </w:p>
        </w:tc>
        <w:tc>
          <w:tcPr>
            <w:tcW w:w="928"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000" w:type="dxa"/>
            <w:vAlign w:val="center"/>
          </w:tcPr>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具有独立承担民事责任的能力，具有土地规划乙级或测绘甲级以上（含）资质、提供营业执照及资质证书复印件。</w:t>
            </w:r>
          </w:p>
        </w:tc>
        <w:tc>
          <w:tcPr>
            <w:tcW w:w="928"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000" w:type="dxa"/>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具有良好的商业信誉和健全的财务会计制度，提供2023年或者2024年经第三方审计的审计报告复印件。</w:t>
            </w:r>
          </w:p>
        </w:tc>
        <w:tc>
          <w:tcPr>
            <w:tcW w:w="928"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w:t>
            </w:r>
          </w:p>
        </w:tc>
        <w:tc>
          <w:tcPr>
            <w:tcW w:w="6000" w:type="dxa"/>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提供具备履行合同所必需的设备和专业技术能力的证明材料（自行承诺）。</w:t>
            </w:r>
          </w:p>
        </w:tc>
        <w:tc>
          <w:tcPr>
            <w:tcW w:w="928"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6000" w:type="dxa"/>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有依法缴纳税收和社会保障资金的良好记录，提供2024年6月至今任意三个月依法缴纳税收和社保的相关证明材料。</w:t>
            </w:r>
          </w:p>
        </w:tc>
        <w:tc>
          <w:tcPr>
            <w:tcW w:w="928"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6000" w:type="dxa"/>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tc>
        <w:tc>
          <w:tcPr>
            <w:tcW w:w="928"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76"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审查结论（通过或不通过）</w:t>
            </w:r>
          </w:p>
        </w:tc>
        <w:tc>
          <w:tcPr>
            <w:tcW w:w="928"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bl>
    <w:p>
      <w:pPr>
        <w:pStyle w:val="8"/>
        <w:rPr>
          <w:rFonts w:hint="eastAsia" w:ascii="仿宋" w:hAnsi="仿宋" w:eastAsia="仿宋" w:cs="仿宋"/>
          <w:kern w:val="2"/>
          <w:sz w:val="24"/>
          <w:szCs w:val="2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评标专家组（签字）：</w:t>
      </w:r>
    </w:p>
    <w:p>
      <w:pPr>
        <w:pStyle w:val="8"/>
        <w:rPr>
          <w:rFonts w:hint="eastAsia" w:ascii="仿宋" w:hAnsi="仿宋" w:eastAsia="仿宋" w:cs="仿宋"/>
          <w:kern w:val="2"/>
          <w:sz w:val="28"/>
          <w:szCs w:val="28"/>
          <w:highlight w:val="none"/>
          <w:lang w:val="en-US" w:eastAsia="zh-CN" w:bidi="ar-SA"/>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ageBreakBefore w:val="0"/>
        <w:kinsoku/>
        <w:overflowPunct/>
        <w:topLinePunct w:val="0"/>
        <w:autoSpaceDE/>
        <w:autoSpaceDN/>
        <w:bidi w:val="0"/>
        <w:adjustRightInd/>
        <w:spacing w:line="360" w:lineRule="auto"/>
        <w:ind w:firstLine="560" w:firstLineChars="200"/>
        <w:jc w:val="both"/>
        <w:textAlignment w:val="auto"/>
        <w:outlineLvl w:val="1"/>
        <w:rPr>
          <w:rFonts w:hint="eastAsia" w:ascii="仿宋" w:hAnsi="仿宋" w:eastAsia="仿宋" w:cs="仿宋"/>
          <w:b w:val="0"/>
          <w:bCs w:val="0"/>
          <w:kern w:val="0"/>
          <w:sz w:val="28"/>
          <w:szCs w:val="28"/>
          <w:highlight w:val="none"/>
          <w:u w:val="single"/>
          <w:lang w:val="en-US" w:eastAsia="zh-CN"/>
        </w:rPr>
      </w:pPr>
      <w:r>
        <w:rPr>
          <w:rFonts w:hint="eastAsia" w:ascii="仿宋" w:hAnsi="仿宋" w:eastAsia="仿宋" w:cs="仿宋"/>
          <w:b w:val="0"/>
          <w:bCs w:val="0"/>
          <w:kern w:val="0"/>
          <w:sz w:val="28"/>
          <w:szCs w:val="28"/>
          <w:highlight w:val="none"/>
          <w:u w:val="none"/>
          <w:lang w:val="en-US" w:eastAsia="zh-CN"/>
        </w:rPr>
        <w:t>五、评分标准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
          <w:bCs/>
          <w:kern w:val="2"/>
          <w:sz w:val="44"/>
          <w:szCs w:val="44"/>
          <w:highlight w:val="none"/>
          <w:lang w:val="en-US" w:eastAsia="zh-CN" w:bidi="ar-SA"/>
        </w:rPr>
      </w:pPr>
      <w:bookmarkStart w:id="5" w:name="_Toc22473"/>
      <w:r>
        <w:rPr>
          <w:rFonts w:hint="eastAsia" w:ascii="方正小标宋简体" w:hAnsi="方正小标宋简体" w:eastAsia="方正小标宋简体" w:cs="方正小标宋简体"/>
          <w:b/>
          <w:bCs/>
          <w:kern w:val="2"/>
          <w:sz w:val="44"/>
          <w:szCs w:val="44"/>
          <w:highlight w:val="none"/>
          <w:lang w:val="en-US" w:eastAsia="zh-CN" w:bidi="ar-SA"/>
        </w:rPr>
        <w:t>评  分  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项目名称：</w:t>
      </w:r>
      <w:r>
        <w:rPr>
          <w:rFonts w:hint="eastAsia" w:ascii="仿宋" w:hAnsi="仿宋" w:eastAsia="仿宋" w:cs="仿宋"/>
          <w:b w:val="0"/>
          <w:bCs w:val="0"/>
          <w:kern w:val="2"/>
          <w:sz w:val="28"/>
          <w:szCs w:val="28"/>
          <w:highlight w:val="none"/>
          <w:lang w:val="en-US" w:eastAsia="zh-CN" w:bidi="ar-SA"/>
        </w:rPr>
        <w:t>贵州省高标准农田建设项目耕地质量评价技术服务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时    间：</w:t>
      </w:r>
      <w:r>
        <w:rPr>
          <w:rFonts w:hint="eastAsia" w:ascii="仿宋" w:hAnsi="仿宋" w:eastAsia="仿宋" w:cs="仿宋"/>
          <w:kern w:val="2"/>
          <w:sz w:val="28"/>
          <w:szCs w:val="28"/>
          <w:highlight w:val="none"/>
          <w:lang w:val="en-US" w:eastAsia="zh-CN" w:bidi="ar-SA"/>
        </w:rPr>
        <w:t xml:space="preserve">         年   月   日</w:t>
      </w:r>
    </w:p>
    <w:tbl>
      <w:tblPr>
        <w:tblStyle w:val="17"/>
        <w:tblW w:w="1395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43"/>
        <w:gridCol w:w="8688"/>
        <w:gridCol w:w="1141"/>
        <w:gridCol w:w="814"/>
        <w:gridCol w:w="779"/>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8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序号</w:t>
            </w:r>
          </w:p>
        </w:tc>
        <w:tc>
          <w:tcPr>
            <w:tcW w:w="10772" w:type="dxa"/>
            <w:gridSpan w:val="3"/>
            <w:tcBorders>
              <w:tl2br w:val="single" w:color="auto" w:sz="4" w:space="0"/>
            </w:tcBorders>
          </w:tcPr>
          <w:p>
            <w:pPr>
              <w:pStyle w:val="8"/>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供应商名称</w:t>
            </w:r>
          </w:p>
          <w:p>
            <w:pPr>
              <w:pStyle w:val="8"/>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评审分项</w:t>
            </w:r>
          </w:p>
        </w:tc>
        <w:tc>
          <w:tcPr>
            <w:tcW w:w="814"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779"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808" w:type="dxa"/>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78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43"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w:t>
            </w:r>
          </w:p>
        </w:tc>
        <w:tc>
          <w:tcPr>
            <w:tcW w:w="8688"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满足招标文件要求且投标价格最低的投标报价为评标基准价，按照下列公式计算每个投标人的投标报价得分。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投标报价得分=（评标基准价/投标报价）×10</w:t>
            </w:r>
          </w:p>
        </w:tc>
        <w:tc>
          <w:tcPr>
            <w:tcW w:w="114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0-10分</w:t>
            </w:r>
          </w:p>
        </w:tc>
        <w:tc>
          <w:tcPr>
            <w:tcW w:w="814"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779"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808"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8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43"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业绩评价</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8688"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1.投标人承接过耕地质量评价类似业绩每提供一个得2.5分，最多得10分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2.投标人2020年1月1日至今承接过市级或省级相关业绩。每提供1份业绩得10分，最高得20分。</w:t>
            </w:r>
          </w:p>
        </w:tc>
        <w:tc>
          <w:tcPr>
            <w:tcW w:w="114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0-30分</w:t>
            </w:r>
          </w:p>
        </w:tc>
        <w:tc>
          <w:tcPr>
            <w:tcW w:w="814"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779"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808"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43"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针对本项目的专项服务团队</w:t>
            </w:r>
          </w:p>
        </w:tc>
        <w:tc>
          <w:tcPr>
            <w:tcW w:w="8688"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1、项目负责人具有正高级职称（专业为地理信息系统或土地资源管理职称）得8分副高级职称（专业为地理信息系统或土地资源管理职称）得5分；本项最多得8分。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2、主要工作人员中具有高级及以上工程师职称（专业为土地资源管理或测绘）；每提供1名得5分，本项最多得10分。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3、服务团队其他成员：（15分）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①项目组成员中具有高级及以上职称（专业为土地资源管理专业或地理信息系统或测绘）每提供1名得5分，中级工程师职称（专业为土地资源管理专业或地理信息系统或测绘）每提供1名得3分；本项最多得15分：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注：以上人员不重复打分，需提供配备人员的身份证扫描件或复印件、相关证书扫描件或复印件及2024年至今任意1个月社保缴纳证明扫描件或复印件加盖公章。不提供或提供不全不得分。</w:t>
            </w:r>
          </w:p>
        </w:tc>
        <w:tc>
          <w:tcPr>
            <w:tcW w:w="114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0-33分</w:t>
            </w:r>
          </w:p>
        </w:tc>
        <w:tc>
          <w:tcPr>
            <w:tcW w:w="814"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779"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808"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43"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针对本项目的服务方案及紧急预案</w:t>
            </w:r>
          </w:p>
        </w:tc>
        <w:tc>
          <w:tcPr>
            <w:tcW w:w="8688"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针对本项目制定工作方案，方案总体包括但不限于：①依据；②内容；③方式；④标准；⑤组织保障；⑥进度安排。</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A.方案内容全面详细、相关保障措施合理、</w:t>
            </w:r>
            <w:r>
              <w:rPr>
                <w:rFonts w:hint="eastAsia" w:ascii="仿宋" w:hAnsi="仿宋" w:eastAsia="仿宋" w:cs="仿宋"/>
                <w:kern w:val="2"/>
                <w:sz w:val="24"/>
                <w:szCs w:val="24"/>
                <w:highlight w:val="none"/>
                <w:lang w:val="zh-CN" w:eastAsia="zh-CN" w:bidi="ar-SA"/>
              </w:rPr>
              <w:t>时间进度</w:t>
            </w:r>
            <w:r>
              <w:rPr>
                <w:rFonts w:hint="eastAsia" w:ascii="仿宋" w:hAnsi="仿宋" w:eastAsia="仿宋" w:cs="仿宋"/>
                <w:kern w:val="2"/>
                <w:sz w:val="24"/>
                <w:szCs w:val="24"/>
                <w:highlight w:val="none"/>
                <w:lang w:val="en-US" w:eastAsia="zh-CN" w:bidi="ar-SA"/>
              </w:rPr>
              <w:t>安排合理、可操作性强（可直接用于使用）、符合本项目实际、完全满足本项目需求，得20分；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B.方案内容较全面详细、相关保障措施较合理、</w:t>
            </w:r>
            <w:r>
              <w:rPr>
                <w:rFonts w:hint="eastAsia" w:ascii="仿宋" w:hAnsi="仿宋" w:eastAsia="仿宋" w:cs="仿宋"/>
                <w:kern w:val="2"/>
                <w:sz w:val="24"/>
                <w:szCs w:val="24"/>
                <w:highlight w:val="none"/>
                <w:lang w:val="zh-CN" w:eastAsia="zh-CN" w:bidi="ar-SA"/>
              </w:rPr>
              <w:t>时间进度</w:t>
            </w:r>
            <w:r>
              <w:rPr>
                <w:rFonts w:hint="eastAsia" w:ascii="仿宋" w:hAnsi="仿宋" w:eastAsia="仿宋" w:cs="仿宋"/>
                <w:kern w:val="2"/>
                <w:sz w:val="24"/>
                <w:szCs w:val="24"/>
                <w:highlight w:val="none"/>
                <w:lang w:val="en-US" w:eastAsia="zh-CN" w:bidi="ar-SA"/>
              </w:rPr>
              <w:t>安排较合理、可操作性较强（需修改部分才可使用）、较符合本项目实际、基本满足本项目需求，得15分；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C.方案内容不全面、不详细、相关保障措施基本合理、</w:t>
            </w:r>
            <w:r>
              <w:rPr>
                <w:rFonts w:hint="eastAsia" w:ascii="仿宋" w:hAnsi="仿宋" w:eastAsia="仿宋" w:cs="仿宋"/>
                <w:kern w:val="2"/>
                <w:sz w:val="24"/>
                <w:szCs w:val="24"/>
                <w:highlight w:val="none"/>
                <w:lang w:val="zh-CN" w:eastAsia="zh-CN" w:bidi="ar-SA"/>
              </w:rPr>
              <w:t>时间进度</w:t>
            </w:r>
            <w:r>
              <w:rPr>
                <w:rFonts w:hint="eastAsia" w:ascii="仿宋" w:hAnsi="仿宋" w:eastAsia="仿宋" w:cs="仿宋"/>
                <w:kern w:val="2"/>
                <w:sz w:val="24"/>
                <w:szCs w:val="24"/>
                <w:highlight w:val="none"/>
                <w:lang w:val="en-US" w:eastAsia="zh-CN" w:bidi="ar-SA"/>
              </w:rPr>
              <w:t>安排基本合理、可操作性不强（需大量修改）、不符合本项目实际、不太能满足本项目需求，得10分；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D.项目实施方案不完整，内容有缺陷，部分符合采购人实际需求得5分；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E.方案明显不合理或不符合项目需求或者未提供方案的，得0分。</w:t>
            </w:r>
          </w:p>
        </w:tc>
        <w:tc>
          <w:tcPr>
            <w:tcW w:w="114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0-20分</w:t>
            </w:r>
          </w:p>
        </w:tc>
        <w:tc>
          <w:tcPr>
            <w:tcW w:w="814"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779"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808"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43"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服务承诺</w:t>
            </w:r>
          </w:p>
        </w:tc>
        <w:tc>
          <w:tcPr>
            <w:tcW w:w="8688"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对人员安排、质量保障等进行承诺得 3分，未提供不得分。</w:t>
            </w:r>
          </w:p>
        </w:tc>
        <w:tc>
          <w:tcPr>
            <w:tcW w:w="114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0-3分</w:t>
            </w:r>
          </w:p>
        </w:tc>
        <w:tc>
          <w:tcPr>
            <w:tcW w:w="814"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779"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808"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943"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管理认证</w:t>
            </w:r>
          </w:p>
        </w:tc>
        <w:tc>
          <w:tcPr>
            <w:tcW w:w="8688"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1、具有有效期内质量管理认证证书的2分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2、具有有效期内信息安全认证证书得2分</w:t>
            </w:r>
          </w:p>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rPr>
            </w:pPr>
            <w:r>
              <w:rPr>
                <w:rFonts w:hint="eastAsia" w:ascii="仿宋" w:hAnsi="仿宋" w:eastAsia="仿宋" w:cs="仿宋"/>
                <w:kern w:val="2"/>
                <w:sz w:val="24"/>
                <w:szCs w:val="24"/>
                <w:highlight w:val="none"/>
                <w:lang w:val="en-US" w:eastAsia="zh-CN" w:bidi="ar-SA"/>
              </w:rPr>
              <w:t>注：提供相应证件复印件或扫描件加盖公章，作为证明材料。</w:t>
            </w:r>
          </w:p>
        </w:tc>
        <w:tc>
          <w:tcPr>
            <w:tcW w:w="114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0-4分</w:t>
            </w:r>
          </w:p>
        </w:tc>
        <w:tc>
          <w:tcPr>
            <w:tcW w:w="814"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779"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808"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412" w:type="dxa"/>
            <w:gridSpan w:val="3"/>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得分</w:t>
            </w:r>
          </w:p>
        </w:tc>
        <w:tc>
          <w:tcPr>
            <w:tcW w:w="1141"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100分</w:t>
            </w:r>
          </w:p>
        </w:tc>
        <w:tc>
          <w:tcPr>
            <w:tcW w:w="814"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779"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808" w:type="dxa"/>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r>
    </w:tbl>
    <w:p>
      <w:pPr>
        <w:pStyle w:val="8"/>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评标专家组（签字）：</w:t>
      </w:r>
    </w:p>
    <w:p>
      <w:pPr>
        <w:pStyle w:val="8"/>
        <w:rPr>
          <w:rFonts w:hint="eastAsia" w:ascii="仿宋" w:hAnsi="仿宋" w:eastAsia="仿宋" w:cs="仿宋"/>
          <w:highlight w:val="none"/>
          <w:lang w:val="en-US" w:eastAsia="zh-CN"/>
        </w:rPr>
      </w:pPr>
    </w:p>
    <w:bookmarkEnd w:id="5"/>
    <w:p>
      <w:pPr>
        <w:pStyle w:val="8"/>
        <w:rPr>
          <w:rFonts w:hint="eastAsia" w:ascii="仿宋" w:hAnsi="仿宋" w:eastAsia="仿宋" w:cs="仿宋"/>
          <w:b/>
          <w:sz w:val="36"/>
          <w:szCs w:val="36"/>
          <w:highlight w:val="none"/>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六、定标原则</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 采购人将把合同授予被确定为实质上响应采购文件的要求并有履行合同能力的采购得分排名最靠前的供应商。综合优势明显的供应商有可能中标，不保证最低投标报价者中标。</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2. 采购人按照比选小组推荐的中标候选供应商顺序确定中标供应商。 </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七、无效投标情形</w:t>
      </w:r>
    </w:p>
    <w:p>
      <w:pPr>
        <w:spacing w:beforeLines="0" w:afterLines="0"/>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1.未按照采购文件规定要求密封、签署、盖章的；</w:t>
      </w:r>
    </w:p>
    <w:p>
      <w:pPr>
        <w:spacing w:beforeLines="0" w:afterLines="0"/>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2.不具备采购文件中规定资格要求的；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3.不符合法律、法规和采购文件中规定的其他实质性要求的。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八、废标情形</w:t>
      </w:r>
    </w:p>
    <w:p>
      <w:pPr>
        <w:spacing w:beforeLines="0" w:afterLines="0"/>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1.出现影响采购公正的违法、违规行为的；</w:t>
      </w: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2.因重大变故，采购任务取消的。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仿宋" w:hAnsi="仿宋" w:eastAsia="仿宋" w:cs="仿宋"/>
          <w:kern w:val="2"/>
          <w:sz w:val="32"/>
          <w:szCs w:val="32"/>
          <w:highlight w:val="none"/>
          <w:lang w:val="en-US" w:eastAsia="zh-CN" w:bidi="ar-SA"/>
        </w:rPr>
      </w:pPr>
    </w:p>
    <w:p>
      <w:pPr>
        <w:rPr>
          <w:rFonts w:hint="eastAsia" w:ascii="仿宋" w:hAnsi="仿宋" w:eastAsia="仿宋" w:cs="仿宋"/>
          <w:b/>
          <w:bCs/>
          <w:kern w:val="2"/>
          <w:sz w:val="44"/>
          <w:szCs w:val="44"/>
          <w:highlight w:val="none"/>
          <w:lang w:val="en-US" w:eastAsia="zh-CN" w:bidi="ar-SA"/>
        </w:rPr>
      </w:pPr>
      <w:bookmarkStart w:id="6" w:name="_Toc31338"/>
      <w:r>
        <w:rPr>
          <w:rFonts w:hint="eastAsia" w:ascii="仿宋" w:hAnsi="仿宋" w:eastAsia="仿宋" w:cs="仿宋"/>
          <w:b/>
          <w:bCs/>
          <w:kern w:val="2"/>
          <w:sz w:val="44"/>
          <w:szCs w:val="4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7" w:name="_Toc12546"/>
      <w:r>
        <w:rPr>
          <w:rFonts w:hint="eastAsia" w:ascii="仿宋" w:hAnsi="仿宋" w:eastAsia="仿宋" w:cs="仿宋"/>
          <w:b/>
          <w:bCs/>
          <w:kern w:val="2"/>
          <w:sz w:val="44"/>
          <w:szCs w:val="44"/>
          <w:highlight w:val="none"/>
          <w:lang w:val="en-US" w:eastAsia="zh-CN" w:bidi="ar-SA"/>
        </w:rPr>
        <w:t xml:space="preserve">第四章 </w:t>
      </w:r>
      <w:bookmarkEnd w:id="6"/>
      <w:r>
        <w:rPr>
          <w:rFonts w:hint="eastAsia" w:ascii="仿宋" w:hAnsi="仿宋" w:eastAsia="仿宋" w:cs="仿宋"/>
          <w:b/>
          <w:bCs/>
          <w:kern w:val="2"/>
          <w:sz w:val="44"/>
          <w:szCs w:val="44"/>
          <w:highlight w:val="none"/>
          <w:lang w:val="en-US" w:eastAsia="zh-CN" w:bidi="ar-SA"/>
        </w:rPr>
        <w:t>响应文件内容及格式</w:t>
      </w:r>
      <w:bookmarkEnd w:id="7"/>
    </w:p>
    <w:p>
      <w:pPr>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封面</w:t>
      </w:r>
    </w:p>
    <w:p>
      <w:pPr>
        <w:bidi w:val="0"/>
        <w:spacing w:line="360" w:lineRule="auto"/>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贵州省高标准农田建设项目耕地质量评价</w:t>
      </w:r>
    </w:p>
    <w:p>
      <w:pPr>
        <w:bidi w:val="0"/>
        <w:spacing w:line="360" w:lineRule="auto"/>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技术服务采购</w:t>
      </w:r>
    </w:p>
    <w:p>
      <w:pPr>
        <w:jc w:val="center"/>
        <w:rPr>
          <w:rFonts w:hint="eastAsia" w:ascii="仿宋" w:hAnsi="仿宋" w:eastAsia="仿宋" w:cs="仿宋"/>
          <w:spacing w:val="20"/>
          <w:sz w:val="44"/>
          <w:szCs w:val="44"/>
          <w:highlight w:val="none"/>
        </w:rPr>
      </w:pPr>
    </w:p>
    <w:p>
      <w:pPr>
        <w:jc w:val="center"/>
        <w:rPr>
          <w:rFonts w:hint="eastAsia" w:ascii="仿宋" w:hAnsi="仿宋" w:eastAsia="仿宋" w:cs="仿宋"/>
          <w:spacing w:val="40"/>
          <w:w w:val="110"/>
          <w:sz w:val="44"/>
          <w:szCs w:val="44"/>
          <w:highlight w:val="none"/>
        </w:rPr>
      </w:pPr>
      <w:r>
        <w:rPr>
          <w:rFonts w:hint="eastAsia" w:ascii="仿宋" w:hAnsi="仿宋" w:eastAsia="仿宋" w:cs="仿宋"/>
          <w:spacing w:val="40"/>
          <w:w w:val="110"/>
          <w:sz w:val="44"/>
          <w:szCs w:val="44"/>
          <w:highlight w:val="none"/>
        </w:rPr>
        <w:t>响应文件</w:t>
      </w:r>
    </w:p>
    <w:p>
      <w:pPr>
        <w:jc w:val="center"/>
        <w:rPr>
          <w:rFonts w:hint="eastAsia" w:ascii="仿宋" w:hAnsi="仿宋" w:eastAsia="仿宋" w:cs="仿宋"/>
          <w:sz w:val="24"/>
          <w:highlight w:val="none"/>
        </w:rPr>
      </w:pPr>
    </w:p>
    <w:tbl>
      <w:tblPr>
        <w:tblStyle w:val="16"/>
        <w:tblpPr w:leftFromText="180" w:rightFromText="180" w:vertAnchor="text" w:horzAnchor="page" w:tblpX="2380" w:tblpY="2256"/>
        <w:tblOverlap w:val="never"/>
        <w:tblW w:w="7841" w:type="dxa"/>
        <w:tblInd w:w="0" w:type="dxa"/>
        <w:tblLayout w:type="fixed"/>
        <w:tblCellMar>
          <w:top w:w="0" w:type="dxa"/>
          <w:left w:w="108" w:type="dxa"/>
          <w:bottom w:w="0" w:type="dxa"/>
          <w:right w:w="108" w:type="dxa"/>
        </w:tblCellMar>
      </w:tblPr>
      <w:tblGrid>
        <w:gridCol w:w="1659"/>
        <w:gridCol w:w="2179"/>
        <w:gridCol w:w="1360"/>
        <w:gridCol w:w="2643"/>
      </w:tblGrid>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项目名称：</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r>
      <w:tr>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供应商：</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r>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详细地址：</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r>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联系人：</w:t>
            </w:r>
          </w:p>
        </w:tc>
        <w:tc>
          <w:tcPr>
            <w:tcW w:w="217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c>
          <w:tcPr>
            <w:tcW w:w="1360"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电  话：</w:t>
            </w:r>
          </w:p>
        </w:tc>
        <w:tc>
          <w:tcPr>
            <w:tcW w:w="2643"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r>
    </w:tbl>
    <w:p>
      <w:pPr>
        <w:widowControl/>
        <w:jc w:val="both"/>
        <w:rPr>
          <w:rFonts w:hint="eastAsia" w:ascii="仿宋" w:hAnsi="仿宋" w:eastAsia="仿宋" w:cs="仿宋"/>
          <w:highlight w:val="none"/>
        </w:rPr>
      </w:pPr>
      <w:r>
        <w:rPr>
          <w:rFonts w:hint="eastAsia" w:ascii="仿宋" w:hAnsi="仿宋" w:eastAsia="仿宋" w:cs="仿宋"/>
          <w:highlight w:val="none"/>
        </w:rPr>
        <w:br w:type="page"/>
      </w:r>
    </w:p>
    <w:p>
      <w:pPr>
        <w:widowControl/>
        <w:jc w:val="center"/>
        <w:rPr>
          <w:rFonts w:hint="eastAsia" w:ascii="仿宋" w:hAnsi="仿宋" w:eastAsia="仿宋" w:cs="仿宋"/>
          <w:highlight w:val="none"/>
        </w:rPr>
      </w:pPr>
    </w:p>
    <w:p>
      <w:pPr>
        <w:widowControl/>
        <w:jc w:val="center"/>
        <w:rPr>
          <w:rFonts w:hint="eastAsia" w:ascii="仿宋" w:hAnsi="仿宋" w:eastAsia="仿宋" w:cs="仿宋"/>
          <w:b/>
          <w:bCs/>
          <w:kern w:val="2"/>
          <w:sz w:val="44"/>
          <w:szCs w:val="44"/>
          <w:highlight w:val="none"/>
          <w:lang w:val="en-US" w:eastAsia="en-US" w:bidi="ar-SA"/>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center"/>
        <w:rPr>
          <w:rFonts w:hint="eastAsia" w:ascii="仿宋" w:hAnsi="仿宋" w:eastAsia="仿宋" w:cs="仿宋"/>
          <w:kern w:val="2"/>
          <w:sz w:val="32"/>
          <w:szCs w:val="32"/>
          <w:highlight w:val="none"/>
          <w:lang w:val="en-US" w:eastAsia="en-US" w:bidi="ar-SA"/>
        </w:rPr>
      </w:pPr>
      <w:r>
        <w:rPr>
          <w:rFonts w:hint="eastAsia" w:ascii="仿宋" w:hAnsi="仿宋" w:eastAsia="仿宋" w:cs="仿宋"/>
          <w:kern w:val="2"/>
          <w:sz w:val="32"/>
          <w:szCs w:val="32"/>
          <w:highlight w:val="none"/>
          <w:lang w:val="en-US" w:eastAsia="en-US" w:bidi="ar-SA"/>
        </w:rPr>
        <w:t>目  录</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center"/>
        <w:rPr>
          <w:rFonts w:hint="eastAsia" w:ascii="仿宋" w:hAnsi="仿宋" w:eastAsia="仿宋" w:cs="仿宋"/>
          <w:kern w:val="2"/>
          <w:sz w:val="32"/>
          <w:szCs w:val="32"/>
          <w:highlight w:val="none"/>
          <w:lang w:val="en-US" w:eastAsia="en-US" w:bidi="ar-SA"/>
        </w:rPr>
      </w:pPr>
      <w:r>
        <w:rPr>
          <w:rFonts w:hint="eastAsia" w:ascii="仿宋" w:hAnsi="仿宋" w:eastAsia="仿宋" w:cs="仿宋"/>
          <w:kern w:val="2"/>
          <w:sz w:val="32"/>
          <w:szCs w:val="32"/>
          <w:highlight w:val="none"/>
          <w:lang w:val="en-US" w:eastAsia="en-US" w:bidi="ar-SA"/>
        </w:rPr>
        <w:t>（按照</w:t>
      </w:r>
      <w:r>
        <w:rPr>
          <w:rFonts w:hint="eastAsia" w:ascii="仿宋" w:hAnsi="仿宋" w:eastAsia="仿宋" w:cs="仿宋"/>
          <w:kern w:val="2"/>
          <w:sz w:val="32"/>
          <w:szCs w:val="32"/>
          <w:highlight w:val="none"/>
          <w:lang w:val="en-US" w:eastAsia="zh-CN" w:bidi="ar-SA"/>
        </w:rPr>
        <w:t>响应</w:t>
      </w:r>
      <w:r>
        <w:rPr>
          <w:rFonts w:hint="eastAsia" w:ascii="仿宋" w:hAnsi="仿宋" w:eastAsia="仿宋" w:cs="仿宋"/>
          <w:kern w:val="2"/>
          <w:sz w:val="32"/>
          <w:szCs w:val="32"/>
          <w:highlight w:val="none"/>
          <w:lang w:val="en-US" w:eastAsia="en-US" w:bidi="ar-SA"/>
        </w:rPr>
        <w:t>文件组成内容完善目录明细）</w:t>
      </w:r>
    </w:p>
    <w:p>
      <w:pPr>
        <w:widowControl/>
        <w:jc w:val="both"/>
        <w:rPr>
          <w:rFonts w:hint="eastAsia" w:ascii="仿宋" w:hAnsi="仿宋" w:eastAsia="仿宋" w:cs="仿宋"/>
          <w:b/>
          <w:kern w:val="0"/>
          <w:sz w:val="30"/>
          <w:szCs w:val="24"/>
          <w:highlight w:val="none"/>
          <w:lang w:eastAsia="en-US"/>
        </w:rPr>
      </w:pPr>
    </w:p>
    <w:p>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第一部分 投标函 </w:t>
      </w:r>
    </w:p>
    <w:p>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第二部分 报价表 </w:t>
      </w:r>
    </w:p>
    <w:p>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第三部分 供应商资质基本要求的证明文件 </w:t>
      </w:r>
    </w:p>
    <w:p>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第四部分 评审内容的证明文件 </w:t>
      </w:r>
    </w:p>
    <w:p>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第五部分 其他资料 </w:t>
      </w:r>
    </w:p>
    <w:p>
      <w:pPr>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8" w:name="_Toc3246"/>
      <w:bookmarkStart w:id="9" w:name="_Toc4033"/>
      <w:r>
        <w:rPr>
          <w:rFonts w:hint="eastAsia" w:ascii="仿宋" w:hAnsi="仿宋" w:eastAsia="仿宋" w:cs="仿宋"/>
          <w:b/>
          <w:bCs/>
          <w:kern w:val="2"/>
          <w:sz w:val="44"/>
          <w:szCs w:val="44"/>
          <w:highlight w:val="none"/>
          <w:lang w:val="en-US" w:eastAsia="zh-CN" w:bidi="ar-SA"/>
        </w:rPr>
        <w:t>第一部分 投标函</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致___________(采购人)：</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根据_______(项目名称)的投标邀请，_______(姓名、职务)代表</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________(</w:t>
      </w:r>
      <w:r>
        <w:rPr>
          <w:rFonts w:hint="eastAsia" w:ascii="仿宋" w:hAnsi="仿宋" w:eastAsia="仿宋" w:cs="仿宋"/>
          <w:color w:val="auto"/>
          <w:kern w:val="2"/>
          <w:sz w:val="28"/>
          <w:szCs w:val="28"/>
          <w:highlight w:val="none"/>
          <w:lang w:eastAsia="zh-CN"/>
        </w:rPr>
        <w:t>供应商名称</w:t>
      </w:r>
      <w:r>
        <w:rPr>
          <w:rFonts w:hint="eastAsia" w:ascii="仿宋" w:hAnsi="仿宋" w:eastAsia="仿宋" w:cs="仿宋"/>
          <w:color w:val="auto"/>
          <w:kern w:val="2"/>
          <w:sz w:val="28"/>
          <w:szCs w:val="28"/>
          <w:highlight w:val="none"/>
        </w:rPr>
        <w:t>、地址)参加本项目</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rPr>
        <w:t>活动。据此函，作如下承诺：</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1.具备本项目</w:t>
      </w:r>
      <w:r>
        <w:rPr>
          <w:rFonts w:hint="eastAsia" w:ascii="仿宋" w:hAnsi="仿宋" w:eastAsia="仿宋" w:cs="仿宋"/>
          <w:color w:val="auto"/>
          <w:kern w:val="2"/>
          <w:sz w:val="28"/>
          <w:szCs w:val="28"/>
          <w:highlight w:val="none"/>
          <w:lang w:eastAsia="zh-CN"/>
        </w:rPr>
        <w:t>采购文件</w:t>
      </w:r>
      <w:r>
        <w:rPr>
          <w:rFonts w:hint="eastAsia" w:ascii="仿宋" w:hAnsi="仿宋" w:eastAsia="仿宋" w:cs="仿宋"/>
          <w:color w:val="auto"/>
          <w:kern w:val="2"/>
          <w:sz w:val="28"/>
          <w:szCs w:val="28"/>
          <w:highlight w:val="none"/>
        </w:rPr>
        <w:t>中规定的</w:t>
      </w:r>
      <w:r>
        <w:rPr>
          <w:rFonts w:hint="eastAsia" w:ascii="仿宋" w:hAnsi="仿宋" w:eastAsia="仿宋" w:cs="仿宋"/>
          <w:color w:val="auto"/>
          <w:kern w:val="2"/>
          <w:sz w:val="28"/>
          <w:szCs w:val="28"/>
          <w:highlight w:val="none"/>
          <w:lang w:val="en-US" w:eastAsia="zh-CN"/>
        </w:rPr>
        <w:t>资格要求</w:t>
      </w:r>
      <w:r>
        <w:rPr>
          <w:rFonts w:hint="eastAsia" w:ascii="仿宋" w:hAnsi="仿宋" w:eastAsia="仿宋" w:cs="仿宋"/>
          <w:color w:val="auto"/>
          <w:kern w:val="2"/>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.提供</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须知规定的全部</w:t>
      </w:r>
      <w:r>
        <w:rPr>
          <w:rFonts w:hint="eastAsia" w:ascii="仿宋" w:hAnsi="仿宋" w:eastAsia="仿宋" w:cs="仿宋"/>
          <w:color w:val="auto"/>
          <w:kern w:val="2"/>
          <w:sz w:val="28"/>
          <w:szCs w:val="28"/>
          <w:highlight w:val="none"/>
          <w:lang w:eastAsia="zh-CN"/>
        </w:rPr>
        <w:t>响应文件</w:t>
      </w:r>
      <w:r>
        <w:rPr>
          <w:rFonts w:hint="eastAsia" w:ascii="仿宋" w:hAnsi="仿宋" w:eastAsia="仿宋" w:cs="仿宋"/>
          <w:color w:val="auto"/>
          <w:kern w:val="2"/>
          <w:sz w:val="28"/>
          <w:szCs w:val="28"/>
          <w:highlight w:val="none"/>
        </w:rPr>
        <w:t>，包括</w:t>
      </w:r>
      <w:r>
        <w:rPr>
          <w:rFonts w:hint="eastAsia" w:ascii="仿宋" w:hAnsi="仿宋" w:eastAsia="仿宋" w:cs="仿宋"/>
          <w:color w:val="auto"/>
          <w:kern w:val="2"/>
          <w:sz w:val="28"/>
          <w:szCs w:val="28"/>
          <w:highlight w:val="none"/>
          <w:lang w:eastAsia="zh-CN"/>
        </w:rPr>
        <w:t>响应文件</w:t>
      </w:r>
      <w:r>
        <w:rPr>
          <w:rFonts w:hint="eastAsia" w:ascii="仿宋" w:hAnsi="仿宋" w:eastAsia="仿宋" w:cs="仿宋"/>
          <w:color w:val="auto"/>
          <w:kern w:val="2"/>
          <w:sz w:val="28"/>
          <w:szCs w:val="28"/>
          <w:highlight w:val="none"/>
        </w:rPr>
        <w:t>正本_____份，副本______份。</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rPr>
        <w:t>.已详细审阅全部</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(包括</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澄清函)，理解</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须知的所有条款。</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.完全满足和响应</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中的各项要求，若有偏差，已在</w:t>
      </w:r>
      <w:r>
        <w:rPr>
          <w:rFonts w:hint="eastAsia" w:ascii="仿宋" w:hAnsi="仿宋" w:eastAsia="仿宋" w:cs="仿宋"/>
          <w:color w:val="auto"/>
          <w:kern w:val="2"/>
          <w:sz w:val="28"/>
          <w:szCs w:val="28"/>
          <w:highlight w:val="none"/>
          <w:lang w:eastAsia="zh-CN"/>
        </w:rPr>
        <w:t>响应文件</w:t>
      </w:r>
      <w:r>
        <w:rPr>
          <w:rFonts w:hint="eastAsia" w:ascii="仿宋" w:hAnsi="仿宋" w:eastAsia="仿宋" w:cs="仿宋"/>
          <w:color w:val="auto"/>
          <w:kern w:val="2"/>
          <w:sz w:val="28"/>
          <w:szCs w:val="28"/>
          <w:highlight w:val="none"/>
        </w:rPr>
        <w:t>中明确说明。</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.愿意提供任何与投标有关的数据、情况和技术资料等。</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.我方已详细审核全部</w:t>
      </w:r>
      <w:r>
        <w:rPr>
          <w:rFonts w:hint="eastAsia" w:ascii="仿宋" w:hAnsi="仿宋" w:eastAsia="仿宋" w:cs="仿宋"/>
          <w:color w:val="auto"/>
          <w:kern w:val="2"/>
          <w:sz w:val="28"/>
          <w:szCs w:val="28"/>
          <w:highlight w:val="none"/>
          <w:lang w:eastAsia="zh-CN"/>
        </w:rPr>
        <w:t>响应文件</w:t>
      </w:r>
      <w:r>
        <w:rPr>
          <w:rFonts w:hint="eastAsia" w:ascii="仿宋" w:hAnsi="仿宋" w:eastAsia="仿宋" w:cs="仿宋"/>
          <w:color w:val="auto"/>
          <w:kern w:val="2"/>
          <w:sz w:val="28"/>
          <w:szCs w:val="28"/>
          <w:highlight w:val="none"/>
        </w:rPr>
        <w:t>、参考资料及有关附件，确认无误。</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.对本次招标内容及与本项目有关的知识产权、技术资料、商业秘密及相关信息保密。</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.与采购人无任何的隶属关系或者其他利害关系。</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lang w:eastAsia="zh-CN"/>
        </w:rPr>
        <w:t>供应商名称</w:t>
      </w:r>
      <w:r>
        <w:rPr>
          <w:rFonts w:hint="eastAsia" w:ascii="仿宋" w:hAnsi="仿宋" w:eastAsia="仿宋" w:cs="仿宋"/>
          <w:color w:val="auto"/>
          <w:sz w:val="28"/>
          <w:szCs w:val="28"/>
          <w:highlight w:val="none"/>
        </w:rPr>
        <w:t>(公章)</w:t>
      </w:r>
      <w:r>
        <w:rPr>
          <w:rFonts w:hint="eastAsia" w:ascii="仿宋" w:hAnsi="仿宋" w:eastAsia="仿宋" w:cs="仿宋"/>
          <w:color w:val="auto"/>
          <w:kern w:val="2"/>
          <w:sz w:val="28"/>
          <w:szCs w:val="28"/>
          <w:highlight w:val="none"/>
        </w:rPr>
        <w:t>：____________</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地址：____________</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邮编：____________</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电话：____________</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法定代表人或</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代表(签字或盖章)：____________</w:t>
      </w:r>
    </w:p>
    <w:p>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日期：</w:t>
      </w:r>
    </w:p>
    <w:p>
      <w:pPr>
        <w:pStyle w:val="21"/>
        <w:ind w:left="0" w:leftChars="0" w:firstLine="0" w:firstLineChars="0"/>
        <w:rPr>
          <w:rFonts w:hint="eastAsia" w:ascii="仿宋" w:hAnsi="仿宋" w:eastAsia="仿宋" w:cs="仿宋"/>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10" w:name="_Toc2478"/>
      <w:bookmarkStart w:id="11" w:name="_Toc16655"/>
      <w:r>
        <w:rPr>
          <w:rFonts w:hint="eastAsia" w:ascii="仿宋" w:hAnsi="仿宋" w:eastAsia="仿宋" w:cs="仿宋"/>
          <w:b/>
          <w:bCs/>
          <w:kern w:val="2"/>
          <w:sz w:val="44"/>
          <w:szCs w:val="44"/>
          <w:highlight w:val="none"/>
          <w:lang w:val="en-US" w:eastAsia="zh-CN" w:bidi="ar-SA"/>
        </w:rPr>
        <w:t>第二部分 报价表</w:t>
      </w:r>
      <w:bookmarkEnd w:id="10"/>
      <w:bookmarkEnd w:id="11"/>
      <w:r>
        <w:rPr>
          <w:rFonts w:hint="eastAsia" w:ascii="仿宋" w:hAnsi="仿宋" w:eastAsia="仿宋" w:cs="仿宋"/>
          <w:b/>
          <w:bCs/>
          <w:kern w:val="2"/>
          <w:sz w:val="44"/>
          <w:szCs w:val="44"/>
          <w:highlight w:val="none"/>
          <w:lang w:val="en-US" w:eastAsia="zh-CN" w:bidi="ar-SA"/>
        </w:rPr>
        <w:t xml:space="preserve"> </w:t>
      </w:r>
    </w:p>
    <w:tbl>
      <w:tblPr>
        <w:tblStyle w:val="16"/>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355"/>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92" w:type="dxa"/>
            <w:tcBorders>
              <w:top w:val="double" w:color="auto" w:sz="4" w:space="0"/>
              <w:left w:val="double" w:color="auto" w:sz="4" w:space="0"/>
            </w:tcBorders>
            <w:noWrap w:val="0"/>
            <w:vAlign w:val="center"/>
          </w:tcPr>
          <w:p>
            <w:pPr>
              <w:spacing w:line="360" w:lineRule="auto"/>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序号</w:t>
            </w:r>
          </w:p>
        </w:tc>
        <w:tc>
          <w:tcPr>
            <w:tcW w:w="3355" w:type="dxa"/>
            <w:tcBorders>
              <w:top w:val="double" w:color="auto" w:sz="4" w:space="0"/>
              <w:right w:val="single" w:color="auto" w:sz="4" w:space="0"/>
            </w:tcBorders>
            <w:noWrap w:val="0"/>
            <w:vAlign w:val="center"/>
          </w:tcPr>
          <w:p>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3718" w:type="dxa"/>
            <w:tcBorders>
              <w:top w:val="double" w:color="auto" w:sz="4" w:space="0"/>
              <w:left w:val="single" w:color="auto" w:sz="4" w:space="0"/>
            </w:tcBorders>
            <w:noWrap w:val="0"/>
            <w:vAlign w:val="center"/>
          </w:tcPr>
          <w:p>
            <w:pPr>
              <w:spacing w:line="360" w:lineRule="auto"/>
              <w:jc w:val="center"/>
              <w:rPr>
                <w:rFonts w:hint="default" w:ascii="仿宋" w:hAnsi="仿宋" w:eastAsia="仿宋" w:cs="仿宋"/>
                <w:b/>
                <w:sz w:val="24"/>
                <w:szCs w:val="24"/>
                <w:highlight w:val="none"/>
                <w:lang w:val="en-US"/>
              </w:rPr>
            </w:pPr>
            <w:r>
              <w:rPr>
                <w:rFonts w:hint="eastAsia" w:ascii="仿宋" w:hAnsi="仿宋" w:eastAsia="仿宋" w:cs="仿宋"/>
                <w:b/>
                <w:color w:val="auto"/>
                <w:sz w:val="24"/>
                <w:szCs w:val="24"/>
                <w:highlight w:val="none"/>
                <w:lang w:val="en-US" w:eastAsia="zh-CN"/>
              </w:rPr>
              <w:t>项目总报价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92" w:type="dxa"/>
            <w:tcBorders>
              <w:left w:val="double" w:color="auto" w:sz="4" w:space="0"/>
            </w:tcBorders>
            <w:noWrap w:val="0"/>
            <w:vAlign w:val="center"/>
          </w:tcPr>
          <w:p>
            <w:pPr>
              <w:spacing w:line="360" w:lineRule="auto"/>
              <w:ind w:left="420" w:leftChars="200" w:firstLine="574" w:firstLineChars="205"/>
              <w:jc w:val="center"/>
              <w:rPr>
                <w:rFonts w:hint="eastAsia" w:ascii="仿宋" w:hAnsi="仿宋" w:eastAsia="仿宋" w:cs="仿宋"/>
                <w:sz w:val="28"/>
                <w:szCs w:val="28"/>
                <w:highlight w:val="none"/>
              </w:rPr>
            </w:pPr>
          </w:p>
        </w:tc>
        <w:tc>
          <w:tcPr>
            <w:tcW w:w="3355" w:type="dxa"/>
            <w:tcBorders>
              <w:right w:val="single" w:color="auto" w:sz="4" w:space="0"/>
            </w:tcBorders>
            <w:noWrap w:val="0"/>
            <w:vAlign w:val="center"/>
          </w:tcPr>
          <w:p>
            <w:pPr>
              <w:spacing w:line="360" w:lineRule="auto"/>
              <w:ind w:left="420" w:leftChars="200"/>
              <w:jc w:val="center"/>
              <w:rPr>
                <w:rFonts w:hint="eastAsia" w:ascii="仿宋" w:hAnsi="仿宋" w:eastAsia="仿宋" w:cs="仿宋"/>
                <w:sz w:val="28"/>
                <w:szCs w:val="28"/>
                <w:highlight w:val="none"/>
              </w:rPr>
            </w:pPr>
          </w:p>
        </w:tc>
        <w:tc>
          <w:tcPr>
            <w:tcW w:w="3718" w:type="dxa"/>
            <w:tcBorders>
              <w:left w:val="single" w:color="auto" w:sz="4" w:space="0"/>
            </w:tcBorders>
            <w:noWrap w:val="0"/>
            <w:vAlign w:val="center"/>
          </w:tcPr>
          <w:p>
            <w:pPr>
              <w:spacing w:line="360" w:lineRule="auto"/>
              <w:ind w:left="420" w:leftChars="200"/>
              <w:jc w:val="center"/>
              <w:rPr>
                <w:rFonts w:hint="eastAsia" w:ascii="仿宋" w:hAnsi="仿宋" w:eastAsia="仿宋" w:cs="仿宋"/>
                <w:sz w:val="28"/>
                <w:szCs w:val="28"/>
                <w:highlight w:val="none"/>
              </w:rPr>
            </w:pPr>
          </w:p>
        </w:tc>
      </w:tr>
    </w:tbl>
    <w:p>
      <w:pPr>
        <w:pStyle w:val="23"/>
        <w:ind w:firstLine="420" w:firstLineChars="200"/>
        <w:rPr>
          <w:rFonts w:hint="eastAsia" w:ascii="仿宋" w:hAnsi="仿宋" w:eastAsia="仿宋" w:cs="仿宋"/>
          <w:highlight w:val="none"/>
          <w:lang w:eastAsia="zh-CN"/>
        </w:rPr>
      </w:pPr>
    </w:p>
    <w:p>
      <w:pPr>
        <w:pStyle w:val="23"/>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供应商名称(公章)：____________________</w:t>
      </w:r>
    </w:p>
    <w:p>
      <w:pPr>
        <w:pStyle w:val="23"/>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法定代表人或其授权代表(签字或盖章)：____________________</w:t>
      </w:r>
    </w:p>
    <w:p>
      <w:pPr>
        <w:pStyle w:val="23"/>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日期：______年____月____日</w:t>
      </w:r>
    </w:p>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12" w:name="_Toc28482"/>
      <w:bookmarkStart w:id="13" w:name="_Toc18478"/>
      <w:r>
        <w:rPr>
          <w:rFonts w:hint="eastAsia" w:ascii="仿宋" w:hAnsi="仿宋" w:eastAsia="仿宋" w:cs="仿宋"/>
          <w:b/>
          <w:bCs/>
          <w:kern w:val="2"/>
          <w:sz w:val="44"/>
          <w:szCs w:val="44"/>
          <w:highlight w:val="none"/>
          <w:lang w:val="en-US" w:eastAsia="zh-CN" w:bidi="ar-SA"/>
        </w:rPr>
        <w:t>第三部分 供应商资质基本要求的证明文件</w:t>
      </w:r>
      <w:bookmarkEnd w:id="12"/>
      <w:bookmarkEnd w:id="13"/>
      <w:r>
        <w:rPr>
          <w:rFonts w:hint="eastAsia" w:ascii="仿宋" w:hAnsi="仿宋" w:eastAsia="仿宋" w:cs="仿宋"/>
          <w:b/>
          <w:bCs/>
          <w:kern w:val="2"/>
          <w:sz w:val="44"/>
          <w:szCs w:val="44"/>
          <w:highlight w:val="none"/>
          <w:lang w:val="en-US" w:eastAsia="zh-CN" w:bidi="ar-SA"/>
        </w:rPr>
        <w:t xml:space="preserve"> </w:t>
      </w:r>
    </w:p>
    <w:p>
      <w:pPr>
        <w:pStyle w:val="23"/>
        <w:spacing w:line="360" w:lineRule="auto"/>
        <w:ind w:firstLine="480" w:firstLineChars="200"/>
        <w:rPr>
          <w:rFonts w:hint="eastAsia" w:ascii="仿宋" w:hAnsi="仿宋" w:eastAsia="仿宋" w:cs="仿宋"/>
          <w:sz w:val="24"/>
          <w:szCs w:val="24"/>
          <w:highlight w:val="none"/>
        </w:rPr>
      </w:pPr>
    </w:p>
    <w:p>
      <w:pPr>
        <w:pStyle w:val="14"/>
        <w:keepNext w:val="0"/>
        <w:keepLines w:val="0"/>
        <w:pageBreakBefore w:val="0"/>
        <w:widowControl/>
        <w:numPr>
          <w:ilvl w:val="0"/>
          <w:numId w:val="1"/>
        </w:numPr>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具有独立承担民事责任的能力，具有土地规划乙级或测绘甲级以上（含）资质、提供营业执照及资质证书复印件。</w:t>
      </w:r>
    </w:p>
    <w:p>
      <w:pPr>
        <w:pStyle w:val="14"/>
        <w:keepNext w:val="0"/>
        <w:keepLines w:val="0"/>
        <w:pageBreakBefore w:val="0"/>
        <w:widowControl/>
        <w:numPr>
          <w:ilvl w:val="0"/>
          <w:numId w:val="1"/>
        </w:numPr>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具有良好的商业信誉和健全的财务会计制度，提供2023年或者2024年经第三方审计的审计报告复印件。</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3.具有履行合同所必需的设备和专业技术能力，供应商根据本次服务内容自行提供。</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4.有依法缴纳税收和社会保障资金的良好记录，提供2024年6月至今任意三个月依法缴纳税收和社保的相关证明材料。</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5.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6.法定代表人身份证明书或者法定代表人授权委托书（格式自拟）</w:t>
      </w:r>
    </w:p>
    <w:p>
      <w:pPr>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14" w:name="_Toc5800"/>
      <w:bookmarkStart w:id="15" w:name="_Toc24893"/>
      <w:r>
        <w:rPr>
          <w:rFonts w:hint="eastAsia" w:ascii="仿宋" w:hAnsi="仿宋" w:eastAsia="仿宋" w:cs="仿宋"/>
          <w:b/>
          <w:bCs/>
          <w:kern w:val="2"/>
          <w:sz w:val="44"/>
          <w:szCs w:val="44"/>
          <w:highlight w:val="none"/>
          <w:lang w:val="en-US" w:eastAsia="zh-CN" w:bidi="ar-SA"/>
        </w:rPr>
        <w:t>第四部分 评审内容的证明文件</w:t>
      </w:r>
      <w:bookmarkEnd w:id="14"/>
      <w:bookmarkEnd w:id="15"/>
      <w:r>
        <w:rPr>
          <w:rFonts w:hint="eastAsia" w:ascii="仿宋" w:hAnsi="仿宋" w:eastAsia="仿宋" w:cs="仿宋"/>
          <w:b/>
          <w:bCs/>
          <w:kern w:val="2"/>
          <w:sz w:val="44"/>
          <w:szCs w:val="44"/>
          <w:highlight w:val="none"/>
          <w:lang w:val="en-US" w:eastAsia="zh-CN" w:bidi="ar-SA"/>
        </w:rPr>
        <w:t xml:space="preserve"> </w:t>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right="0" w:firstLine="560" w:firstLineChars="20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根据评分标准内容自行提供。</w:t>
      </w:r>
    </w:p>
    <w:p>
      <w:pPr>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br w:type="page"/>
      </w:r>
    </w:p>
    <w:p>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center"/>
        <w:textAlignment w:val="auto"/>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第五部分 其他资料</w:t>
      </w:r>
    </w:p>
    <w:p>
      <w:pPr>
        <w:spacing w:line="360" w:lineRule="auto"/>
        <w:ind w:firstLine="480" w:firstLineChars="200"/>
        <w:rPr>
          <w:rFonts w:hint="eastAsia" w:ascii="仿宋" w:hAnsi="仿宋" w:eastAsia="仿宋" w:cs="仿宋"/>
          <w:sz w:val="24"/>
          <w:szCs w:val="24"/>
          <w:highlight w:val="none"/>
        </w:rPr>
      </w:pPr>
    </w:p>
    <w:p>
      <w:pPr>
        <w:pStyle w:val="22"/>
        <w:rPr>
          <w:rFonts w:hint="eastAsia" w:ascii="仿宋" w:hAnsi="仿宋" w:eastAsia="仿宋" w:cs="仿宋"/>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8"/>
          <w:szCs w:val="28"/>
          <w:highlight w:val="none"/>
          <w:lang w:val="en-US" w:eastAsia="zh-CN"/>
        </w:rPr>
        <w:t>供</w:t>
      </w:r>
      <w:r>
        <w:rPr>
          <w:rFonts w:hint="eastAsia" w:ascii="仿宋" w:hAnsi="仿宋" w:eastAsia="仿宋" w:cs="仿宋"/>
          <w:kern w:val="2"/>
          <w:sz w:val="28"/>
          <w:szCs w:val="28"/>
          <w:highlight w:val="none"/>
          <w:lang w:val="en-US" w:eastAsia="zh-CN" w:bidi="ar-SA"/>
        </w:rPr>
        <w:t>应商认为与本项目相关的其他佐证文件、声明及承诺（格式自拟，复印或扫描件须加盖供应商公章）</w:t>
      </w:r>
      <w:r>
        <w:rPr>
          <w:rFonts w:hint="eastAsia" w:ascii="仿宋" w:hAnsi="仿宋" w:eastAsia="仿宋" w:cs="仿宋"/>
          <w:kern w:val="2"/>
          <w:sz w:val="28"/>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rPr>
      </w:pPr>
      <w:r>
        <w:rPr>
          <w:rFonts w:hint="eastAsia" w:ascii="仿宋" w:hAnsi="仿宋" w:eastAsia="仿宋" w:cs="仿宋"/>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831AFE-8E7F-4476-9AF4-0EECF5128B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CF28FB44-6D6E-4BB0-BD74-F0C6EE5ACC3A}"/>
  </w:font>
  <w:font w:name="方正公文小标宋">
    <w:panose1 w:val="02000500000000000000"/>
    <w:charset w:val="86"/>
    <w:family w:val="auto"/>
    <w:pitch w:val="default"/>
    <w:sig w:usb0="00000000" w:usb1="00000000" w:usb2="00000000" w:usb3="00000000" w:csb0="00000000" w:csb1="00000000"/>
    <w:embedRegular r:id="rId3" w:fontKey="{27F0E4A7-D585-46D1-95DB-8C68F45BFD16}"/>
  </w:font>
  <w:font w:name="仿宋">
    <w:panose1 w:val="02010609060101010101"/>
    <w:charset w:val="86"/>
    <w:family w:val="auto"/>
    <w:pitch w:val="default"/>
    <w:sig w:usb0="800002BF" w:usb1="38CF7CFA" w:usb2="00000016" w:usb3="00000000" w:csb0="00040001" w:csb1="00000000"/>
    <w:embedRegular r:id="rId4" w:fontKey="{6C798803-A8AE-4FCE-AA85-4565C615AEB1}"/>
  </w:font>
  <w:font w:name="楷体_GB2312">
    <w:panose1 w:val="02010609030101010101"/>
    <w:charset w:val="86"/>
    <w:family w:val="auto"/>
    <w:pitch w:val="default"/>
    <w:sig w:usb0="00000001" w:usb1="080E0000" w:usb2="00000000" w:usb3="00000000" w:csb0="00040000" w:csb1="00000000"/>
    <w:embedRegular r:id="rId5" w:fontKey="{7AADE97A-E770-46E9-B196-2290A6F5BA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21AC1"/>
    <w:multiLevelType w:val="singleLevel"/>
    <w:tmpl w:val="47A21AC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YWM2NjNlZjhiMWRmY2E4Yjg3ZjM1NzM5MTk0MmEifQ=="/>
  </w:docVars>
  <w:rsids>
    <w:rsidRoot w:val="34C83465"/>
    <w:rsid w:val="04F546DF"/>
    <w:rsid w:val="05A13214"/>
    <w:rsid w:val="06022AF2"/>
    <w:rsid w:val="084F6F27"/>
    <w:rsid w:val="08841607"/>
    <w:rsid w:val="08A258BA"/>
    <w:rsid w:val="09690877"/>
    <w:rsid w:val="096A0951"/>
    <w:rsid w:val="0BBA2E9D"/>
    <w:rsid w:val="0C9F66CF"/>
    <w:rsid w:val="0CCD34A6"/>
    <w:rsid w:val="149A2D26"/>
    <w:rsid w:val="14C521D2"/>
    <w:rsid w:val="14DD1B3E"/>
    <w:rsid w:val="16B8664E"/>
    <w:rsid w:val="16DA6632"/>
    <w:rsid w:val="17F925C6"/>
    <w:rsid w:val="18C4563A"/>
    <w:rsid w:val="1A501008"/>
    <w:rsid w:val="1AAA18CB"/>
    <w:rsid w:val="1B1464DA"/>
    <w:rsid w:val="1B330A01"/>
    <w:rsid w:val="1B6A7857"/>
    <w:rsid w:val="20146874"/>
    <w:rsid w:val="21CA5B44"/>
    <w:rsid w:val="23294AEC"/>
    <w:rsid w:val="291E540C"/>
    <w:rsid w:val="297F5544"/>
    <w:rsid w:val="2A1B4A63"/>
    <w:rsid w:val="2AC322DA"/>
    <w:rsid w:val="2CDE660B"/>
    <w:rsid w:val="2E342663"/>
    <w:rsid w:val="311E07BE"/>
    <w:rsid w:val="320932B3"/>
    <w:rsid w:val="329E04FD"/>
    <w:rsid w:val="331F7196"/>
    <w:rsid w:val="346E7194"/>
    <w:rsid w:val="34757B91"/>
    <w:rsid w:val="34C83465"/>
    <w:rsid w:val="375268D9"/>
    <w:rsid w:val="382D2F2F"/>
    <w:rsid w:val="3A373367"/>
    <w:rsid w:val="3F7E6BD7"/>
    <w:rsid w:val="41A50F2D"/>
    <w:rsid w:val="42960D77"/>
    <w:rsid w:val="42A73BFC"/>
    <w:rsid w:val="49D3304E"/>
    <w:rsid w:val="4D30155F"/>
    <w:rsid w:val="4DF416CF"/>
    <w:rsid w:val="50484307"/>
    <w:rsid w:val="51BB3FB5"/>
    <w:rsid w:val="529A6545"/>
    <w:rsid w:val="52D92BC3"/>
    <w:rsid w:val="539C46FD"/>
    <w:rsid w:val="547D48BF"/>
    <w:rsid w:val="552503C0"/>
    <w:rsid w:val="58A761F7"/>
    <w:rsid w:val="5A7167B8"/>
    <w:rsid w:val="5AA11B84"/>
    <w:rsid w:val="5AB54F35"/>
    <w:rsid w:val="5BA60EE2"/>
    <w:rsid w:val="5BBB34C2"/>
    <w:rsid w:val="5BD55172"/>
    <w:rsid w:val="5D101956"/>
    <w:rsid w:val="5E7F418C"/>
    <w:rsid w:val="60E70C20"/>
    <w:rsid w:val="64814721"/>
    <w:rsid w:val="68AD2B7A"/>
    <w:rsid w:val="6A273A89"/>
    <w:rsid w:val="6B5A490A"/>
    <w:rsid w:val="6BA93791"/>
    <w:rsid w:val="6BF1329A"/>
    <w:rsid w:val="6D596C2B"/>
    <w:rsid w:val="6D7D7AD8"/>
    <w:rsid w:val="6E0B1A43"/>
    <w:rsid w:val="6FA7340F"/>
    <w:rsid w:val="6FB23CA5"/>
    <w:rsid w:val="7337786F"/>
    <w:rsid w:val="73927111"/>
    <w:rsid w:val="73ED2599"/>
    <w:rsid w:val="743D3025"/>
    <w:rsid w:val="77056CE4"/>
    <w:rsid w:val="77D53A70"/>
    <w:rsid w:val="79356554"/>
    <w:rsid w:val="7AB72952"/>
    <w:rsid w:val="7BA94FF8"/>
    <w:rsid w:val="7CD42D72"/>
    <w:rsid w:val="7FAA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firstLine="0"/>
    </w:pPr>
  </w:style>
  <w:style w:type="paragraph" w:styleId="6">
    <w:name w:val="Normal Indent"/>
    <w:basedOn w:val="5"/>
    <w:next w:val="1"/>
    <w:qFormat/>
    <w:uiPriority w:val="0"/>
    <w:pPr>
      <w:ind w:firstLine="420"/>
    </w:pPr>
    <w:rPr>
      <w:rFonts w:ascii="Times New Roman" w:hAnsi="Times New Roman"/>
      <w:szCs w:val="20"/>
    </w:rPr>
  </w:style>
  <w:style w:type="paragraph" w:styleId="7">
    <w:name w:val="index 6"/>
    <w:basedOn w:val="1"/>
    <w:next w:val="1"/>
    <w:qFormat/>
    <w:uiPriority w:val="0"/>
    <w:pPr>
      <w:ind w:left="2100"/>
    </w:pPr>
  </w:style>
  <w:style w:type="paragraph" w:styleId="8">
    <w:name w:val="Body Text"/>
    <w:basedOn w:val="1"/>
    <w:unhideWhenUsed/>
    <w:qFormat/>
    <w:uiPriority w:val="0"/>
    <w:pPr>
      <w:spacing w:after="120"/>
    </w:pPr>
  </w:style>
  <w:style w:type="paragraph" w:styleId="9">
    <w:name w:val="Body Text Indent"/>
    <w:basedOn w:val="1"/>
    <w:next w:val="10"/>
    <w:qFormat/>
    <w:uiPriority w:val="0"/>
    <w:pPr>
      <w:ind w:firstLine="601" w:firstLineChars="200"/>
    </w:pPr>
    <w:rPr>
      <w:rFonts w:ascii="Times New Roman" w:hAnsi="Times New Roman" w:eastAsia="仿宋_GB2312" w:cs="Times New Roman"/>
      <w:b/>
      <w:bCs/>
      <w:kern w:val="2"/>
      <w:sz w:val="30"/>
      <w:lang w:val="en-US" w:eastAsia="zh-CN" w:bidi="ar-SA"/>
    </w:rPr>
  </w:style>
  <w:style w:type="paragraph" w:styleId="10">
    <w:name w:val="Body Text Indent 2"/>
    <w:basedOn w:val="1"/>
    <w:unhideWhenUsed/>
    <w:qFormat/>
    <w:uiPriority w:val="99"/>
    <w:pPr>
      <w:spacing w:line="500" w:lineRule="exact"/>
      <w:ind w:firstLine="420" w:firstLineChars="200"/>
    </w:pPr>
    <w:rPr>
      <w:rFonts w:ascii="宋体"/>
    </w:rPr>
  </w:style>
  <w:style w:type="paragraph" w:styleId="11">
    <w:name w:val="Plain Text"/>
    <w:basedOn w:val="1"/>
    <w:next w:val="1"/>
    <w:qFormat/>
    <w:uiPriority w:val="0"/>
    <w:rPr>
      <w:rFonts w:ascii="宋体" w:hAnsi="Courier New" w:cs="Courier New"/>
      <w:kern w:val="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0"/>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9"/>
    <w:next w:val="1"/>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rFonts w:eastAsia="黑体"/>
      <w:bCs/>
    </w:rPr>
  </w:style>
  <w:style w:type="character" w:styleId="20">
    <w:name w:val="Hyperlink"/>
    <w:basedOn w:val="18"/>
    <w:qFormat/>
    <w:uiPriority w:val="0"/>
    <w:rPr>
      <w:color w:val="0000FF"/>
      <w:u w:val="single"/>
    </w:rPr>
  </w:style>
  <w:style w:type="paragraph" w:customStyle="1" w:styleId="21">
    <w:name w:val="表格文字"/>
    <w:qFormat/>
    <w:uiPriority w:val="0"/>
    <w:pPr>
      <w:widowControl w:val="0"/>
      <w:spacing w:after="120"/>
      <w:ind w:firstLine="420"/>
      <w:jc w:val="both"/>
    </w:pPr>
    <w:rPr>
      <w:rFonts w:ascii="Times New Roman" w:hAnsi="Times New Roman" w:eastAsia="宋体" w:cs="Times New Roman"/>
      <w:kern w:val="2"/>
      <w:sz w:val="21"/>
      <w:szCs w:val="24"/>
      <w:lang w:val="en-US" w:eastAsia="zh-CN" w:bidi="ar-SA"/>
    </w:rPr>
  </w:style>
  <w:style w:type="paragraph" w:customStyle="1" w:styleId="22">
    <w:name w:val="列出段落1"/>
    <w:basedOn w:val="1"/>
    <w:qFormat/>
    <w:uiPriority w:val="34"/>
    <w:pPr>
      <w:ind w:firstLine="420" w:firstLineChars="200"/>
    </w:pPr>
    <w:rPr>
      <w:rFonts w:ascii="宋体" w:hAnsi="宋体" w:eastAsia="宋体" w:cs="Times New Roman"/>
      <w:kern w:val="0"/>
      <w:sz w:val="20"/>
    </w:rPr>
  </w:style>
  <w:style w:type="paragraph" w:customStyle="1" w:styleId="23">
    <w:name w:val="Plain Text"/>
    <w:basedOn w:val="1"/>
    <w:qFormat/>
    <w:uiPriority w:val="0"/>
    <w:pPr>
      <w:widowControl w:val="0"/>
      <w:jc w:val="both"/>
    </w:pPr>
    <w:rPr>
      <w:rFonts w:ascii="宋体" w:hAnsi="Courier New"/>
      <w:szCs w:val="21"/>
    </w:rPr>
  </w:style>
  <w:style w:type="paragraph" w:customStyle="1" w:styleId="24">
    <w:name w:val="PwC Normal"/>
    <w:basedOn w:val="1"/>
    <w:qFormat/>
    <w:uiPriority w:val="0"/>
    <w:pPr>
      <w:spacing w:before="180" w:after="180" w:line="240" w:lineRule="atLeast"/>
    </w:pPr>
  </w:style>
  <w:style w:type="character" w:customStyle="1" w:styleId="25">
    <w:name w:val="divcss5"/>
    <w:basedOn w:val="18"/>
    <w:qFormat/>
    <w:uiPriority w:val="0"/>
  </w:style>
  <w:style w:type="paragraph" w:customStyle="1" w:styleId="26">
    <w:name w:val="列出段落"/>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5625</Words>
  <Characters>6080</Characters>
  <Lines>0</Lines>
  <Paragraphs>0</Paragraphs>
  <TotalTime>21</TotalTime>
  <ScaleCrop>false</ScaleCrop>
  <LinksUpToDate>false</LinksUpToDate>
  <CharactersWithSpaces>6195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2024-03-05T10:12:00Z</dcterms:created>
  <dc:creator>封尘</dc:creator>
  <cp:lastModifiedBy>田大瑶 </cp:lastModifiedBy>
  <cp:lastPrinted>2024-09-02T08:50:00Z</cp:lastPrinted>
  <dcterms:modified xsi:type="dcterms:W3CDTF">2025-07-11T08:15:12Z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4961CFACD9734611979466922F9807BB_13</vt:lpwstr>
  </property>
  <property fmtid="{D5CDD505-2E9C-101B-9397-08002B2CF9AE}" pid="4" name="KSOTemplateDocerSaveRecord">
    <vt:lpwstr>eyJoZGlkIjoiZjg5NTA5ZGE0OTkyNWFlNTExM2U4OTc5Yjk1ODE5MjMiLCJ1c2VySWQiOiI0Mjg5MDg3ODMifQ==</vt:lpwstr>
  </property>
</Properties>
</file>