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line="360" w:lineRule="auto"/>
        <w:jc w:val="left"/>
        <w:rPr>
          <w:rFonts w:ascii="Times New Roman" w:hAnsi="Times New Roman"/>
          <w:sz w:val="28"/>
          <w:szCs w:val="28"/>
        </w:rPr>
      </w:pPr>
      <w:r>
        <w:rPr>
          <w:rFonts w:hint="eastAsia" w:ascii="Times New Roman" w:hAnsi="Times New Roman"/>
          <w:sz w:val="28"/>
          <w:szCs w:val="28"/>
        </w:rPr>
        <w:t>附件</w:t>
      </w:r>
    </w:p>
    <w:p>
      <w:pPr>
        <w:pStyle w:val="7"/>
        <w:spacing w:before="0" w:line="360" w:lineRule="auto"/>
        <w:ind w:left="-6" w:firstLine="6"/>
        <w:rPr>
          <w:rFonts w:ascii="Times New Roman" w:hAnsi="Times New Roman"/>
          <w:sz w:val="28"/>
          <w:szCs w:val="28"/>
        </w:rPr>
      </w:pPr>
      <w:r>
        <w:rPr>
          <w:rFonts w:hint="eastAsia" w:ascii="Times New Roman" w:hAnsi="Times New Roman"/>
          <w:sz w:val="28"/>
          <w:szCs w:val="28"/>
        </w:rPr>
        <w:t>评分内容</w:t>
      </w:r>
    </w:p>
    <w:p>
      <w:pPr>
        <w:pStyle w:val="10"/>
        <w:rPr>
          <w:rFonts w:ascii="Times New Roman" w:hAnsi="Times New Roman"/>
        </w:rPr>
      </w:pPr>
    </w:p>
    <w:tbl>
      <w:tblPr>
        <w:tblStyle w:val="18"/>
        <w:tblW w:w="91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0"/>
        <w:gridCol w:w="8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920" w:type="dxa"/>
            <w:shd w:val="clear" w:color="000000" w:fill="FFFFFF"/>
            <w:vAlign w:val="center"/>
          </w:tcPr>
          <w:p>
            <w:pPr>
              <w:widowControl/>
              <w:spacing w:line="440" w:lineRule="exact"/>
              <w:rPr>
                <w:rFonts w:ascii="Times New Roman" w:hAnsi="Times New Roman" w:cs="宋体"/>
                <w:b/>
                <w:bCs/>
                <w:szCs w:val="21"/>
              </w:rPr>
            </w:pPr>
            <w:r>
              <w:rPr>
                <w:rFonts w:hint="eastAsia" w:ascii="Times New Roman" w:hAnsi="Times New Roman" w:cs="宋体"/>
                <w:b/>
                <w:bCs/>
                <w:szCs w:val="21"/>
              </w:rPr>
              <w:t>评分项</w:t>
            </w:r>
          </w:p>
        </w:tc>
        <w:tc>
          <w:tcPr>
            <w:tcW w:w="8244" w:type="dxa"/>
            <w:shd w:val="clear" w:color="000000" w:fill="FFFFFF"/>
            <w:vAlign w:val="center"/>
          </w:tcPr>
          <w:p>
            <w:pPr>
              <w:widowControl/>
              <w:spacing w:line="440" w:lineRule="exact"/>
              <w:jc w:val="center"/>
              <w:rPr>
                <w:rFonts w:ascii="Times New Roman" w:hAnsi="Times New Roman" w:cs="宋体"/>
                <w:szCs w:val="21"/>
              </w:rPr>
            </w:pPr>
            <w:r>
              <w:rPr>
                <w:rFonts w:hint="eastAsia" w:ascii="Times New Roman" w:hAnsi="Times New Roman" w:cs="宋体"/>
                <w:b/>
                <w:bCs/>
                <w:szCs w:val="21"/>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920" w:type="dxa"/>
            <w:shd w:val="clear" w:color="000000" w:fill="FFFFFF"/>
            <w:vAlign w:val="center"/>
          </w:tcPr>
          <w:p>
            <w:pPr>
              <w:widowControl/>
              <w:spacing w:line="440" w:lineRule="exact"/>
              <w:rPr>
                <w:rFonts w:ascii="Times New Roman" w:hAnsi="Times New Roman" w:cs="宋体"/>
                <w:szCs w:val="21"/>
              </w:rPr>
            </w:pPr>
            <w:r>
              <w:rPr>
                <w:rFonts w:hint="eastAsia" w:ascii="Times New Roman" w:hAnsi="Times New Roman" w:cs="宋体"/>
                <w:b/>
                <w:bCs/>
                <w:szCs w:val="21"/>
              </w:rPr>
              <w:t xml:space="preserve">报价分 </w:t>
            </w:r>
            <w:r>
              <w:rPr>
                <w:rFonts w:hint="eastAsia" w:ascii="Times New Roman" w:hAnsi="Times New Roman" w:cs="宋体"/>
                <w:b/>
                <w:bCs/>
                <w:szCs w:val="21"/>
              </w:rPr>
              <w:br w:type="textWrapping"/>
            </w:r>
            <w:r>
              <w:rPr>
                <w:rFonts w:hint="eastAsia" w:ascii="Times New Roman" w:hAnsi="Times New Roman" w:cs="宋体"/>
                <w:b/>
                <w:bCs/>
                <w:szCs w:val="21"/>
              </w:rPr>
              <w:t>(15分)</w:t>
            </w:r>
          </w:p>
        </w:tc>
        <w:tc>
          <w:tcPr>
            <w:tcW w:w="8244" w:type="dxa"/>
            <w:shd w:val="clear" w:color="000000" w:fill="FFFFFF"/>
            <w:vAlign w:val="center"/>
          </w:tcPr>
          <w:p>
            <w:pPr>
              <w:widowControl/>
              <w:spacing w:line="440" w:lineRule="exact"/>
              <w:rPr>
                <w:rFonts w:ascii="Times New Roman" w:hAnsi="Times New Roman" w:cs="宋体"/>
                <w:szCs w:val="21"/>
              </w:rPr>
            </w:pPr>
            <w:r>
              <w:rPr>
                <w:rFonts w:hint="eastAsia" w:ascii="Times New Roman" w:hAnsi="Times New Roman" w:cs="宋体"/>
                <w:b/>
                <w:bCs/>
                <w:szCs w:val="21"/>
              </w:rPr>
              <w:t>报价分（15分）</w:t>
            </w:r>
          </w:p>
          <w:p>
            <w:pPr>
              <w:widowControl/>
              <w:spacing w:line="440" w:lineRule="exact"/>
              <w:rPr>
                <w:rFonts w:ascii="Times New Roman" w:hAnsi="Times New Roman" w:cs="宋体"/>
                <w:szCs w:val="21"/>
              </w:rPr>
            </w:pPr>
            <w:r>
              <w:rPr>
                <w:rFonts w:hint="eastAsia" w:ascii="Times New Roman" w:hAnsi="Times New Roman" w:cs="宋体"/>
                <w:szCs w:val="21"/>
              </w:rPr>
              <w:t>投标报价得分=(评标基准价/投标报价)×100×价格权重</w:t>
            </w:r>
            <w:r>
              <w:rPr>
                <w:rFonts w:hint="eastAsia" w:ascii="Times New Roman" w:hAnsi="Times New Roman" w:cs="宋体"/>
                <w:szCs w:val="21"/>
              </w:rPr>
              <w:br w:type="textWrapping"/>
            </w:r>
            <w:r>
              <w:rPr>
                <w:rFonts w:hint="eastAsia" w:ascii="Times New Roman" w:hAnsi="Times New Roman" w:cs="宋体"/>
                <w:szCs w:val="21"/>
              </w:rPr>
              <w:t>注: 1.评标基准价指满足采购公告要求且投标价格(或扣除后价格)最低的投标报价</w:t>
            </w:r>
            <w:bookmarkStart w:id="0" w:name="_Toc2970"/>
            <w:bookmarkStart w:id="1" w:name="_Toc488100253"/>
            <w:r>
              <w:rPr>
                <w:rFonts w:hint="eastAsia" w:ascii="Times New Roman" w:hAnsi="Times New Roman" w:cs="宋体"/>
                <w:szCs w:val="21"/>
              </w:rPr>
              <w:t>；</w:t>
            </w:r>
          </w:p>
          <w:p>
            <w:pPr>
              <w:widowControl/>
              <w:spacing w:line="440" w:lineRule="exact"/>
              <w:rPr>
                <w:rFonts w:ascii="Times New Roman" w:hAnsi="Times New Roman" w:cs="宋体"/>
                <w:szCs w:val="21"/>
              </w:rPr>
            </w:pPr>
            <w:r>
              <w:rPr>
                <w:rFonts w:hint="eastAsia" w:ascii="Times New Roman" w:hAnsi="Times New Roman" w:cs="宋体"/>
                <w:szCs w:val="21"/>
              </w:rPr>
              <w:t>2.供应商投标报价超过财政控制价的将作无效投标处理；</w:t>
            </w:r>
          </w:p>
          <w:p>
            <w:pPr>
              <w:widowControl/>
              <w:spacing w:line="440" w:lineRule="exact"/>
              <w:rPr>
                <w:rFonts w:ascii="Times New Roman" w:hAnsi="Times New Roman" w:cs="宋体"/>
                <w:szCs w:val="21"/>
              </w:rPr>
            </w:pPr>
            <w:r>
              <w:rPr>
                <w:rFonts w:hint="eastAsia" w:ascii="Times New Roman" w:hAnsi="Times New Roman" w:cs="宋体"/>
                <w:szCs w:val="21"/>
              </w:rPr>
              <w:t>3.评审小组认为供应商的报价明显低于其他通过符合性审查供应商的报价，有可能影响服务质量或者不能诚信履约的，应当要求其在合理的时间内提供书面说明，必要时提供相关材料；</w:t>
            </w:r>
            <w:bookmarkStart w:id="2" w:name="auto_fouce_18"/>
            <w:r>
              <w:rPr>
                <w:rFonts w:hint="eastAsia" w:ascii="Times New Roman" w:hAnsi="Times New Roman" w:cs="宋体"/>
                <w:szCs w:val="21"/>
              </w:rPr>
              <w:t>供应商不能证明其报价合理性的，评审小组应当将其作为无效投标处理。</w:t>
            </w:r>
            <w:bookmarkEnd w:id="0"/>
            <w:bookmarkEnd w:id="1"/>
            <w:bookmarkEnd w:id="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20" w:type="dxa"/>
            <w:vMerge w:val="restart"/>
            <w:shd w:val="clear" w:color="000000" w:fill="FFFFFF"/>
            <w:vAlign w:val="center"/>
          </w:tcPr>
          <w:p>
            <w:pPr>
              <w:widowControl/>
              <w:spacing w:line="440" w:lineRule="exact"/>
              <w:jc w:val="center"/>
              <w:rPr>
                <w:rFonts w:ascii="Times New Roman" w:hAnsi="Times New Roman" w:cs="宋体"/>
                <w:szCs w:val="21"/>
              </w:rPr>
            </w:pPr>
            <w:r>
              <w:rPr>
                <w:rFonts w:hint="eastAsia" w:ascii="Times New Roman" w:hAnsi="Times New Roman" w:cs="宋体"/>
                <w:b/>
                <w:bCs/>
                <w:szCs w:val="21"/>
              </w:rPr>
              <w:t>技术分</w:t>
            </w:r>
            <w:r>
              <w:rPr>
                <w:rFonts w:hint="eastAsia" w:ascii="Times New Roman" w:hAnsi="Times New Roman" w:cs="宋体"/>
                <w:b/>
                <w:bCs/>
                <w:szCs w:val="21"/>
              </w:rPr>
              <w:br w:type="textWrapping"/>
            </w:r>
            <w:r>
              <w:rPr>
                <w:rFonts w:hint="eastAsia" w:ascii="Times New Roman" w:hAnsi="Times New Roman" w:cs="宋体"/>
                <w:b/>
                <w:bCs/>
                <w:szCs w:val="21"/>
              </w:rPr>
              <w:t>(45分)</w:t>
            </w:r>
          </w:p>
        </w:tc>
        <w:tc>
          <w:tcPr>
            <w:tcW w:w="8244" w:type="dxa"/>
            <w:shd w:val="clear" w:color="000000" w:fill="FFFFFF"/>
            <w:vAlign w:val="center"/>
          </w:tcPr>
          <w:p>
            <w:pPr>
              <w:widowControl/>
              <w:spacing w:line="440" w:lineRule="exact"/>
              <w:jc w:val="left"/>
              <w:rPr>
                <w:rFonts w:ascii="Times New Roman" w:hAnsi="Times New Roman" w:cs="宋体"/>
                <w:szCs w:val="21"/>
              </w:rPr>
            </w:pPr>
            <w:r>
              <w:rPr>
                <w:rFonts w:hint="eastAsia" w:ascii="Times New Roman" w:hAnsi="Times New Roman" w:cs="宋体"/>
                <w:b/>
                <w:bCs/>
                <w:szCs w:val="21"/>
              </w:rPr>
              <w:t>总体方案（15分）</w:t>
            </w:r>
          </w:p>
          <w:p>
            <w:pPr>
              <w:widowControl/>
              <w:spacing w:line="440" w:lineRule="exact"/>
              <w:jc w:val="left"/>
              <w:rPr>
                <w:rFonts w:ascii="Times New Roman" w:hAnsi="Times New Roman" w:cs="宋体"/>
                <w:szCs w:val="21"/>
              </w:rPr>
            </w:pPr>
            <w:r>
              <w:rPr>
                <w:rFonts w:hint="eastAsia" w:ascii="Times New Roman" w:hAnsi="Times New Roman" w:cs="宋体"/>
                <w:szCs w:val="21"/>
              </w:rPr>
              <w:t>提供</w:t>
            </w:r>
            <w:r>
              <w:rPr>
                <w:rFonts w:hint="eastAsia" w:ascii="Times New Roman" w:hAnsi="Times New Roman" w:cs="宋体"/>
                <w:szCs w:val="21"/>
                <w:lang w:eastAsia="zh-Hans"/>
              </w:rPr>
              <w:t>本次</w:t>
            </w:r>
            <w:r>
              <w:rPr>
                <w:rFonts w:hint="eastAsia" w:ascii="Times New Roman" w:hAnsi="Times New Roman" w:cs="宋体"/>
                <w:szCs w:val="21"/>
              </w:rPr>
              <w:t>审计服务的总体方案：内容完善</w:t>
            </w:r>
            <w:r>
              <w:rPr>
                <w:rFonts w:hint="eastAsia" w:ascii="Times New Roman" w:hAnsi="Times New Roman" w:cs="宋体"/>
                <w:szCs w:val="21"/>
                <w:lang w:eastAsia="zh-Hans"/>
              </w:rPr>
              <w:t>、结构清晰、合理可行，且有针对性。</w:t>
            </w:r>
            <w:bookmarkStart w:id="3" w:name="auto_fouce_20"/>
            <w:r>
              <w:rPr>
                <w:rFonts w:hint="eastAsia" w:ascii="Times New Roman" w:hAnsi="Times New Roman" w:cs="宋体"/>
                <w:szCs w:val="21"/>
              </w:rPr>
              <w:t>评审专家根据方案进行横向比较综合评定0-15分，不提供不计分。</w:t>
            </w:r>
            <w:bookmarkEnd w:id="3"/>
            <w:r>
              <w:rPr>
                <w:rFonts w:hint="eastAsia" w:ascii="Times New Roman" w:hAnsi="Times New Roman" w:cs="宋体"/>
                <w:szCs w:val="21"/>
              </w:rPr>
              <w:t>评分时应参考方案的完整性、针对性、可操作性、风险控制措施等维度，分档标准如下：</w:t>
            </w:r>
          </w:p>
          <w:p>
            <w:pPr>
              <w:widowControl/>
              <w:spacing w:line="440" w:lineRule="exact"/>
              <w:jc w:val="left"/>
              <w:rPr>
                <w:rFonts w:ascii="Times New Roman" w:hAnsi="Times New Roman" w:cs="宋体"/>
                <w:szCs w:val="21"/>
              </w:rPr>
            </w:pPr>
            <w:r>
              <w:rPr>
                <w:rFonts w:hint="eastAsia" w:ascii="Times New Roman" w:hAnsi="Times New Roman" w:cs="宋体"/>
                <w:szCs w:val="21"/>
              </w:rPr>
              <w:t>1.方案内容极为完善且高度针对本项目，得13-15分；</w:t>
            </w:r>
          </w:p>
          <w:p>
            <w:pPr>
              <w:widowControl/>
              <w:spacing w:line="440" w:lineRule="exact"/>
              <w:jc w:val="left"/>
              <w:rPr>
                <w:rFonts w:ascii="Times New Roman" w:hAnsi="Times New Roman" w:cs="宋体"/>
                <w:szCs w:val="21"/>
              </w:rPr>
            </w:pPr>
            <w:r>
              <w:rPr>
                <w:rFonts w:hint="eastAsia" w:ascii="Times New Roman" w:hAnsi="Times New Roman" w:cs="宋体"/>
                <w:szCs w:val="21"/>
              </w:rPr>
              <w:t>2.内容较完善，针对性较强，得9-12分；</w:t>
            </w:r>
          </w:p>
          <w:p>
            <w:pPr>
              <w:widowControl/>
              <w:spacing w:line="440" w:lineRule="exact"/>
              <w:jc w:val="left"/>
              <w:rPr>
                <w:rFonts w:ascii="Times New Roman" w:hAnsi="Times New Roman" w:cs="宋体"/>
                <w:szCs w:val="21"/>
              </w:rPr>
            </w:pPr>
            <w:r>
              <w:rPr>
                <w:rFonts w:hint="eastAsia" w:ascii="Times New Roman" w:hAnsi="Times New Roman" w:cs="宋体"/>
                <w:szCs w:val="21"/>
              </w:rPr>
              <w:t>3.内容一般，针对性一般，得5-8分；</w:t>
            </w:r>
          </w:p>
          <w:p>
            <w:pPr>
              <w:widowControl/>
              <w:spacing w:line="440" w:lineRule="exact"/>
              <w:jc w:val="left"/>
              <w:rPr>
                <w:rFonts w:ascii="Times New Roman" w:hAnsi="Times New Roman" w:cs="宋体"/>
                <w:szCs w:val="21"/>
              </w:rPr>
            </w:pPr>
            <w:r>
              <w:rPr>
                <w:rFonts w:hint="eastAsia" w:ascii="Times New Roman" w:hAnsi="Times New Roman" w:cs="宋体"/>
                <w:szCs w:val="21"/>
              </w:rPr>
              <w:t>4.内容较弱，针对性不足，得1-4分；</w:t>
            </w:r>
          </w:p>
          <w:p>
            <w:pPr>
              <w:widowControl/>
              <w:spacing w:line="440" w:lineRule="exact"/>
              <w:jc w:val="left"/>
              <w:rPr>
                <w:rFonts w:ascii="Times New Roman" w:hAnsi="Times New Roman" w:cs="宋体"/>
                <w:szCs w:val="21"/>
              </w:rPr>
            </w:pPr>
            <w:r>
              <w:rPr>
                <w:rFonts w:hint="eastAsia" w:ascii="Times New Roman" w:hAnsi="Times New Roman" w:cs="宋体"/>
                <w:szCs w:val="21"/>
              </w:rPr>
              <w:t>5.内容不完整或无针对性，得0分。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20" w:type="dxa"/>
            <w:vMerge w:val="continue"/>
            <w:shd w:val="clear" w:color="000000" w:fill="FFFFFF"/>
            <w:vAlign w:val="center"/>
          </w:tcPr>
          <w:p>
            <w:pPr>
              <w:widowControl/>
              <w:spacing w:line="440" w:lineRule="exact"/>
              <w:jc w:val="center"/>
              <w:rPr>
                <w:rFonts w:ascii="Times New Roman" w:hAnsi="Times New Roman" w:cs="宋体"/>
                <w:b/>
                <w:bCs/>
                <w:szCs w:val="21"/>
              </w:rPr>
            </w:pPr>
          </w:p>
        </w:tc>
        <w:tc>
          <w:tcPr>
            <w:tcW w:w="8244" w:type="dxa"/>
            <w:shd w:val="clear" w:color="000000" w:fill="FFFFFF"/>
            <w:vAlign w:val="center"/>
          </w:tcPr>
          <w:p>
            <w:pPr>
              <w:widowControl/>
              <w:spacing w:line="440" w:lineRule="exact"/>
              <w:jc w:val="left"/>
              <w:rPr>
                <w:rFonts w:hint="eastAsia" w:ascii="Times New Roman" w:hAnsi="Times New Roman" w:cs="宋体"/>
                <w:b/>
                <w:bCs/>
                <w:szCs w:val="21"/>
                <w:lang w:eastAsia="zh-CN"/>
              </w:rPr>
            </w:pPr>
            <w:r>
              <w:rPr>
                <w:rFonts w:hint="eastAsia" w:ascii="Times New Roman" w:hAnsi="Times New Roman" w:cs="宋体"/>
                <w:b/>
                <w:bCs/>
                <w:szCs w:val="21"/>
                <w:lang w:eastAsia="zh-CN"/>
              </w:rPr>
              <w:t>人员要求（</w:t>
            </w:r>
            <w:r>
              <w:rPr>
                <w:rFonts w:hint="eastAsia" w:ascii="Times New Roman" w:hAnsi="Times New Roman" w:cs="宋体"/>
                <w:b/>
                <w:bCs/>
                <w:szCs w:val="21"/>
                <w:lang w:val="en-US" w:eastAsia="zh-CN"/>
              </w:rPr>
              <w:t>30分</w:t>
            </w:r>
            <w:r>
              <w:rPr>
                <w:rFonts w:hint="eastAsia" w:ascii="Times New Roman" w:hAnsi="Times New Roman" w:cs="宋体"/>
                <w:b/>
                <w:bCs/>
                <w:szCs w:val="21"/>
                <w:lang w:eastAsia="zh-CN"/>
              </w:rPr>
              <w:t>）</w:t>
            </w:r>
          </w:p>
          <w:p>
            <w:pPr>
              <w:widowControl/>
              <w:spacing w:line="440" w:lineRule="exact"/>
              <w:jc w:val="left"/>
              <w:rPr>
                <w:rFonts w:hint="eastAsia" w:ascii="Times New Roman" w:hAnsi="Times New Roman" w:cs="宋体"/>
                <w:szCs w:val="21"/>
              </w:rPr>
            </w:pPr>
            <w:r>
              <w:rPr>
                <w:rFonts w:hint="eastAsia" w:ascii="Times New Roman" w:hAnsi="Times New Roman" w:cs="宋体"/>
                <w:szCs w:val="21"/>
              </w:rPr>
              <w:t>项目负责人具备5年以上行业经验的，得3分；不提供的不得分。</w:t>
            </w:r>
          </w:p>
          <w:p>
            <w:pPr>
              <w:widowControl/>
              <w:spacing w:line="440" w:lineRule="exact"/>
              <w:jc w:val="left"/>
              <w:rPr>
                <w:rFonts w:hint="eastAsia" w:ascii="Times New Roman" w:hAnsi="Times New Roman" w:cs="宋体"/>
                <w:szCs w:val="21"/>
              </w:rPr>
            </w:pPr>
            <w:r>
              <w:rPr>
                <w:rFonts w:hint="eastAsia" w:ascii="Times New Roman" w:hAnsi="Times New Roman" w:cs="宋体"/>
                <w:szCs w:val="21"/>
              </w:rPr>
              <w:t>项目负责人持有相关执业资格证（如注册会计师、注册造价工程师）的，得3分；不提供的不得分。</w:t>
            </w:r>
          </w:p>
          <w:p>
            <w:pPr>
              <w:widowControl/>
              <w:spacing w:line="440" w:lineRule="exact"/>
              <w:jc w:val="left"/>
              <w:rPr>
                <w:rFonts w:ascii="Times New Roman" w:hAnsi="Times New Roman" w:cs="宋体"/>
                <w:szCs w:val="21"/>
              </w:rPr>
            </w:pPr>
            <w:r>
              <w:rPr>
                <w:rFonts w:hint="eastAsia" w:ascii="Times New Roman" w:hAnsi="Times New Roman" w:cs="宋体"/>
                <w:szCs w:val="21"/>
              </w:rPr>
              <w:t>团队成员持有税务师、CISA信息安全审计师、或中级会计师执业资格证等专业证书的，每提供一人得3分；持有初级会计师执业资格证的，每提供一人得1分。团队成员得分总分不超过24分，每人仅取其得分最高的一项计分。不提供的不得分。</w:t>
            </w:r>
            <w:r>
              <w:rPr>
                <w:rFonts w:hint="eastAsia" w:ascii="Times New Roman" w:hAnsi="Times New Roman" w:cs="宋体"/>
                <w:szCs w:val="21"/>
              </w:rPr>
              <w:commentReference w:id="0"/>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9" w:hRule="atLeast"/>
          <w:jc w:val="center"/>
        </w:trPr>
        <w:tc>
          <w:tcPr>
            <w:tcW w:w="920" w:type="dxa"/>
            <w:vMerge w:val="restart"/>
            <w:shd w:val="clear" w:color="000000" w:fill="FFFFFF"/>
            <w:vAlign w:val="center"/>
          </w:tcPr>
          <w:p>
            <w:pPr>
              <w:widowControl/>
              <w:spacing w:line="440" w:lineRule="exact"/>
              <w:jc w:val="center"/>
              <w:rPr>
                <w:rFonts w:ascii="Times New Roman" w:hAnsi="Times New Roman" w:cs="宋体"/>
                <w:szCs w:val="21"/>
              </w:rPr>
            </w:pPr>
            <w:r>
              <w:rPr>
                <w:rFonts w:hint="eastAsia" w:ascii="Times New Roman" w:hAnsi="Times New Roman" w:cs="宋体"/>
                <w:b/>
                <w:bCs/>
                <w:szCs w:val="21"/>
              </w:rPr>
              <w:t>商务分</w:t>
            </w:r>
            <w:r>
              <w:rPr>
                <w:rFonts w:hint="eastAsia" w:ascii="Times New Roman" w:hAnsi="Times New Roman" w:cs="宋体"/>
                <w:b/>
                <w:bCs/>
                <w:szCs w:val="21"/>
              </w:rPr>
              <w:br w:type="textWrapping"/>
            </w:r>
            <w:r>
              <w:rPr>
                <w:rFonts w:hint="eastAsia" w:ascii="Times New Roman" w:hAnsi="Times New Roman" w:cs="宋体"/>
                <w:b/>
                <w:bCs/>
                <w:szCs w:val="21"/>
              </w:rPr>
              <w:t>(40分)</w:t>
            </w:r>
          </w:p>
        </w:tc>
        <w:tc>
          <w:tcPr>
            <w:tcW w:w="8244" w:type="dxa"/>
            <w:shd w:val="clear" w:color="000000" w:fill="FFFFFF"/>
            <w:vAlign w:val="center"/>
          </w:tcPr>
          <w:p>
            <w:pPr>
              <w:widowControl/>
              <w:spacing w:line="440" w:lineRule="exact"/>
              <w:jc w:val="left"/>
              <w:rPr>
                <w:rFonts w:ascii="Times New Roman" w:hAnsi="Times New Roman" w:cs="宋体"/>
                <w:b/>
                <w:bCs/>
                <w:szCs w:val="21"/>
              </w:rPr>
            </w:pPr>
            <w:r>
              <w:rPr>
                <w:rFonts w:hint="eastAsia" w:ascii="Times New Roman" w:hAnsi="Times New Roman" w:cs="宋体"/>
                <w:b/>
                <w:bCs/>
                <w:szCs w:val="21"/>
              </w:rPr>
              <w:t>业绩（30分）</w:t>
            </w:r>
          </w:p>
          <w:p>
            <w:pPr>
              <w:widowControl/>
              <w:spacing w:line="440" w:lineRule="exact"/>
              <w:jc w:val="left"/>
              <w:rPr>
                <w:rFonts w:ascii="Times New Roman" w:hAnsi="Times New Roman" w:cs="宋体"/>
                <w:szCs w:val="21"/>
              </w:rPr>
            </w:pPr>
            <w:r>
              <w:rPr>
                <w:rFonts w:hint="eastAsia" w:ascii="Times New Roman" w:hAnsi="Times New Roman" w:cs="宋体"/>
                <w:szCs w:val="21"/>
              </w:rPr>
              <w:t>提供近3年内类似项目业绩，每提供一个得6分，满分30分。（提供合同复印件加盖公章）类似项目指政府或事业单位信息化平台项目。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jc w:val="center"/>
        </w:trPr>
        <w:tc>
          <w:tcPr>
            <w:tcW w:w="920" w:type="dxa"/>
            <w:vMerge w:val="continue"/>
            <w:shd w:val="clear" w:color="000000" w:fill="FFFFFF"/>
            <w:vAlign w:val="center"/>
          </w:tcPr>
          <w:p>
            <w:pPr>
              <w:widowControl/>
              <w:spacing w:line="440" w:lineRule="exact"/>
              <w:jc w:val="center"/>
              <w:rPr>
                <w:rFonts w:ascii="Times New Roman" w:hAnsi="Times New Roman" w:cs="宋体"/>
                <w:szCs w:val="21"/>
              </w:rPr>
            </w:pPr>
          </w:p>
        </w:tc>
        <w:tc>
          <w:tcPr>
            <w:tcW w:w="8244" w:type="dxa"/>
            <w:shd w:val="clear" w:color="000000" w:fill="FFFFFF"/>
            <w:vAlign w:val="center"/>
          </w:tcPr>
          <w:p>
            <w:pPr>
              <w:widowControl/>
              <w:spacing w:line="440" w:lineRule="exact"/>
              <w:jc w:val="left"/>
              <w:rPr>
                <w:rFonts w:ascii="Times New Roman" w:hAnsi="Times New Roman" w:cs="宋体"/>
                <w:szCs w:val="21"/>
              </w:rPr>
            </w:pPr>
            <w:r>
              <w:rPr>
                <w:rFonts w:hint="eastAsia" w:ascii="Times New Roman" w:hAnsi="Times New Roman" w:cs="宋体"/>
                <w:b/>
                <w:bCs/>
                <w:szCs w:val="21"/>
              </w:rPr>
              <w:t>售后服务（4分）</w:t>
            </w:r>
          </w:p>
          <w:p>
            <w:pPr>
              <w:widowControl/>
              <w:spacing w:line="440" w:lineRule="exact"/>
              <w:jc w:val="left"/>
              <w:rPr>
                <w:rFonts w:ascii="Times New Roman" w:hAnsi="Times New Roman" w:cs="宋体"/>
                <w:szCs w:val="21"/>
              </w:rPr>
            </w:pPr>
            <w:bookmarkStart w:id="4" w:name="auto_fouce_23"/>
            <w:r>
              <w:rPr>
                <w:rFonts w:hint="eastAsia" w:ascii="Times New Roman" w:hAnsi="Times New Roman" w:cs="宋体"/>
                <w:szCs w:val="21"/>
                <w:lang w:eastAsia="zh-Hans"/>
              </w:rPr>
              <w:t>提供承诺到达现场的响应时间不超过30分钟的得4分，不提供不计分。</w:t>
            </w:r>
            <w:bookmarkEnd w:id="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7" w:hRule="atLeast"/>
          <w:jc w:val="center"/>
        </w:trPr>
        <w:tc>
          <w:tcPr>
            <w:tcW w:w="920" w:type="dxa"/>
            <w:vMerge w:val="continue"/>
            <w:shd w:val="clear" w:color="000000" w:fill="FFFFFF"/>
            <w:vAlign w:val="center"/>
          </w:tcPr>
          <w:p>
            <w:pPr>
              <w:widowControl/>
              <w:spacing w:line="440" w:lineRule="exact"/>
              <w:jc w:val="center"/>
              <w:rPr>
                <w:rFonts w:ascii="Times New Roman" w:hAnsi="Times New Roman" w:cs="宋体"/>
                <w:szCs w:val="21"/>
              </w:rPr>
            </w:pPr>
          </w:p>
        </w:tc>
        <w:tc>
          <w:tcPr>
            <w:tcW w:w="8244" w:type="dxa"/>
            <w:shd w:val="clear" w:color="000000" w:fill="FFFFFF"/>
            <w:vAlign w:val="center"/>
          </w:tcPr>
          <w:p>
            <w:pPr>
              <w:widowControl/>
              <w:spacing w:line="440" w:lineRule="exact"/>
              <w:jc w:val="left"/>
              <w:rPr>
                <w:rFonts w:hint="eastAsia" w:ascii="Times New Roman" w:hAnsi="Times New Roman" w:cs="宋体"/>
                <w:b/>
                <w:bCs/>
                <w:color w:val="000000" w:themeColor="text1"/>
                <w:szCs w:val="21"/>
                <w:lang w:eastAsia="zh-CN"/>
                <w14:textFill>
                  <w14:solidFill>
                    <w14:schemeClr w14:val="tx1"/>
                  </w14:solidFill>
                </w14:textFill>
              </w:rPr>
            </w:pPr>
            <w:r>
              <w:rPr>
                <w:rFonts w:hint="eastAsia" w:ascii="Times New Roman" w:hAnsi="Times New Roman" w:cs="宋体"/>
                <w:b/>
                <w:bCs/>
                <w:color w:val="000000" w:themeColor="text1"/>
                <w:szCs w:val="21"/>
                <w:lang w:eastAsia="zh-CN"/>
                <w14:textFill>
                  <w14:solidFill>
                    <w14:schemeClr w14:val="tx1"/>
                  </w14:solidFill>
                </w14:textFill>
              </w:rPr>
              <w:t>企业实力（</w:t>
            </w:r>
            <w:r>
              <w:rPr>
                <w:rFonts w:hint="eastAsia" w:ascii="Times New Roman" w:hAnsi="Times New Roman" w:cs="宋体"/>
                <w:b/>
                <w:bCs/>
                <w:color w:val="000000" w:themeColor="text1"/>
                <w:szCs w:val="21"/>
                <w:lang w:val="en-US" w:eastAsia="zh-CN"/>
                <w14:textFill>
                  <w14:solidFill>
                    <w14:schemeClr w14:val="tx1"/>
                  </w14:solidFill>
                </w14:textFill>
              </w:rPr>
              <w:t>6分</w:t>
            </w:r>
            <w:r>
              <w:rPr>
                <w:rFonts w:hint="eastAsia" w:ascii="Times New Roman" w:hAnsi="Times New Roman" w:cs="宋体"/>
                <w:b/>
                <w:bCs/>
                <w:color w:val="000000" w:themeColor="text1"/>
                <w:szCs w:val="21"/>
                <w:lang w:eastAsia="zh-CN"/>
                <w14:textFill>
                  <w14:solidFill>
                    <w14:schemeClr w14:val="tx1"/>
                  </w14:solidFill>
                </w14:textFill>
              </w:rPr>
              <w:t>）</w:t>
            </w:r>
          </w:p>
          <w:p>
            <w:pPr>
              <w:widowControl/>
              <w:spacing w:line="440" w:lineRule="exact"/>
              <w:jc w:val="left"/>
              <w:rPr>
                <w:rFonts w:hint="eastAsia" w:ascii="Times New Roman" w:hAnsi="Times New Roman" w:cs="宋体"/>
                <w:szCs w:val="21"/>
                <w:lang w:eastAsia="zh-Hans"/>
              </w:rPr>
            </w:pPr>
            <w:r>
              <w:rPr>
                <w:rFonts w:hint="eastAsia" w:ascii="Times New Roman" w:hAnsi="Times New Roman" w:cs="宋体"/>
                <w:szCs w:val="21"/>
                <w:lang w:eastAsia="zh-Hans"/>
              </w:rPr>
              <w:t>提供省级以上财政部门颁发的会计师事务所执业证书的，得1分，不提供不得分。</w:t>
            </w:r>
          </w:p>
          <w:p>
            <w:pPr>
              <w:widowControl/>
              <w:spacing w:line="440" w:lineRule="exact"/>
              <w:jc w:val="left"/>
              <w:rPr>
                <w:rFonts w:hint="eastAsia" w:ascii="Times New Roman" w:hAnsi="Times New Roman" w:cs="宋体"/>
                <w:szCs w:val="21"/>
                <w:lang w:eastAsia="zh-Hans"/>
              </w:rPr>
            </w:pPr>
            <w:r>
              <w:rPr>
                <w:rFonts w:hint="eastAsia" w:ascii="Times New Roman" w:hAnsi="Times New Roman" w:cs="宋体"/>
                <w:szCs w:val="21"/>
                <w:lang w:eastAsia="zh-Hans"/>
              </w:rPr>
              <w:t>通过ISO 27001（信息安全）认证的，得2分，不提供不得分。</w:t>
            </w:r>
          </w:p>
          <w:p>
            <w:pPr>
              <w:widowControl/>
              <w:spacing w:line="440" w:lineRule="exact"/>
              <w:jc w:val="left"/>
              <w:rPr>
                <w:rFonts w:hint="eastAsia" w:ascii="Times New Roman" w:hAnsi="Times New Roman" w:cs="宋体"/>
                <w:szCs w:val="21"/>
                <w:lang w:eastAsia="zh-Hans"/>
              </w:rPr>
            </w:pPr>
            <w:r>
              <w:rPr>
                <w:rFonts w:hint="eastAsia" w:ascii="Times New Roman" w:hAnsi="Times New Roman" w:cs="宋体"/>
                <w:szCs w:val="21"/>
                <w:lang w:eastAsia="zh-Hans"/>
              </w:rPr>
              <w:t>通过CMMI（软件开发成熟度）认证的，得2分，不提供不得分。</w:t>
            </w:r>
          </w:p>
          <w:p>
            <w:pPr>
              <w:widowControl/>
              <w:spacing w:line="440" w:lineRule="exact"/>
              <w:jc w:val="left"/>
              <w:rPr>
                <w:rFonts w:ascii="Times New Roman" w:hAnsi="Times New Roman" w:cs="宋体"/>
                <w:szCs w:val="21"/>
              </w:rPr>
            </w:pPr>
            <w:r>
              <w:rPr>
                <w:rFonts w:hint="eastAsia" w:ascii="Times New Roman" w:hAnsi="Times New Roman" w:cs="宋体"/>
                <w:szCs w:val="21"/>
                <w:lang w:eastAsia="zh-Hans"/>
              </w:rPr>
              <w:t>提供营业场所自有房屋证明或房屋租赁合同复印件加盖公章，或承诺中标后签订合同前提供营业场所自有房屋证明或房屋租赁合同的，得1分，不提供不得分。</w:t>
            </w:r>
            <w:r>
              <w:rPr>
                <w:rFonts w:hint="eastAsia" w:ascii="Times New Roman" w:hAnsi="Times New Roman" w:cs="宋体"/>
                <w:szCs w:val="21"/>
                <w:lang w:eastAsia="zh-Hans"/>
              </w:rPr>
              <w:commentReference w:id="1"/>
            </w:r>
            <w:bookmarkStart w:id="5" w:name="_GoBack"/>
            <w:bookmarkEnd w:id="5"/>
          </w:p>
        </w:tc>
      </w:tr>
    </w:tbl>
    <w:p>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之殇 龙" w:date="2025-08-28T16:19:00Z" w:initials="">
    <w:p w14:paraId="67FFFF2C">
      <w:pPr>
        <w:pStyle w:val="11"/>
      </w:pPr>
      <w:r>
        <w:rPr>
          <w:rFonts w:hint="eastAsia"/>
        </w:rPr>
        <w:t>要求对应人员有</w:t>
      </w:r>
      <w:r>
        <w:t>3</w:t>
      </w:r>
      <w:r>
        <w:rPr>
          <w:rFonts w:hint="eastAsia"/>
        </w:rPr>
        <w:t>年的社保缴费记录。</w:t>
      </w:r>
    </w:p>
  </w:comment>
  <w:comment w:id="1" w:author="之殇 龙" w:date="2025-08-28T16:19:00Z" w:initials="">
    <w:p w14:paraId="CB361298">
      <w:pPr>
        <w:pStyle w:val="11"/>
      </w:pPr>
      <w:r>
        <w:rPr>
          <w:rFonts w:hint="eastAsia"/>
        </w:rPr>
        <w:t>应该提出对应的有效材料清单。如执照的的经营范围、有关资格证照等。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FFFF2C" w15:done="0"/>
  <w15:commentEx w15:paraId="CB3612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之殇 龙">
    <w15:presenceInfo w15:providerId="Windows Live" w15:userId="e2f1b8629d20e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revisionView w:markup="0"/>
  <w:documentProtection w:enforcement="0"/>
  <w:defaultTabStop w:val="420"/>
  <w:drawingGridVerticalSpacing w:val="156"/>
  <w:noPunctuationKerning w:val="true"/>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4"/>
    <w:rsid w:val="0025170E"/>
    <w:rsid w:val="003954AE"/>
    <w:rsid w:val="00402F19"/>
    <w:rsid w:val="007845CD"/>
    <w:rsid w:val="007B1B6A"/>
    <w:rsid w:val="0085503C"/>
    <w:rsid w:val="00965BCD"/>
    <w:rsid w:val="00AA157D"/>
    <w:rsid w:val="00C84114"/>
    <w:rsid w:val="00CE0020"/>
    <w:rsid w:val="05FEFDDB"/>
    <w:rsid w:val="0BFBC49B"/>
    <w:rsid w:val="17FE2CF7"/>
    <w:rsid w:val="1ADD1E92"/>
    <w:rsid w:val="1FEFE87B"/>
    <w:rsid w:val="1FF76078"/>
    <w:rsid w:val="279E1FE2"/>
    <w:rsid w:val="2AB79C5D"/>
    <w:rsid w:val="31AE6589"/>
    <w:rsid w:val="37FFCE74"/>
    <w:rsid w:val="3BDF25B9"/>
    <w:rsid w:val="3CD9FFE8"/>
    <w:rsid w:val="3DEDA413"/>
    <w:rsid w:val="3EF55DBB"/>
    <w:rsid w:val="3F972CE5"/>
    <w:rsid w:val="3FB320B4"/>
    <w:rsid w:val="3FEAC56D"/>
    <w:rsid w:val="47B65327"/>
    <w:rsid w:val="47FEAB0C"/>
    <w:rsid w:val="4BE023BA"/>
    <w:rsid w:val="4EBD1AD9"/>
    <w:rsid w:val="4F7DEC5B"/>
    <w:rsid w:val="4FE70D5A"/>
    <w:rsid w:val="4FF1BB54"/>
    <w:rsid w:val="51FED7AB"/>
    <w:rsid w:val="53BA646F"/>
    <w:rsid w:val="5BEE0DAD"/>
    <w:rsid w:val="5BEF3181"/>
    <w:rsid w:val="5BF64826"/>
    <w:rsid w:val="5BFF6D16"/>
    <w:rsid w:val="5DFBC3FC"/>
    <w:rsid w:val="5E7E7267"/>
    <w:rsid w:val="5E8F2F4F"/>
    <w:rsid w:val="5EFA7CCD"/>
    <w:rsid w:val="5F3F70CD"/>
    <w:rsid w:val="5F4E2DEA"/>
    <w:rsid w:val="5F75A51D"/>
    <w:rsid w:val="666E62AC"/>
    <w:rsid w:val="677AE12F"/>
    <w:rsid w:val="67F61803"/>
    <w:rsid w:val="689FD223"/>
    <w:rsid w:val="69EB2112"/>
    <w:rsid w:val="6A5F3C05"/>
    <w:rsid w:val="6E5FC9F7"/>
    <w:rsid w:val="6EFFD093"/>
    <w:rsid w:val="6FBB27F8"/>
    <w:rsid w:val="6FBED91E"/>
    <w:rsid w:val="75BF9304"/>
    <w:rsid w:val="75E708CB"/>
    <w:rsid w:val="75F00631"/>
    <w:rsid w:val="75FFAAFD"/>
    <w:rsid w:val="76FF6820"/>
    <w:rsid w:val="77B458FE"/>
    <w:rsid w:val="77D74730"/>
    <w:rsid w:val="77DF0F75"/>
    <w:rsid w:val="77FED13C"/>
    <w:rsid w:val="77FFE91D"/>
    <w:rsid w:val="7875C69B"/>
    <w:rsid w:val="797B9C3F"/>
    <w:rsid w:val="79EA9C02"/>
    <w:rsid w:val="7A7F358C"/>
    <w:rsid w:val="7A9F170F"/>
    <w:rsid w:val="7B35560D"/>
    <w:rsid w:val="7BF714C1"/>
    <w:rsid w:val="7C5F6426"/>
    <w:rsid w:val="7DBAC3FA"/>
    <w:rsid w:val="7DBFF565"/>
    <w:rsid w:val="7DFA5A9A"/>
    <w:rsid w:val="7DFF5EDF"/>
    <w:rsid w:val="7EEBB221"/>
    <w:rsid w:val="7EF3CC5D"/>
    <w:rsid w:val="7EFEB376"/>
    <w:rsid w:val="7F258754"/>
    <w:rsid w:val="7F3B21AB"/>
    <w:rsid w:val="7F6F79CE"/>
    <w:rsid w:val="7F97D4FE"/>
    <w:rsid w:val="7F9D281F"/>
    <w:rsid w:val="7FAF302B"/>
    <w:rsid w:val="7FB64512"/>
    <w:rsid w:val="7FD98044"/>
    <w:rsid w:val="7FDB202A"/>
    <w:rsid w:val="7FE7F688"/>
    <w:rsid w:val="7FEBCB42"/>
    <w:rsid w:val="7FFBCA54"/>
    <w:rsid w:val="7FFF9F27"/>
    <w:rsid w:val="8D3BCC67"/>
    <w:rsid w:val="979FE7FA"/>
    <w:rsid w:val="9FFFB719"/>
    <w:rsid w:val="A7FE1F34"/>
    <w:rsid w:val="A8FB9D58"/>
    <w:rsid w:val="AABF1EA1"/>
    <w:rsid w:val="B1EF0B23"/>
    <w:rsid w:val="B39A5956"/>
    <w:rsid w:val="B53CEEF3"/>
    <w:rsid w:val="B67F5533"/>
    <w:rsid w:val="BA7B23C6"/>
    <w:rsid w:val="BBD1408E"/>
    <w:rsid w:val="BBFDC516"/>
    <w:rsid w:val="BDBF7E64"/>
    <w:rsid w:val="BFEA54CC"/>
    <w:rsid w:val="BFF637A3"/>
    <w:rsid w:val="CAFF5882"/>
    <w:rsid w:val="CBFD064C"/>
    <w:rsid w:val="CFFF7263"/>
    <w:rsid w:val="CFFF9FB9"/>
    <w:rsid w:val="D47D7ABF"/>
    <w:rsid w:val="D5EED674"/>
    <w:rsid w:val="D6DF3AE9"/>
    <w:rsid w:val="D76BFBDB"/>
    <w:rsid w:val="D9BFB379"/>
    <w:rsid w:val="D9FEA0E0"/>
    <w:rsid w:val="DBFDDF0D"/>
    <w:rsid w:val="DCEFCC06"/>
    <w:rsid w:val="DFA3DFA2"/>
    <w:rsid w:val="DFD6B3E3"/>
    <w:rsid w:val="DFE6786A"/>
    <w:rsid w:val="DFF3C1DB"/>
    <w:rsid w:val="DFF7E9E8"/>
    <w:rsid w:val="DFFAD7EE"/>
    <w:rsid w:val="DFFFC1CB"/>
    <w:rsid w:val="E2F7FB3C"/>
    <w:rsid w:val="E3CC87E9"/>
    <w:rsid w:val="E7DF3CC0"/>
    <w:rsid w:val="E7DF4B28"/>
    <w:rsid w:val="E9F71EFB"/>
    <w:rsid w:val="EBB1CE2F"/>
    <w:rsid w:val="EBDE0E1C"/>
    <w:rsid w:val="ECB5ABE0"/>
    <w:rsid w:val="EEBBB931"/>
    <w:rsid w:val="EEFD8C6D"/>
    <w:rsid w:val="EF7F7832"/>
    <w:rsid w:val="EFBD4501"/>
    <w:rsid w:val="EFFB4A2C"/>
    <w:rsid w:val="EFFF27D3"/>
    <w:rsid w:val="EFFF967F"/>
    <w:rsid w:val="F1CF906D"/>
    <w:rsid w:val="F1ED4868"/>
    <w:rsid w:val="F2DF2ECB"/>
    <w:rsid w:val="F377E193"/>
    <w:rsid w:val="F3FDA97E"/>
    <w:rsid w:val="F3FE758A"/>
    <w:rsid w:val="F3FF1341"/>
    <w:rsid w:val="F577A209"/>
    <w:rsid w:val="F73F1AD5"/>
    <w:rsid w:val="FB719586"/>
    <w:rsid w:val="FB7F4ECE"/>
    <w:rsid w:val="FBB3FD2E"/>
    <w:rsid w:val="FBCB6B1E"/>
    <w:rsid w:val="FBDF86B4"/>
    <w:rsid w:val="FBDFAF6F"/>
    <w:rsid w:val="FBF3C1ED"/>
    <w:rsid w:val="FBFEFADB"/>
    <w:rsid w:val="FD97850A"/>
    <w:rsid w:val="FDACFB88"/>
    <w:rsid w:val="FE27A78D"/>
    <w:rsid w:val="FE67468A"/>
    <w:rsid w:val="FE734873"/>
    <w:rsid w:val="FEEEF929"/>
    <w:rsid w:val="FEFCA88B"/>
    <w:rsid w:val="FEFF661D"/>
    <w:rsid w:val="FF1EAE2C"/>
    <w:rsid w:val="FF7352C2"/>
    <w:rsid w:val="FF7B8D13"/>
    <w:rsid w:val="FFA71507"/>
    <w:rsid w:val="FFDEE2D0"/>
    <w:rsid w:val="FFDF40C1"/>
    <w:rsid w:val="FFDFB402"/>
    <w:rsid w:val="FFEFBF94"/>
    <w:rsid w:val="FFFF886F"/>
    <w:rsid w:val="FFFF94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700" w:lineRule="exact"/>
      <w:jc w:val="center"/>
      <w:outlineLvl w:val="0"/>
    </w:pPr>
    <w:rPr>
      <w:rFonts w:ascii="方正小标宋简体" w:eastAsia="方正小标宋简体" w:cs="仿宋_GB2312"/>
      <w:kern w:val="44"/>
      <w:sz w:val="44"/>
      <w:szCs w:val="32"/>
    </w:rPr>
  </w:style>
  <w:style w:type="paragraph" w:styleId="7">
    <w:name w:val="heading 2"/>
    <w:basedOn w:val="1"/>
    <w:next w:val="1"/>
    <w:qFormat/>
    <w:uiPriority w:val="0"/>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8">
    <w:name w:val="heading 4"/>
    <w:basedOn w:val="1"/>
    <w:next w:val="1"/>
    <w:link w:val="25"/>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firstLine="420"/>
    </w:pPr>
    <w:rPr>
      <w:rFonts w:ascii="仿宋_GB2312" w:eastAsia="仿宋_GB2312" w:cs="仿宋_GB2312"/>
      <w:kern w:val="0"/>
      <w:sz w:val="32"/>
      <w:szCs w:val="32"/>
    </w:r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next w:val="5"/>
    <w:qFormat/>
    <w:uiPriority w:val="99"/>
    <w:pPr>
      <w:spacing w:after="120" w:line="480" w:lineRule="auto"/>
      <w:ind w:left="420" w:leftChars="200"/>
    </w:pPr>
  </w:style>
  <w:style w:type="paragraph" w:styleId="5">
    <w:name w:val="Body Text Indent 3"/>
    <w:basedOn w:val="1"/>
    <w:unhideWhenUsed/>
    <w:qFormat/>
    <w:uiPriority w:val="99"/>
    <w:pPr>
      <w:spacing w:after="120"/>
      <w:ind w:left="420" w:leftChars="200"/>
    </w:pPr>
    <w:rPr>
      <w:sz w:val="16"/>
      <w:szCs w:val="16"/>
    </w:rPr>
  </w:style>
  <w:style w:type="paragraph" w:styleId="9">
    <w:name w:val="table of authorities"/>
    <w:basedOn w:val="1"/>
    <w:next w:val="1"/>
    <w:qFormat/>
    <w:uiPriority w:val="0"/>
    <w:pPr>
      <w:ind w:left="420" w:leftChars="200"/>
    </w:pPr>
  </w:style>
  <w:style w:type="paragraph" w:styleId="10">
    <w:name w:val="Normal Indent"/>
    <w:basedOn w:val="1"/>
    <w:qFormat/>
    <w:uiPriority w:val="0"/>
    <w:pPr>
      <w:autoSpaceDE w:val="0"/>
      <w:autoSpaceDN w:val="0"/>
      <w:adjustRightInd w:val="0"/>
      <w:ind w:firstLine="420"/>
      <w:jc w:val="left"/>
    </w:pPr>
    <w:rPr>
      <w:rFonts w:ascii="宋体"/>
      <w:sz w:val="24"/>
      <w:szCs w:val="22"/>
    </w:rPr>
  </w:style>
  <w:style w:type="paragraph" w:styleId="11">
    <w:name w:val="annotation text"/>
    <w:basedOn w:val="1"/>
    <w:link w:val="30"/>
    <w:qFormat/>
    <w:uiPriority w:val="0"/>
    <w:pPr>
      <w:jc w:val="left"/>
    </w:pPr>
  </w:style>
  <w:style w:type="paragraph" w:styleId="12">
    <w:name w:val="Body Text"/>
    <w:basedOn w:val="1"/>
    <w:next w:val="13"/>
    <w:qFormat/>
    <w:uiPriority w:val="0"/>
    <w:rPr>
      <w:sz w:val="24"/>
    </w:rPr>
  </w:style>
  <w:style w:type="paragraph" w:customStyle="1" w:styleId="13">
    <w:name w:val="1"/>
    <w:basedOn w:val="1"/>
    <w:next w:val="1"/>
    <w:qFormat/>
    <w:uiPriority w:val="0"/>
    <w:pPr>
      <w:spacing w:after="0" w:line="360" w:lineRule="auto"/>
      <w:ind w:left="840" w:hanging="420"/>
    </w:pPr>
    <w:rPr>
      <w:rFonts w:ascii="宋体"/>
    </w:rPr>
  </w:style>
  <w:style w:type="paragraph" w:styleId="14">
    <w:name w:val="footer"/>
    <w:basedOn w:val="1"/>
    <w:unhideWhenUsed/>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11"/>
    <w:next w:val="11"/>
    <w:link w:val="31"/>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Emphasis"/>
    <w:qFormat/>
    <w:uiPriority w:val="0"/>
    <w:rPr>
      <w:i/>
    </w:rPr>
  </w:style>
  <w:style w:type="character" w:styleId="23">
    <w:name w:val="Hyperlink"/>
    <w:qFormat/>
    <w:uiPriority w:val="0"/>
    <w:rPr>
      <w:color w:val="0000FF"/>
      <w:u w:val="single"/>
    </w:rPr>
  </w:style>
  <w:style w:type="character" w:styleId="24">
    <w:name w:val="annotation reference"/>
    <w:qFormat/>
    <w:uiPriority w:val="0"/>
    <w:rPr>
      <w:sz w:val="16"/>
      <w:szCs w:val="16"/>
    </w:rPr>
  </w:style>
  <w:style w:type="character" w:customStyle="1" w:styleId="25">
    <w:name w:val="标题 4 字符"/>
    <w:link w:val="8"/>
    <w:qFormat/>
    <w:uiPriority w:val="0"/>
    <w:rPr>
      <w:rFonts w:ascii="Arial" w:hAnsi="Arial" w:eastAsia="黑体"/>
      <w:b/>
      <w:sz w:val="28"/>
    </w:rPr>
  </w:style>
  <w:style w:type="paragraph" w:customStyle="1" w:styleId="26">
    <w:name w:val="_Style 3"/>
    <w:basedOn w:val="6"/>
    <w:next w:val="1"/>
    <w:qFormat/>
    <w:uiPriority w:val="0"/>
    <w:pPr>
      <w:spacing w:before="480" w:after="0" w:line="276" w:lineRule="auto"/>
      <w:outlineLvl w:val="9"/>
    </w:pPr>
    <w:rPr>
      <w:rFonts w:ascii="仿宋" w:eastAsia="仿宋"/>
      <w:color w:val="000000"/>
      <w:kern w:val="0"/>
      <w:sz w:val="32"/>
    </w:rPr>
  </w:style>
  <w:style w:type="paragraph" w:styleId="27">
    <w:name w:val="List Paragraph"/>
    <w:basedOn w:val="1"/>
    <w:qFormat/>
    <w:uiPriority w:val="99"/>
    <w:pPr>
      <w:ind w:firstLine="420" w:firstLineChars="200"/>
    </w:pPr>
    <w:rPr>
      <w:szCs w:val="22"/>
    </w:rPr>
  </w:style>
  <w:style w:type="paragraph" w:customStyle="1" w:styleId="28">
    <w:name w:val="标准中文版式_正文"/>
    <w:basedOn w:val="1"/>
    <w:qFormat/>
    <w:uiPriority w:val="0"/>
    <w:pPr>
      <w:spacing w:before="30" w:line="360" w:lineRule="auto"/>
      <w:ind w:firstLine="200" w:firstLineChars="200"/>
    </w:pPr>
    <w:rPr>
      <w:rFonts w:ascii="Arial" w:hAnsi="Arial"/>
      <w:sz w:val="24"/>
    </w:rPr>
  </w:style>
  <w:style w:type="paragraph" w:customStyle="1" w:styleId="29">
    <w:name w:val="Revision"/>
    <w:hidden/>
    <w:unhideWhenUsed/>
    <w:qFormat/>
    <w:uiPriority w:val="99"/>
    <w:rPr>
      <w:rFonts w:ascii="Calibri" w:hAnsi="Calibri" w:eastAsia="宋体" w:cs="Times New Roman"/>
      <w:kern w:val="2"/>
      <w:sz w:val="21"/>
      <w:szCs w:val="24"/>
      <w:lang w:val="en-US" w:eastAsia="zh-CN" w:bidi="ar-SA"/>
    </w:rPr>
  </w:style>
  <w:style w:type="character" w:customStyle="1" w:styleId="30">
    <w:name w:val="批注文字 字符"/>
    <w:link w:val="11"/>
    <w:qFormat/>
    <w:uiPriority w:val="0"/>
    <w:rPr>
      <w:rFonts w:ascii="Calibri" w:hAnsi="Calibri"/>
      <w:kern w:val="2"/>
      <w:sz w:val="21"/>
      <w:szCs w:val="24"/>
    </w:rPr>
  </w:style>
  <w:style w:type="character" w:customStyle="1" w:styleId="31">
    <w:name w:val="批注主题 字符"/>
    <w:link w:val="1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1136</Words>
  <Characters>1193</Characters>
  <Lines>70</Lines>
  <Paragraphs>66</Paragraphs>
  <TotalTime>0</TotalTime>
  <ScaleCrop>false</ScaleCrop>
  <LinksUpToDate>false</LinksUpToDate>
  <CharactersWithSpaces>2263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2024-12-05T00:12:00Z</dcterms:created>
  <dc:creator>ysgz</dc:creator>
  <cp:lastModifiedBy>ysgz</cp:lastModifiedBy>
  <cp:lastPrinted>2025-09-01T17:11:00Z</cp:lastPrinted>
  <dcterms:modified xsi:type="dcterms:W3CDTF">2025-08-28T17:53:20Z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53D28EFB9813DF1C8EBAAF68FDEC4445_43</vt:lpwstr>
  </property>
  <property fmtid="{D5CDD505-2E9C-101B-9397-08002B2CF9AE}" pid="3" name="KSOProductBuildVer">
    <vt:lpwstr>2052-11.8.2.10337</vt:lpwstr>
  </property>
  <property fmtid="{D5CDD505-2E9C-101B-9397-08002B2CF9AE}" pid="4" name="KSOTemplateDocerSaveRecord">
    <vt:lpwstr>eyJoZGlkIjoiOTc3M2Y5NzIzMDFlZjAyY2Q4Njk5ODkyYjFjNzBiNTQiLCJ1c2VySWQiOiIyMTg2NDkyMjUifQ==</vt:lpwstr>
  </property>
</Properties>
</file>