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Lines/>
        <w:widowControl/>
        <w:snapToGrid/>
        <w:spacing w:before="0" w:beforeAutospacing="0" w:after="0" w:afterAutospacing="0" w:line="416" w:lineRule="auto"/>
        <w:jc w:val="both"/>
        <w:textAlignment w:val="baseline"/>
        <w:rPr>
          <w:rStyle w:val="7"/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贵州省农产品质量安全监督抽查问题农产品名单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tbl>
      <w:tblPr>
        <w:tblStyle w:val="4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571"/>
        <w:gridCol w:w="1335"/>
        <w:gridCol w:w="2156"/>
        <w:gridCol w:w="1827"/>
        <w:gridCol w:w="1746"/>
        <w:gridCol w:w="1486"/>
        <w:gridCol w:w="120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tblHeader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序号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名称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产地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生产单位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不合格检验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项目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检测结果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限量值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药物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类型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判定依据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1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豇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普定县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刘洪贵种植户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噻虫嗪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1.84mg/kg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0.3mg/kg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豇 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普定县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刘洪贵种植户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噻虫嗪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2.96mg/kg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0.3mg/kg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豇 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 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福泉市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罗贤军种植户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噻虫胺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0.01mg/kg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生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姜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丹寨县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李德凤种植户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铅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0.33mg/kg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0.2mg/kg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0"/>
                <w:lang w:val="en-US" w:eastAsia="zh-CN"/>
              </w:rPr>
              <w:t>污染物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GB 2762-2022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辣   椒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 xml:space="preserve">纳雍县 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张持荫种植户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氯氰菊酯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771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茄   子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纳雍县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张持荫种植户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氯氰菊酯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137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脐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橙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罗甸县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唐园跃种植户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联苯菊酯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0.0756mg/kg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w w:val="90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普通白菜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都匀市</w:t>
            </w:r>
          </w:p>
        </w:tc>
        <w:tc>
          <w:tcPr>
            <w:tcW w:w="21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吴继祥种植户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氯氟氰菊酯</w:t>
            </w: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lang w:val="en-US" w:eastAsia="zh-CN"/>
              </w:rPr>
              <w:t>2.77mg/kg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0"/>
                <w:lang w:val="en-US" w:eastAsia="zh-CN"/>
              </w:rPr>
              <w:t>2mg/kg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常规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GB 2763-2021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5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祝小愿愿愿愿</cp:lastModifiedBy>
  <dcterms:modified xsi:type="dcterms:W3CDTF">2025-11-06T17:34:47Z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