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65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7"/>
      </w:tblGrid>
      <w:tr>
        <w:trPr>
          <w:trHeight w:val="90" w:hRule="atLeast"/>
          <w:jc w:val="center"/>
        </w:trPr>
        <w:tc>
          <w:tcPr>
            <w:tcW w:w="16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u w:val="none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u w:val="none"/>
              </w:rPr>
              <w:t>资格审查表</w:t>
            </w:r>
          </w:p>
          <w:tbl>
            <w:tblPr>
              <w:tblStyle w:val="9"/>
              <w:tblW w:w="15516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6"/>
              <w:gridCol w:w="8580"/>
              <w:gridCol w:w="1364"/>
              <w:gridCol w:w="1185"/>
              <w:gridCol w:w="1140"/>
              <w:gridCol w:w="1305"/>
              <w:gridCol w:w="12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序号</w:t>
                  </w:r>
                </w:p>
              </w:tc>
              <w:tc>
                <w:tcPr>
                  <w:tcW w:w="8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  <w:tl2br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ind w:left="1200" w:hanging="1200" w:hangingChars="500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 xml:space="preserve">                                                   供应商名称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br w:type="textWrapping"/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资格要求</w:t>
                  </w:r>
                </w:p>
              </w:tc>
              <w:tc>
                <w:tcPr>
                  <w:tcW w:w="1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  <w:tc>
                <w:tcPr>
                  <w:tcW w:w="11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  <w:tc>
                <w:tcPr>
                  <w:tcW w:w="1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  <w:jc w:val="center"/>
              </w:trPr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具有独立承担民事责任的能力：在中华人民共和国境内依法注册，持有有效的律师事务所执业许可证，具有独立法人资格（提供证书复印件）</w:t>
                  </w:r>
                </w:p>
              </w:tc>
              <w:tc>
                <w:tcPr>
                  <w:tcW w:w="1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2</w:t>
                  </w:r>
                </w:p>
              </w:tc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具有良好的商业信誉和健全的财务会计制度：</w:t>
                  </w: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val="en-US" w:eastAsia="zh-CN"/>
                    </w:rPr>
                    <w:t>1）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良好的商业信誉自行承诺，提供承诺函（格式自拟）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；</w:t>
                  </w: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val="en-US" w:eastAsia="zh-CN"/>
                    </w:rPr>
                    <w:t>2）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体现健全的财务会计制度，提供经第三方机构出具完整的</w:t>
                  </w: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2024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年度财务状况报告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复印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件并加盖公章（包含审计报告和审计报告中所涉及的三表一注（即资产负债表、利润表、现金流量表及其附注），截止响应文件递交截止时间成立不足一年的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单位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提供近三个月基本账户的资信证明</w:t>
                  </w:r>
                </w:p>
              </w:tc>
              <w:tc>
                <w:tcPr>
                  <w:tcW w:w="1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" w:hRule="atLeast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3</w:t>
                  </w:r>
                </w:p>
              </w:tc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具有履行合同所必须的设备和专业技术能力：提供承诺函（格式自拟）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4</w:t>
                  </w:r>
                </w:p>
              </w:tc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具有依法缴纳税收和社会保障资金的良好记录：提供</w:t>
                  </w: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2025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度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任意三个月的缴纳税收凭证和缴纳社保相关凭证；截止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响应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截止时间成立不足半年的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单位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须提供具有依法缴纳税收和社会保障资金的良好记录的承诺函（格式自拟）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  <w:jc w:val="center"/>
              </w:trPr>
              <w:tc>
                <w:tcPr>
                  <w:tcW w:w="69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5</w:t>
                  </w:r>
                </w:p>
              </w:tc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参加本次政府采购活动前三年内，在经营活动中没有重大违法记录：提供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书面声明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（格式自拟）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6</w:t>
                  </w:r>
                </w:p>
              </w:tc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  <w:t>对被“信用中国（www.creditchina.gov.cn）”网站列入“重大税收违法失信主体”和“中国政府采购网（www.ccgp.gov.cn）”列入“政府采购严重违法失信行为记录名单”及“中国执行信息公开网（http://zxgk.court.gov.cn/shixin/）”列入“失信被执行人”的供应商，拒绝其参与本项目的政府采购活动。供应商须提供未被列入上述名单的承诺或提供相关的查询截图，查询时间为发布采购公告之日至递交文件截止时间前的任意时间</w:t>
                  </w:r>
                </w:p>
              </w:tc>
              <w:tc>
                <w:tcPr>
                  <w:tcW w:w="13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</w:rPr>
                    <w:t>7</w:t>
                  </w:r>
                </w:p>
              </w:tc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仿宋_GB2312" w:hAnsi="仿宋_GB2312" w:eastAsia="仿宋_GB2312" w:cs="仿宋_GB2312"/>
                      <w:strike/>
                      <w:dstrike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trike w:val="0"/>
                      <w:dstrike w:val="0"/>
                      <w:sz w:val="21"/>
                      <w:szCs w:val="21"/>
                      <w:highlight w:val="none"/>
                      <w:lang w:eastAsia="zh-CN"/>
                    </w:rPr>
                    <w:t>指派担任我厅法律顾问的律师还应当具备以下条件：①具有《律师执业证书》（</w:t>
                  </w:r>
                  <w:r>
                    <w:rPr>
                      <w:rFonts w:hint="eastAsia" w:ascii="仿宋_GB2312" w:hAnsi="仿宋_GB2312" w:eastAsia="仿宋_GB2312" w:cs="仿宋_GB2312"/>
                      <w:strike w:val="0"/>
                      <w:dstrike w:val="0"/>
                      <w:sz w:val="21"/>
                      <w:szCs w:val="21"/>
                      <w:highlight w:val="none"/>
                      <w:lang w:val="en-US" w:eastAsia="zh-CN"/>
                    </w:rPr>
                    <w:t>提供证书复印件及社保证明（2025年任意3月）</w:t>
                  </w:r>
                  <w:r>
                    <w:rPr>
                      <w:rFonts w:hint="eastAsia" w:ascii="仿宋_GB2312" w:hAnsi="仿宋_GB2312" w:eastAsia="仿宋_GB2312" w:cs="仿宋_GB2312"/>
                      <w:strike w:val="0"/>
                      <w:dstrike w:val="0"/>
                      <w:sz w:val="21"/>
                      <w:szCs w:val="21"/>
                      <w:highlight w:val="none"/>
                      <w:lang w:eastAsia="zh-CN"/>
                    </w:rPr>
                    <w:t>）；②具有5年以上执业经验（</w:t>
                  </w:r>
                  <w:r>
                    <w:rPr>
                      <w:rFonts w:hint="eastAsia" w:ascii="仿宋_GB2312" w:hAnsi="仿宋_GB2312" w:eastAsia="仿宋_GB2312" w:cs="仿宋_GB2312"/>
                      <w:strike w:val="0"/>
                      <w:dstrike w:val="0"/>
                      <w:sz w:val="21"/>
                      <w:szCs w:val="21"/>
                      <w:highlight w:val="none"/>
                      <w:lang w:val="en-US" w:eastAsia="zh-CN"/>
                    </w:rPr>
                    <w:t>以发证日期开始计算，即为2020年11月24日前取得</w:t>
                  </w:r>
                  <w:r>
                    <w:rPr>
                      <w:rFonts w:hint="eastAsia" w:ascii="仿宋_GB2312" w:hAnsi="仿宋_GB2312" w:eastAsia="仿宋_GB2312" w:cs="仿宋_GB2312"/>
                      <w:strike w:val="0"/>
                      <w:dstrike w:val="0"/>
                      <w:sz w:val="21"/>
                      <w:szCs w:val="21"/>
                      <w:highlight w:val="none"/>
                      <w:lang w:eastAsia="zh-CN"/>
                    </w:rPr>
                    <w:t>《律师执业证书》）；③严格遵纪守法，未受过刑事处罚，未受过司法行政部门的行政处罚或者律师协会的行业处分（</w:t>
                  </w:r>
                  <w:r>
                    <w:rPr>
                      <w:rFonts w:hint="eastAsia" w:ascii="仿宋_GB2312" w:hAnsi="仿宋_GB2312" w:eastAsia="仿宋_GB2312" w:cs="仿宋_GB2312"/>
                      <w:strike w:val="0"/>
                      <w:dstrike w:val="0"/>
                      <w:sz w:val="21"/>
                      <w:szCs w:val="21"/>
                      <w:highlight w:val="none"/>
                      <w:lang w:val="en-US" w:eastAsia="zh-CN"/>
                    </w:rPr>
                    <w:t>提供承诺函，格式自拟</w:t>
                  </w:r>
                  <w:r>
                    <w:rPr>
                      <w:rFonts w:hint="eastAsia" w:ascii="仿宋_GB2312" w:hAnsi="仿宋_GB2312" w:eastAsia="仿宋_GB2312" w:cs="仿宋_GB2312"/>
                      <w:strike w:val="0"/>
                      <w:dstrike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13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76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 w:val="0"/>
                      <w:sz w:val="24"/>
                      <w:szCs w:val="24"/>
                      <w:highlight w:val="none"/>
                    </w:rPr>
                    <w:t>资格审查结论（通过或不通过）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1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55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rPr>
                      <w:rFonts w:hint="eastAsia" w:ascii="黑体" w:hAnsi="黑体" w:eastAsia="黑体" w:cs="黑体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highlight w:val="none"/>
                      <w:lang w:eastAsia="zh-CN"/>
                    </w:rPr>
                    <w:t>采购工作组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highlight w:val="none"/>
                    </w:rPr>
                    <w:t>（签字）：</w:t>
                  </w:r>
                </w:p>
                <w:p>
                  <w:pPr>
                    <w:spacing w:line="320" w:lineRule="atLeast"/>
                    <w:rPr>
                      <w:rFonts w:ascii="Times New Roman" w:hAnsi="Times New Roman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widowControl/>
              <w:spacing w:line="320" w:lineRule="atLeast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u w:val="none"/>
          <w:lang w:eastAsia="zh-CN"/>
        </w:rPr>
        <w:br w:type="page"/>
      </w:r>
    </w:p>
    <w:tbl>
      <w:tblPr>
        <w:tblStyle w:val="9"/>
        <w:tblW w:w="14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tbl>
            <w:tblPr>
              <w:tblStyle w:val="9"/>
              <w:tblW w:w="14922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2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  <w:jc w:val="center"/>
              </w:trPr>
              <w:tc>
                <w:tcPr>
                  <w:tcW w:w="14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 w:val="0"/>
                  <w:vAlign w:val="center"/>
                </w:tcPr>
                <w:p>
                  <w:pPr>
                    <w:widowControl/>
                    <w:spacing w:line="320" w:lineRule="atLeast"/>
                    <w:jc w:val="center"/>
                    <w:rPr>
                      <w:rFonts w:ascii="Times New Roman" w:hAnsi="Times New Roman"/>
                      <w:sz w:val="44"/>
                      <w:szCs w:val="44"/>
                      <w:highlight w:val="none"/>
                      <w:u w:val="none"/>
                    </w:rPr>
                  </w:pPr>
                </w:p>
                <w:p>
                  <w:pPr>
                    <w:widowControl/>
                    <w:spacing w:line="320" w:lineRule="atLeast"/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highlight w:val="none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kern w:val="0"/>
                      <w:sz w:val="44"/>
                      <w:szCs w:val="44"/>
                      <w:highlight w:val="none"/>
                      <w:u w:val="none"/>
                    </w:rPr>
                    <w:t>符合性审查表</w:t>
                  </w:r>
                </w:p>
              </w:tc>
            </w:tr>
          </w:tbl>
          <w:p>
            <w:pPr>
              <w:spacing w:line="320" w:lineRule="atLeast"/>
              <w:rPr>
                <w:rFonts w:hint="eastAsia" w:ascii="宋体" w:hAnsi="宋体" w:cs="宋体"/>
                <w:szCs w:val="21"/>
                <w:highlight w:val="none"/>
              </w:rPr>
            </w:pPr>
          </w:p>
          <w:tbl>
            <w:tblPr>
              <w:tblStyle w:val="9"/>
              <w:tblpPr w:leftFromText="180" w:rightFromText="180" w:vertAnchor="text" w:horzAnchor="page" w:tblpXSpec="center" w:tblpY="299"/>
              <w:tblOverlap w:val="never"/>
              <w:tblW w:w="14877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1"/>
              <w:gridCol w:w="1770"/>
              <w:gridCol w:w="5460"/>
              <w:gridCol w:w="1256"/>
              <w:gridCol w:w="1290"/>
              <w:gridCol w:w="1260"/>
              <w:gridCol w:w="1470"/>
              <w:gridCol w:w="147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  <w:jc w:val="center"/>
              </w:trPr>
              <w:tc>
                <w:tcPr>
                  <w:tcW w:w="901" w:type="dxa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序</w:t>
                  </w:r>
                </w:p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号</w:t>
                  </w:r>
                </w:p>
              </w:tc>
              <w:tc>
                <w:tcPr>
                  <w:tcW w:w="7230" w:type="dxa"/>
                  <w:gridSpan w:val="2"/>
                  <w:tcBorders>
                    <w:tl2br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  <w:lang w:val="en-US" w:eastAsia="zh-CN"/>
                    </w:rPr>
                    <w:t xml:space="preserve">                     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供应商名称</w:t>
                  </w:r>
                </w:p>
                <w:p>
                  <w:pPr>
                    <w:spacing w:line="320" w:lineRule="atLeast"/>
                    <w:ind w:firstLine="1920" w:firstLineChars="800"/>
                    <w:jc w:val="both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审查内容</w:t>
                  </w: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  <w:tc>
                <w:tcPr>
                  <w:tcW w:w="1290" w:type="dxa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供应商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  <w:jc w:val="center"/>
              </w:trPr>
              <w:tc>
                <w:tcPr>
                  <w:tcW w:w="90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  <w:t>1</w:t>
                  </w:r>
                </w:p>
              </w:tc>
              <w:tc>
                <w:tcPr>
                  <w:tcW w:w="177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  <w:t>密封强开</w:t>
                  </w:r>
                </w:p>
              </w:tc>
              <w:tc>
                <w:tcPr>
                  <w:tcW w:w="5460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  <w:t>文件密封情况满足要求</w:t>
                  </w: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29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5" w:hRule="atLeast"/>
                <w:jc w:val="center"/>
              </w:trPr>
              <w:tc>
                <w:tcPr>
                  <w:tcW w:w="90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  <w:t>盖章签字</w:t>
                  </w:r>
                </w:p>
              </w:tc>
              <w:tc>
                <w:tcPr>
                  <w:tcW w:w="5460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  <w:t>资料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  <w:t>均须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  <w:t>加盖供应商单位公章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highlight w:val="none"/>
                      <w:lang w:val="en-US" w:eastAsia="zh-CN"/>
                    </w:rPr>
                    <w:t>，法人代表或委托代理人签字齐全</w:t>
                  </w: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29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2" w:hRule="atLeast"/>
                <w:jc w:val="center"/>
              </w:trPr>
              <w:tc>
                <w:tcPr>
                  <w:tcW w:w="90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  <w:t>3</w:t>
                  </w:r>
                </w:p>
              </w:tc>
              <w:tc>
                <w:tcPr>
                  <w:tcW w:w="177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  <w:t>报价审查</w:t>
                  </w:r>
                </w:p>
              </w:tc>
              <w:tc>
                <w:tcPr>
                  <w:tcW w:w="5460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  <w:t>不存在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  <w:t>异常低价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  <w:t>和超过采购预算</w:t>
                  </w: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29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0" w:hRule="atLeast"/>
                <w:jc w:val="center"/>
              </w:trPr>
              <w:tc>
                <w:tcPr>
                  <w:tcW w:w="8131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highlight w:val="none"/>
                      <w:lang w:eastAsia="zh-CN"/>
                    </w:rPr>
                    <w:t>审查结论（通过或不通过）</w:t>
                  </w: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29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47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</w:tr>
          </w:tbl>
          <w:p>
            <w:pPr>
              <w:spacing w:line="320" w:lineRule="atLeast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备注：供应商的报价明显低于其他通过符合性审查供应商的报价，有可能影响产品质量或者不能诚信履约的，应当要求其在合理的时间内提供书面说明，必要时提交相关证明材料；供应商不能证明其报价合理性的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采购工作组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应当将其作为无效投标处理。</w:t>
            </w:r>
          </w:p>
          <w:p>
            <w:pPr>
              <w:widowControl/>
              <w:spacing w:line="320" w:lineRule="atLeast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采购工作组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（签字）：</w:t>
            </w:r>
          </w:p>
          <w:p>
            <w:pPr>
              <w:widowControl/>
              <w:spacing w:line="320" w:lineRule="atLeast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u w:val="none"/>
          <w:lang w:eastAsia="zh-CN"/>
        </w:rPr>
        <w:br w:type="page"/>
      </w:r>
    </w:p>
    <w:tbl>
      <w:tblPr>
        <w:tblStyle w:val="9"/>
        <w:tblpPr w:leftFromText="180" w:rightFromText="180" w:vertAnchor="text" w:horzAnchor="page" w:tblpX="1090" w:tblpY="322"/>
        <w:tblOverlap w:val="never"/>
        <w:tblW w:w="148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15"/>
        <w:gridCol w:w="5370"/>
        <w:gridCol w:w="1110"/>
        <w:gridCol w:w="1155"/>
        <w:gridCol w:w="1260"/>
        <w:gridCol w:w="1200"/>
        <w:gridCol w:w="1170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8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u w:val="none"/>
                <w:lang w:eastAsia="zh-CN"/>
              </w:rPr>
              <w:t>综合比选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u w:val="none"/>
              </w:rPr>
              <w:t>评分表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7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 xml:space="preserve">                            供应商名称</w:t>
            </w:r>
          </w:p>
          <w:p>
            <w:pPr>
              <w:widowControl/>
              <w:spacing w:line="36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评分项及评分标准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供应商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供应商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供应商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供应商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价格分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价格分采用低价优先法计算，即满足采购要求的前提下，最低有效投标报价作为评标基准价，其价格分为满分。其余供应商价格分统一按照下列公式计算：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投标报价得分＝（评标基准价／投标报价）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×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评标价得分最多得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分，最低得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0分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同类业绩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为政府及部门提供过法律顾问服务情况进行评价：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每提供一个为县级政府及部门提供法律顾问服务业绩加2分，最多加6分；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（2）每提供一个为市级政府及部门提供法律顾问服务业绩加2分，最多加6分；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（3）每提供一个为省级政府及部门提供法律顾问服务业绩加4分，最多加12分。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注：需提供合同协议书复印件或业主单位出具的相关履约证明。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法律顾问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服务团队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（1）指派驻厅律师符合资格要求的得5分，未指派驻厅律师或驻厅律师不符合资格要求不得分；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（2）法律顾问服务团队符合资格要求的律师5人及以下的得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分、5人以上得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分；（提供执业资格证复印件）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（3）法律顾问服务团队中律师成员执业经验均在5年以下的得4分，律师成员执业经验均在5年及以上的得7分。（提供执业资格证复印件，以首次发证日期计算，即5年以上的发证日期为2020年11月25日前、10年以上的发证日期为2015年11月25日前）        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法律顾问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服务方案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3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方案整体性很强，对工作内容和工作任务理解准确，服务内容的安排比较明确、合理，制定了详细、规范的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如团队管理模式，文件材料审核把关流程、突发情况应急保障措施等，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16-20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方案整体性较强，对工作内容和工作任务理解基本准确，服务内容的安排基本明确、合理，制定了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方案缺乏整体性，对工作内容和工作任务理解不够准确，服务内容的安排不够明确、合理，没有详细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方案不得分。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0-</w:t>
            </w: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100分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70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采购工作组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（签字）：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cs="宋体"/>
          <w:highlight w:val="none"/>
        </w:rPr>
      </w:pPr>
    </w:p>
    <w:sectPr>
      <w:footerReference r:id="rId3" w:type="default"/>
      <w:pgSz w:w="16838" w:h="11906" w:orient="landscape"/>
      <w:pgMar w:top="896" w:right="1270" w:bottom="1123" w:left="127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00"/>
      <w:jc w:val="center"/>
      <w:rPr>
        <w:sz w:val="15"/>
      </w:rPr>
    </w:pPr>
  </w:p>
  <w:p>
    <w:pPr>
      <w:pStyle w:val="7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DF13CA"/>
    <w:multiLevelType w:val="singleLevel"/>
    <w:tmpl w:val="BFDF13C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235DF"/>
    <w:rsid w:val="02DB4150"/>
    <w:rsid w:val="03EF5531"/>
    <w:rsid w:val="0C4D6B66"/>
    <w:rsid w:val="0DE90328"/>
    <w:rsid w:val="0FBF3890"/>
    <w:rsid w:val="10A5268D"/>
    <w:rsid w:val="17AF6861"/>
    <w:rsid w:val="1813218C"/>
    <w:rsid w:val="1AD3D7FA"/>
    <w:rsid w:val="1B7F1C57"/>
    <w:rsid w:val="1BAE7C81"/>
    <w:rsid w:val="1BDC4F43"/>
    <w:rsid w:val="1C306ECC"/>
    <w:rsid w:val="1DAC6FBE"/>
    <w:rsid w:val="1DF92A16"/>
    <w:rsid w:val="1DFF5E73"/>
    <w:rsid w:val="1F5E9C11"/>
    <w:rsid w:val="1F7FB627"/>
    <w:rsid w:val="1FE703F3"/>
    <w:rsid w:val="21FE0CC6"/>
    <w:rsid w:val="23FE744F"/>
    <w:rsid w:val="273F85FE"/>
    <w:rsid w:val="27E9E1C0"/>
    <w:rsid w:val="2B1EBDB6"/>
    <w:rsid w:val="2B9FE573"/>
    <w:rsid w:val="2BDF1237"/>
    <w:rsid w:val="2BF7FD5D"/>
    <w:rsid w:val="2DB73E71"/>
    <w:rsid w:val="2DEBBC2A"/>
    <w:rsid w:val="2EFF3216"/>
    <w:rsid w:val="2F7F96F2"/>
    <w:rsid w:val="32C65CA0"/>
    <w:rsid w:val="33DD46A7"/>
    <w:rsid w:val="33EFE981"/>
    <w:rsid w:val="3757077D"/>
    <w:rsid w:val="377FB039"/>
    <w:rsid w:val="37F5C8CF"/>
    <w:rsid w:val="38FB3827"/>
    <w:rsid w:val="39DB13D6"/>
    <w:rsid w:val="3AFB08E7"/>
    <w:rsid w:val="3B7DA4E6"/>
    <w:rsid w:val="3BEFB08E"/>
    <w:rsid w:val="3CAD17D4"/>
    <w:rsid w:val="3D7CE7F4"/>
    <w:rsid w:val="3DDD6621"/>
    <w:rsid w:val="3DDFB385"/>
    <w:rsid w:val="3E67457C"/>
    <w:rsid w:val="3EBF4657"/>
    <w:rsid w:val="3EDDA4E2"/>
    <w:rsid w:val="3EF7D374"/>
    <w:rsid w:val="3EFFF997"/>
    <w:rsid w:val="3F274710"/>
    <w:rsid w:val="3FCD68C8"/>
    <w:rsid w:val="3FD258A1"/>
    <w:rsid w:val="3FEE1ACB"/>
    <w:rsid w:val="3FF936E0"/>
    <w:rsid w:val="3FFDBB65"/>
    <w:rsid w:val="3FFF7342"/>
    <w:rsid w:val="4160708B"/>
    <w:rsid w:val="457F5997"/>
    <w:rsid w:val="47759164"/>
    <w:rsid w:val="48F58641"/>
    <w:rsid w:val="4C873709"/>
    <w:rsid w:val="4CFBC75A"/>
    <w:rsid w:val="53DE22F5"/>
    <w:rsid w:val="546176A9"/>
    <w:rsid w:val="549E5088"/>
    <w:rsid w:val="56F66392"/>
    <w:rsid w:val="57882912"/>
    <w:rsid w:val="57BED1D1"/>
    <w:rsid w:val="57DBCE3D"/>
    <w:rsid w:val="57FDD772"/>
    <w:rsid w:val="59F57BB3"/>
    <w:rsid w:val="5BF5C9CE"/>
    <w:rsid w:val="5D5B4E0F"/>
    <w:rsid w:val="5DD92B26"/>
    <w:rsid w:val="5DFEDE1F"/>
    <w:rsid w:val="5E46E710"/>
    <w:rsid w:val="5EFDD411"/>
    <w:rsid w:val="5EFF9D40"/>
    <w:rsid w:val="5EFFEC01"/>
    <w:rsid w:val="5FCB99A5"/>
    <w:rsid w:val="5FDD9B6C"/>
    <w:rsid w:val="5FE324F2"/>
    <w:rsid w:val="5FF41642"/>
    <w:rsid w:val="5FF75445"/>
    <w:rsid w:val="63D20E78"/>
    <w:rsid w:val="659FC5A6"/>
    <w:rsid w:val="65D6C731"/>
    <w:rsid w:val="65F33DA4"/>
    <w:rsid w:val="663348FD"/>
    <w:rsid w:val="670B9142"/>
    <w:rsid w:val="67A65EC7"/>
    <w:rsid w:val="67EF3906"/>
    <w:rsid w:val="67F37763"/>
    <w:rsid w:val="68742E58"/>
    <w:rsid w:val="6B76949D"/>
    <w:rsid w:val="6B7D328B"/>
    <w:rsid w:val="6BAA3D4C"/>
    <w:rsid w:val="6BFBFEF0"/>
    <w:rsid w:val="6BFD4339"/>
    <w:rsid w:val="6BFDA972"/>
    <w:rsid w:val="6CBF2D1B"/>
    <w:rsid w:val="6CDE2A80"/>
    <w:rsid w:val="6D710552"/>
    <w:rsid w:val="6D9984AD"/>
    <w:rsid w:val="6DB7E6D8"/>
    <w:rsid w:val="6DEB3FBD"/>
    <w:rsid w:val="6DEF4D8C"/>
    <w:rsid w:val="6E1FCA9F"/>
    <w:rsid w:val="6EDF451A"/>
    <w:rsid w:val="6EFC67CC"/>
    <w:rsid w:val="6F1F5D0E"/>
    <w:rsid w:val="6F732211"/>
    <w:rsid w:val="6F7998C1"/>
    <w:rsid w:val="6F9D7C19"/>
    <w:rsid w:val="6F9F17A9"/>
    <w:rsid w:val="6FBD0121"/>
    <w:rsid w:val="6FDBC54E"/>
    <w:rsid w:val="6FDF0167"/>
    <w:rsid w:val="6FDF8A56"/>
    <w:rsid w:val="6FF2946A"/>
    <w:rsid w:val="6FFD1C99"/>
    <w:rsid w:val="6FFF7AA9"/>
    <w:rsid w:val="72495BEC"/>
    <w:rsid w:val="737F5DB5"/>
    <w:rsid w:val="737F8AE0"/>
    <w:rsid w:val="73AE50DF"/>
    <w:rsid w:val="74EA8685"/>
    <w:rsid w:val="74F235DF"/>
    <w:rsid w:val="750E4D3C"/>
    <w:rsid w:val="75BAC193"/>
    <w:rsid w:val="75EB9299"/>
    <w:rsid w:val="76BE8611"/>
    <w:rsid w:val="76FAF5BE"/>
    <w:rsid w:val="76FFD3ED"/>
    <w:rsid w:val="774F31AD"/>
    <w:rsid w:val="776F5AC7"/>
    <w:rsid w:val="779F9116"/>
    <w:rsid w:val="77CB6C18"/>
    <w:rsid w:val="77D48239"/>
    <w:rsid w:val="77DF5277"/>
    <w:rsid w:val="77DF76AD"/>
    <w:rsid w:val="77E5DF79"/>
    <w:rsid w:val="77E95649"/>
    <w:rsid w:val="77EBBC6A"/>
    <w:rsid w:val="77FA52BE"/>
    <w:rsid w:val="77FE6FE9"/>
    <w:rsid w:val="77FF62C2"/>
    <w:rsid w:val="77FFAC66"/>
    <w:rsid w:val="78FF0220"/>
    <w:rsid w:val="7974C16C"/>
    <w:rsid w:val="7A5D6D29"/>
    <w:rsid w:val="7A5FC794"/>
    <w:rsid w:val="7AF4314C"/>
    <w:rsid w:val="7AFB76FD"/>
    <w:rsid w:val="7AFED7D9"/>
    <w:rsid w:val="7B2EA468"/>
    <w:rsid w:val="7B347DD8"/>
    <w:rsid w:val="7B57D818"/>
    <w:rsid w:val="7BAA1C7B"/>
    <w:rsid w:val="7BAB4AC0"/>
    <w:rsid w:val="7BB70608"/>
    <w:rsid w:val="7BBFEC5A"/>
    <w:rsid w:val="7BDE3A35"/>
    <w:rsid w:val="7BDFE658"/>
    <w:rsid w:val="7BEF2E72"/>
    <w:rsid w:val="7BF9AA84"/>
    <w:rsid w:val="7D3EAD98"/>
    <w:rsid w:val="7D566449"/>
    <w:rsid w:val="7D6CA6DB"/>
    <w:rsid w:val="7D7EDF93"/>
    <w:rsid w:val="7D7F26CC"/>
    <w:rsid w:val="7DD78202"/>
    <w:rsid w:val="7DF7A6CF"/>
    <w:rsid w:val="7DFF7D44"/>
    <w:rsid w:val="7DFF8D78"/>
    <w:rsid w:val="7E1E8A61"/>
    <w:rsid w:val="7E721793"/>
    <w:rsid w:val="7EAB9BA9"/>
    <w:rsid w:val="7ECE7AEE"/>
    <w:rsid w:val="7ED8C95C"/>
    <w:rsid w:val="7EEF02AD"/>
    <w:rsid w:val="7EF1408D"/>
    <w:rsid w:val="7EFB51A8"/>
    <w:rsid w:val="7F1E238B"/>
    <w:rsid w:val="7F3F2AD2"/>
    <w:rsid w:val="7F3F42E9"/>
    <w:rsid w:val="7F3F8B98"/>
    <w:rsid w:val="7F6FA5BC"/>
    <w:rsid w:val="7F73AD11"/>
    <w:rsid w:val="7F7DA757"/>
    <w:rsid w:val="7F9FC29C"/>
    <w:rsid w:val="7FAFE867"/>
    <w:rsid w:val="7FBCF781"/>
    <w:rsid w:val="7FBF7264"/>
    <w:rsid w:val="7FBF88EB"/>
    <w:rsid w:val="7FBF95F1"/>
    <w:rsid w:val="7FC3D9A5"/>
    <w:rsid w:val="7FCF35B3"/>
    <w:rsid w:val="7FD5C9FA"/>
    <w:rsid w:val="7FD6DD25"/>
    <w:rsid w:val="7FDF0F98"/>
    <w:rsid w:val="7FE70D69"/>
    <w:rsid w:val="7FE7F935"/>
    <w:rsid w:val="7FED5DFD"/>
    <w:rsid w:val="7FF64A73"/>
    <w:rsid w:val="7FFA1BB5"/>
    <w:rsid w:val="7FFA84B3"/>
    <w:rsid w:val="7FFE98D8"/>
    <w:rsid w:val="7FFEA6DF"/>
    <w:rsid w:val="7FFF3714"/>
    <w:rsid w:val="7FFF3979"/>
    <w:rsid w:val="7FFF4A7F"/>
    <w:rsid w:val="7FFF89F7"/>
    <w:rsid w:val="7FFFA51C"/>
    <w:rsid w:val="83F74DB6"/>
    <w:rsid w:val="99C04A6C"/>
    <w:rsid w:val="9BDE9681"/>
    <w:rsid w:val="9BEFEBAA"/>
    <w:rsid w:val="9CFF6048"/>
    <w:rsid w:val="9EDFF495"/>
    <w:rsid w:val="9FEC8F0E"/>
    <w:rsid w:val="9FF97DC9"/>
    <w:rsid w:val="ABFF0859"/>
    <w:rsid w:val="AEBBB2BB"/>
    <w:rsid w:val="AF7AFAFC"/>
    <w:rsid w:val="AF7F9170"/>
    <w:rsid w:val="B35A98B4"/>
    <w:rsid w:val="B54FB58C"/>
    <w:rsid w:val="B7B699A6"/>
    <w:rsid w:val="BAE65A51"/>
    <w:rsid w:val="BB394FC0"/>
    <w:rsid w:val="BB3E736C"/>
    <w:rsid w:val="BBBEEDAF"/>
    <w:rsid w:val="BBCE516A"/>
    <w:rsid w:val="BBFDCF76"/>
    <w:rsid w:val="BD37D4BE"/>
    <w:rsid w:val="BD7FD51D"/>
    <w:rsid w:val="BDD6A2BF"/>
    <w:rsid w:val="BDFB9C09"/>
    <w:rsid w:val="BDFFC22D"/>
    <w:rsid w:val="BE5731CE"/>
    <w:rsid w:val="BEA758CC"/>
    <w:rsid w:val="BEC5A061"/>
    <w:rsid w:val="BEFA8CF6"/>
    <w:rsid w:val="BEFF79E8"/>
    <w:rsid w:val="BEFF868D"/>
    <w:rsid w:val="BF7DA7B2"/>
    <w:rsid w:val="BFE1F9D1"/>
    <w:rsid w:val="BFEB4600"/>
    <w:rsid w:val="BFFC995B"/>
    <w:rsid w:val="BFFFF706"/>
    <w:rsid w:val="C7E7744D"/>
    <w:rsid w:val="CCBFDE8E"/>
    <w:rsid w:val="CDDBDACF"/>
    <w:rsid w:val="CEDF87E8"/>
    <w:rsid w:val="D09E104E"/>
    <w:rsid w:val="D1EE5821"/>
    <w:rsid w:val="D37FA1F1"/>
    <w:rsid w:val="D3BEE09E"/>
    <w:rsid w:val="D53FB053"/>
    <w:rsid w:val="D5EED072"/>
    <w:rsid w:val="D7D60D7D"/>
    <w:rsid w:val="DABF50B5"/>
    <w:rsid w:val="DADF244C"/>
    <w:rsid w:val="DB5A9805"/>
    <w:rsid w:val="DCBF2B33"/>
    <w:rsid w:val="DCFCCD5A"/>
    <w:rsid w:val="DD2F51A0"/>
    <w:rsid w:val="DDF4535A"/>
    <w:rsid w:val="DE2F6697"/>
    <w:rsid w:val="DE7E657D"/>
    <w:rsid w:val="DE7FA9BC"/>
    <w:rsid w:val="DEEB743C"/>
    <w:rsid w:val="DEEFF5BC"/>
    <w:rsid w:val="DF5CE6E2"/>
    <w:rsid w:val="DF7A1A0B"/>
    <w:rsid w:val="DF7B0133"/>
    <w:rsid w:val="DF7B86CC"/>
    <w:rsid w:val="DF7BE04B"/>
    <w:rsid w:val="DF7DE05A"/>
    <w:rsid w:val="DF8F2A16"/>
    <w:rsid w:val="DFB49A03"/>
    <w:rsid w:val="DFDABB89"/>
    <w:rsid w:val="DFE348B7"/>
    <w:rsid w:val="DFFB701F"/>
    <w:rsid w:val="DFFBAE69"/>
    <w:rsid w:val="DFFDFCB4"/>
    <w:rsid w:val="E3FB604D"/>
    <w:rsid w:val="E77F9CFC"/>
    <w:rsid w:val="E7DAE0DB"/>
    <w:rsid w:val="E7DF400F"/>
    <w:rsid w:val="E8FA0605"/>
    <w:rsid w:val="E9DF545F"/>
    <w:rsid w:val="EB3ED8A3"/>
    <w:rsid w:val="EB6FF968"/>
    <w:rsid w:val="EBC7AC0E"/>
    <w:rsid w:val="EBFD9C95"/>
    <w:rsid w:val="ECFAFD52"/>
    <w:rsid w:val="ED539F31"/>
    <w:rsid w:val="EDF54DA3"/>
    <w:rsid w:val="EDF6105E"/>
    <w:rsid w:val="EDFFBF78"/>
    <w:rsid w:val="EE32498E"/>
    <w:rsid w:val="EE3D18CC"/>
    <w:rsid w:val="EEF3C57A"/>
    <w:rsid w:val="EF1AA973"/>
    <w:rsid w:val="EFB74A36"/>
    <w:rsid w:val="EFBF9027"/>
    <w:rsid w:val="EFDF0AD4"/>
    <w:rsid w:val="EFDF3FC4"/>
    <w:rsid w:val="EFF22759"/>
    <w:rsid w:val="EFF3D6AC"/>
    <w:rsid w:val="EFF81A37"/>
    <w:rsid w:val="EFFC9438"/>
    <w:rsid w:val="EFFE6FDA"/>
    <w:rsid w:val="F1BB5DA5"/>
    <w:rsid w:val="F1BD9B09"/>
    <w:rsid w:val="F2F29EAE"/>
    <w:rsid w:val="F3BF4B70"/>
    <w:rsid w:val="F4FE670D"/>
    <w:rsid w:val="F52FE7D1"/>
    <w:rsid w:val="F5DE8F11"/>
    <w:rsid w:val="F5F7044B"/>
    <w:rsid w:val="F5FFD641"/>
    <w:rsid w:val="F67F8B4E"/>
    <w:rsid w:val="F6BDBE52"/>
    <w:rsid w:val="F6DF1B41"/>
    <w:rsid w:val="F6DFC93E"/>
    <w:rsid w:val="F77FD52D"/>
    <w:rsid w:val="F7BF903C"/>
    <w:rsid w:val="F7C7F87B"/>
    <w:rsid w:val="F7DF6985"/>
    <w:rsid w:val="F7F9676B"/>
    <w:rsid w:val="F7FBF454"/>
    <w:rsid w:val="F7FFDB06"/>
    <w:rsid w:val="F96BF367"/>
    <w:rsid w:val="F9B73C65"/>
    <w:rsid w:val="F9FB26AC"/>
    <w:rsid w:val="FA7D3A72"/>
    <w:rsid w:val="FADBC62F"/>
    <w:rsid w:val="FAEE1FB5"/>
    <w:rsid w:val="FAFDDAD2"/>
    <w:rsid w:val="FB7E60ED"/>
    <w:rsid w:val="FBB7AF06"/>
    <w:rsid w:val="FBBFD37B"/>
    <w:rsid w:val="FBDFCBC0"/>
    <w:rsid w:val="FBE106E0"/>
    <w:rsid w:val="FBFDC04D"/>
    <w:rsid w:val="FBFF4190"/>
    <w:rsid w:val="FD37A701"/>
    <w:rsid w:val="FD4C2E1F"/>
    <w:rsid w:val="FD7FCD7D"/>
    <w:rsid w:val="FD8C163D"/>
    <w:rsid w:val="FDAF666F"/>
    <w:rsid w:val="FDDF905F"/>
    <w:rsid w:val="FDF9C097"/>
    <w:rsid w:val="FDFD7313"/>
    <w:rsid w:val="FE7F5FB7"/>
    <w:rsid w:val="FE7F8C18"/>
    <w:rsid w:val="FEB7126A"/>
    <w:rsid w:val="FEC750ED"/>
    <w:rsid w:val="FEDE6DED"/>
    <w:rsid w:val="FEFB189A"/>
    <w:rsid w:val="FF2FBD5F"/>
    <w:rsid w:val="FF341EAE"/>
    <w:rsid w:val="FF5A25E9"/>
    <w:rsid w:val="FF7644C6"/>
    <w:rsid w:val="FF7A189B"/>
    <w:rsid w:val="FF7FD4EB"/>
    <w:rsid w:val="FFA2BB25"/>
    <w:rsid w:val="FFAB2B60"/>
    <w:rsid w:val="FFAF517E"/>
    <w:rsid w:val="FFB7AFA7"/>
    <w:rsid w:val="FFBE0533"/>
    <w:rsid w:val="FFCAE0FB"/>
    <w:rsid w:val="FFCFA972"/>
    <w:rsid w:val="FFD78B1A"/>
    <w:rsid w:val="FFDD0C75"/>
    <w:rsid w:val="FFDE96CB"/>
    <w:rsid w:val="FFDF32F5"/>
    <w:rsid w:val="FFDF6023"/>
    <w:rsid w:val="FFED2988"/>
    <w:rsid w:val="FFEF4B31"/>
    <w:rsid w:val="FFEF66A5"/>
    <w:rsid w:val="FFF72D25"/>
    <w:rsid w:val="FFFDB20F"/>
    <w:rsid w:val="FF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华文仿宋" w:cs="Times New Roman"/>
      <w:b/>
      <w:bCs/>
      <w:sz w:val="28"/>
      <w:szCs w:val="32"/>
    </w:rPr>
  </w:style>
  <w:style w:type="paragraph" w:styleId="4">
    <w:name w:val="heading 3"/>
    <w:basedOn w:val="1"/>
    <w:next w:val="5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1443</Words>
  <Characters>1554</Characters>
  <Lines>0</Lines>
  <Paragraphs>0</Paragraphs>
  <TotalTime>9</TotalTime>
  <ScaleCrop>false</ScaleCrop>
  <LinksUpToDate>false</LinksUpToDate>
  <CharactersWithSpaces>1649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2025-11-18T17:19:00Z</dcterms:created>
  <dc:creator>蛋蛋</dc:creator>
  <cp:lastModifiedBy>lenovo</cp:lastModifiedBy>
  <dcterms:modified xsi:type="dcterms:W3CDTF">2025-11-19T06:26:53Z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A11DC72C87084B39A4EF7C255374A133_13</vt:lpwstr>
  </property>
  <property fmtid="{D5CDD505-2E9C-101B-9397-08002B2CF9AE}" pid="4" name="KSOTemplateDocerSaveRecord">
    <vt:lpwstr>eyJoZGlkIjoiMWRlYTcwNzdjZGY2M2U4NTFiODY4OTBiNDdkMjYxMGIiLCJ1c2VySWQiOiIyMzkwNjk3NDMifQ==</vt:lpwstr>
  </property>
</Properties>
</file>