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mc:AlternateContent>
        <mc:Choice Requires="wpsCustomData">
          <wpsCustomData:docfieldStart id="0" docfieldname="附件_1" hidden="false" print="true" readonly="false" index="1"/>
        </mc:Choice>
      </mc:AlternateContent>
      <w:r>
        <w:t>附件2：</w:t>
      </w:r>
      <mc:AlternateContent>
        <mc:Choice Requires="wpsCustomData">
          <wpsCustomData:docfieldEnd id="0"/>
        </mc:Choice>
      </mc:AlternateContent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ind w:left="0" w:leftChars="0" w:right="0" w:rightChars="0" w:firstLine="1600" w:firstLineChars="500"/>
        <w:jc w:val="both"/>
        <w:textAlignment w:val="auto"/>
        <w:rPr>
          <w:rFonts w:hint="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</w:pPr>
      <w:r>
        <w:t>2026年高素质农民培育</w:t>
      </w:r>
    </w:p>
    <w:p>
      <w:pPr>
        <w:pStyle w:val="6"/>
        <w:rPr>
          <w:rFonts w:hint="eastAsia" w:ascii="方正公文小标宋" w:hAnsi="方正公文小标宋" w:eastAsia="方正公文小标宋" w:cs="方正公文小标宋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t>第一批项目申报</w:t>
      </w:r>
      <w:r>
        <w:rPr>
          <w:rFonts w:hint="eastAsia"/>
          <w:lang w:eastAsia="zh-CN"/>
        </w:rPr>
        <w:t>指南</w:t>
      </w:r>
    </w:p>
    <w:p>
      <w:pPr>
        <w:pStyle w:val="2"/>
        <w:rPr>
          <w:u w:val="none"/>
        </w:rPr>
      </w:pPr>
    </w:p>
    <w:p>
      <w:pPr>
        <w:pStyle w:val="2"/>
      </w:pPr>
      <w:r>
        <w:rPr>
          <w:u w:val="none"/>
        </w:rPr>
        <w:t>一、申报方向</w:t>
      </w:r>
    </w:p>
    <w:p>
      <w:pPr>
        <w:pStyle w:val="3"/>
        <w:rPr>
          <w:rFonts w:hint="eastAsia"/>
          <w:lang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第一批次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申报方向主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体为常规班，适当配备部分</w:t>
      </w:r>
      <w:r>
        <w:rPr>
          <w:rFonts w:hint="eastAsia"/>
          <w:lang w:eastAsia="zh-CN"/>
        </w:rPr>
        <w:t>专题班。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依据</w:t>
      </w:r>
      <w:r>
        <w:t>省农业农村厅发布的</w:t>
      </w:r>
      <w:r>
        <w:rPr>
          <w:rFonts w:hint="eastAsia"/>
          <w:lang w:eastAsia="zh-CN"/>
        </w:rPr>
        <w:t>《省农业农村厅关于推介发布2026年农业主导品种及主推技术的通知》</w:t>
      </w:r>
      <w:r>
        <w:t>要求，优先</w:t>
      </w:r>
      <w:r>
        <w:rPr>
          <w:rFonts w:hint="eastAsia"/>
          <w:lang w:eastAsia="zh-CN"/>
        </w:rPr>
        <w:t>培训对</w:t>
      </w:r>
      <w:r>
        <w:t>水稻无纺布钵苗育秧技术等十大农业主推技术</w:t>
      </w:r>
      <w:r>
        <w:rPr>
          <w:rFonts w:hint="eastAsia"/>
          <w:lang w:eastAsia="zh-CN"/>
        </w:rPr>
        <w:t>，以及</w:t>
      </w:r>
      <w:r>
        <w:t>其他</w:t>
      </w:r>
      <w:r>
        <w:rPr>
          <w:rFonts w:hint="eastAsia"/>
          <w:lang w:val="en-US" w:eastAsia="zh-CN"/>
        </w:rPr>
        <w:t>粮油作物、经济作物、园艺作物、畜禽养殖、动物疫病防控、水产养殖、植物保护等相关</w:t>
      </w:r>
      <w:r>
        <w:t>主推技术</w:t>
      </w:r>
      <w:r>
        <w:rPr>
          <w:rFonts w:hint="eastAsia"/>
          <w:lang w:eastAsia="zh-CN"/>
        </w:rPr>
        <w:t xml:space="preserve">。 </w: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（一）种养植类。</w:t>
      </w:r>
      <w:r>
        <w:rPr>
          <w:rFonts w:hint="eastAsia"/>
          <w:lang w:eastAsia="zh-CN"/>
        </w:rPr>
        <w:t>粮油类重点</w:t>
      </w:r>
      <w:r>
        <w:t>支持</w:t>
      </w:r>
      <w:r>
        <w:rPr>
          <w:rFonts w:hint="eastAsia"/>
          <w:lang w:eastAsia="zh-CN"/>
        </w:rPr>
        <w:t>培训</w:t>
      </w:r>
      <w:r>
        <w:t>纳泰优808、北玉1521、黔芋9号、油研2020等主推品</w:t>
      </w:r>
      <w:r>
        <w:rPr>
          <w:rFonts w:hint="eastAsia"/>
          <w:lang w:eastAsia="zh-CN"/>
        </w:rPr>
        <w:t>种植技能；</w:t>
      </w:r>
      <w:r>
        <w:t>果蔬类重点支持红托竹荪黔优1号等特色品种标准化种植与加工技</w:t>
      </w:r>
      <w:r>
        <w:rPr>
          <w:rFonts w:hint="eastAsia"/>
          <w:lang w:eastAsia="zh-CN"/>
        </w:rPr>
        <w:t>能；</w:t>
      </w:r>
      <w:r>
        <w:t>畜禽</w:t>
      </w:r>
      <w:r>
        <w:rPr>
          <w:rFonts w:hint="eastAsia"/>
          <w:lang w:eastAsia="zh-CN"/>
        </w:rPr>
        <w:t>类</w:t>
      </w:r>
      <w:r>
        <w:t>重</w:t>
      </w:r>
      <w:r>
        <w:rPr>
          <w:rFonts w:hint="eastAsia"/>
          <w:lang w:eastAsia="zh-CN"/>
        </w:rPr>
        <w:t>点支持</w:t>
      </w:r>
      <w:r>
        <w:t>关岭牛</w:t>
      </w:r>
      <w:r>
        <w:rPr>
          <w:rFonts w:hint="eastAsia"/>
          <w:lang w:eastAsia="zh-CN"/>
        </w:rPr>
        <w:t>、三穗鸭、锦屏鹅、可乐猪等养殖技能；</w:t>
      </w:r>
      <w:r>
        <w:t>水产类</w:t>
      </w:r>
      <w:r>
        <w:rPr>
          <w:rFonts w:hint="eastAsia"/>
          <w:lang w:eastAsia="zh-CN"/>
        </w:rPr>
        <w:t>重点支持鲟鱼、虹鳟、鲈鱼等</w:t>
      </w:r>
      <w:r>
        <w:t>养殖</w:t>
      </w:r>
      <w:r>
        <w:rPr>
          <w:rFonts w:hint="eastAsia"/>
          <w:lang w:eastAsia="zh-CN"/>
        </w:rPr>
        <w:t>技能；</w:t>
      </w:r>
      <w:r>
        <w:rPr>
          <w:rFonts w:hint="eastAsia"/>
          <w:lang w:val="en-US" w:eastAsia="zh-CN"/>
        </w:rPr>
        <w:t>经济类重点支持茶树、辣椒等种植技术培训；支持</w:t>
      </w:r>
      <w:r>
        <w:rPr>
          <w:rFonts w:hint="eastAsia"/>
          <w:lang w:eastAsia="zh-CN"/>
        </w:rPr>
        <w:t>农事服务中心所需育苗、种、管、收、贮和精加工技能；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微小型农机、常规农用无人机驾驶航空器、中大型农机驾驶技能；</w:t>
      </w:r>
      <w:r>
        <w:rPr>
          <w:rFonts w:hint="eastAsia"/>
          <w:lang w:eastAsia="zh-CN"/>
        </w:rPr>
        <w:t>其他重点支持的具有特色种养殖业技能培训。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（二）经营管理类。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农村创业、新型农业经营主体数字化等新产业新业态技能（智慧农业、数字化技能应用）；乡村工匠技能；乡土文化创意、策划、组织技能（含体育）；休闲农业、乡村新型服务业、农文旅融合技能；乡村治理技能；农村集体经济组织管理技能；农业职业经理营运技能等。</w:t>
      </w:r>
    </w:p>
    <w:p>
      <w:pPr>
        <w:pStyle w:val="2"/>
      </w:pPr>
      <w:r>
        <w:rPr>
          <w:rFonts w:hint="eastAsia"/>
          <w:lang w:eastAsia="zh-CN"/>
        </w:rPr>
        <w:t>二</w:t>
      </w:r>
      <w:r>
        <w:t>、申报方式</w:t>
      </w:r>
    </w:p>
    <w:p>
      <w:pPr>
        <w:pStyle w:val="3"/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逐级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项目，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县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（市、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）农业农村局将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申报表报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送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至市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州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市（州）农业农村局组织专家对本级和县级申报资料开展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初审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将过初审的项目通过“</w:t>
      </w:r>
      <w:r>
        <w:rPr>
          <w:b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贵州省高素质农民培育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服务平台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上报省农业农村厅，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承担省级任务的机构通过平台直接申报。</w:t>
      </w:r>
    </w:p>
    <w:p>
      <w:pPr>
        <w:pStyle w:val="3"/>
        <w:rPr>
          <w:rFonts w:hint="eastAsia" w:eastAsia="仿宋_GB2312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:vertAlign w:val="baseline"/>
          <w:lang w:eastAsia="zh-CN"/>
          <w14:textFill>
            <w14:solidFill>
              <w14:schemeClr w14:val="tx1"/>
            </w14:solidFill>
          </w14:textFill>
        </w:rPr>
        <w:t>省级根据资金安排和申报情况，组织专家评审确定得分高低，从高到低确定入围项目。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 w:ascii="Times New Roman" w:hAnsi="Times New Roman"/>
          <w:lang w:val="en-US" w:eastAsia="zh-CN"/>
        </w:rPr>
        <w:t>、</w:t>
      </w:r>
      <w:r>
        <w:rPr>
          <w:rFonts w:hint="eastAsia"/>
          <w:lang w:val="en-US" w:eastAsia="zh-CN"/>
        </w:rPr>
        <w:t>申报</w:t>
      </w:r>
      <w:r>
        <w:rPr>
          <w:rFonts w:hint="eastAsia" w:ascii="Times New Roman" w:hAnsi="Times New Roman"/>
          <w:lang w:val="en-US" w:eastAsia="zh-CN"/>
        </w:rPr>
        <w:t>要</w:t>
      </w:r>
      <w:r>
        <w:rPr>
          <w:rFonts w:hint="eastAsia"/>
          <w:lang w:val="en-US" w:eastAsia="zh-CN"/>
        </w:rPr>
        <w:t>求</w:t>
      </w:r>
    </w:p>
    <w:p>
      <w:pPr>
        <w:ind w:firstLine="640" w:firstLineChars="200"/>
        <w:rPr>
          <w:rFonts w:hint="default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（一）前置条件符合。</w:t>
      </w:r>
      <w:r>
        <w:rPr>
          <w:rFonts w:hint="eastAsia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上年度资金支付率</w:t>
      </w:r>
      <w:r>
        <w:rPr>
          <w:rFonts w:hint="eastAsia" w:hAnsi="Calibri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（截止项目上报时间）</w:t>
      </w:r>
      <w:r>
        <w:rPr>
          <w:rFonts w:hint="eastAsia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未达到80%级的市（州）、县（市、区），部级或省级抽查发现重大弄虚作假、重大质量问题的，群众满意度达不到90%以上的，出现重大安全事故或舆情的，纪检监察、审计执法执纪出现问题的，不</w:t>
      </w:r>
      <w:r>
        <w:rPr>
          <w:rFonts w:hint="eastAsia" w:hAnsi="Calibri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2026年度项目申报。</w:t>
      </w:r>
    </w:p>
    <w:p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（二）培训目标明确。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应当明确实施时间、实施地点、培训方式、培训人数、绩效指标、学员满意度、培训时长、</w:t>
      </w:r>
      <w:r>
        <w:t>跟踪服务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等具体可量化指标。</w:t>
      </w:r>
    </w:p>
    <w:p>
      <w:pPr>
        <w:pStyle w:val="3"/>
        <w:rPr>
          <w:rFonts w:hint="default" w:ascii="Times New Roman" w:hAnsi="Calibri" w:eastAsia="仿宋_GB2312" w:cs="Times New Roman"/>
          <w:b/>
          <w:bCs/>
          <w:color w:val="000000" w:themeColor="text1"/>
          <w:kern w:val="0"/>
          <w:sz w:val="32"/>
          <w:szCs w:val="2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（三）培育对象聚焦。</w:t>
      </w:r>
      <w:r>
        <w:rPr>
          <w:rFonts w:hint="eastAsia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重点聚焦返乡大学生、退伍军人、务工返乡人员，年龄控制在18岁—50岁之间，学历须达到初中及以上。严禁拉人头培训，严格控制再培训范围</w:t>
      </w:r>
      <w:r>
        <w:rPr>
          <w:rFonts w:hint="eastAsia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Calibri" w:eastAsia="仿宋_GB2312" w:cs="Times New Roman"/>
          <w:b w:val="0"/>
          <w:color w:val="000000" w:themeColor="text1"/>
          <w:kern w:val="0"/>
          <w:sz w:val="32"/>
          <w:szCs w:val="2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同一培训机构培训学员与前3个年度培训学员重复率控制在5%以内。</w:t>
      </w:r>
    </w:p>
    <w:p>
      <w:pPr>
        <w:pStyle w:val="3"/>
        <w:ind w:left="0" w:lef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（四）具备</w:t>
      </w:r>
      <w:r>
        <w:rPr>
          <w:rFonts w:hint="eastAsia" w:ascii="方正楷体_GBK" w:hAnsi="方正楷体_GBK" w:eastAsia="方正楷体_GBK" w:cs="方正楷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可行性。</w:t>
      </w:r>
    </w:p>
    <w:p>
      <w:pPr>
        <w:pStyle w:val="3"/>
        <w:ind w:left="0" w:leftChars="0"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1.需求调查。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在必要的需求调查基础上，组织专家论证，保持与地域、产业发展、群众需求高度契合</w:t>
      </w:r>
      <w:r>
        <w:t>。严格</w:t>
      </w:r>
      <w:r>
        <w:rPr>
          <w:rFonts w:hint="eastAsia"/>
          <w:lang w:eastAsia="zh-CN"/>
        </w:rPr>
        <w:t>按照申报要求，坚决防止不顾实际申报项目</w:t>
      </w:r>
      <w:r>
        <w:t>。</w:t>
      </w:r>
    </w:p>
    <w:p>
      <w:pPr>
        <w:pStyle w:val="3"/>
        <w:ind w:left="0" w:leftChars="0" w:firstLine="64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课程设计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符合现代山地特色高效农业技术要求，按照省农业农村厅发布的最新技术要求设置课程，技术和服务类实践教学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课时应当占总课时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%以上。</w:t>
      </w:r>
    </w:p>
    <w:p>
      <w:pPr>
        <w:pStyle w:val="3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3.师资配备。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相应班次配备的师资应当具备相应的专业技能、实操能力、实践能力。“土专家”优先聘用具备有关部门授予的专业技能证书、荣誉证书、称号等。</w:t>
      </w:r>
    </w:p>
    <w:p>
      <w:pPr>
        <w:pStyle w:val="3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4.资金预算。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申报资金费用定额控制在省级指导标准以下。应当与招生、课程设置、师资、实操场地、实操耗材、住宿、餐饮、利润、税费等有效匹配。</w:t>
      </w:r>
    </w:p>
    <w:p>
      <w:pPr>
        <w:pStyle w:val="3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（四）监管措施有力。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申报项目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实行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招投标制、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合同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制。必须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明确监管主体、监管措施、评价方式、违约责任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（五）申报时间要求。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申报工作自接到正式申报指南开始，至3月 31 日截止，各市州农业农村局和承担省级任务的机构在系统开放日期（3月27日-31日）集中填报。申报主体须严格依照时间要求组织申报材料，各市（州）应结合实际情况，指导各县（市、区）做好申报及初审工作，逾期申报将不予受理。</w:t>
      </w:r>
    </w:p>
    <w:p>
      <w:pPr>
        <w:pStyle w:val="3"/>
        <w:rPr>
          <w:rFonts w:hint="eastAsia" w:ascii="方正黑体_GBK" w:hAnsi="方正黑体_GBK" w:eastAsia="方正黑体_GBK" w:cs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四、项目评审</w:t>
      </w:r>
    </w:p>
    <w:p>
      <w:pPr>
        <w:pStyle w:val="3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省级按产业类别、专题类别等组建专家团队，于4月10前组织专家评审，公布评审结果。通过评审的项目即可组织实施。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alSs7WAAAABgEAAA8AAAAAAAAAAQAgAAAAOAAAAGRycy9kb3ducmV2&#10;LnhtbFBLAQIUABQAAAAIAIdO4kDPvJvBIQIAADM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BqVKztYAAAAGAQAADwAAAAAAAAABACAAAAA4AAAAZHJzL2Rvd25yZXYu&#10;eG1sUEsBAhQAFAAAAAgAh07iQPhWIMAgAgAAM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6674"/>
    <w:rsid w:val="1CF05846"/>
    <w:rsid w:val="22603DB2"/>
    <w:rsid w:val="288D3427"/>
    <w:rsid w:val="35B36915"/>
    <w:rsid w:val="3CF3050B"/>
    <w:rsid w:val="44036CDF"/>
    <w:rsid w:val="4B4D00CC"/>
    <w:rsid w:val="543B2598"/>
    <w:rsid w:val="5D365AFD"/>
    <w:rsid w:val="5F8D7DD2"/>
    <w:rsid w:val="60BA798A"/>
    <w:rsid w:val="75146B55"/>
    <w:rsid w:val="7BD81D81"/>
    <w:rsid w:val="7EBD2986"/>
    <w:rsid w:val="EDF7E867"/>
    <w:rsid w:val="F57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after="0" w:line="640" w:lineRule="exact"/>
      <w:ind w:left="0" w:leftChars="0" w:firstLine="420" w:firstLineChars="200"/>
      <w:jc w:val="both"/>
      <w:textAlignment w:val="auto"/>
      <w:outlineLvl w:val="0"/>
    </w:pPr>
    <w:rPr>
      <w:rFonts w:ascii="Times New Roman" w:hAnsi="Times New Roman" w:eastAsia="黑体" w:cs="黑体"/>
      <w:color w:val="auto"/>
      <w:kern w:val="2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pacing w:line="576" w:lineRule="exact"/>
      <w:ind w:firstLine="640" w:firstLineChars="200"/>
      <w:jc w:val="left"/>
      <w:textAlignment w:val="auto"/>
      <w:outlineLvl w:val="9"/>
    </w:pPr>
    <w:rPr>
      <w:rFonts w:ascii="Times New Roman" w:hAnsi="Calibri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pacing w:before="0" w:beforeLines="0" w:beforeAutospacing="0" w:after="0" w:afterLines="0" w:afterAutospacing="0" w:line="640" w:lineRule="exact"/>
      <w:jc w:val="center"/>
      <w:textAlignment w:val="auto"/>
      <w:outlineLvl w:val="9"/>
    </w:pPr>
    <w:rPr>
      <w:rFonts w:ascii="Times New Roman" w:hAnsi="Times New Roman" w:eastAsia="方正公文小标宋" w:cs="方正公文小标宋"/>
      <w:color w:val="auto"/>
      <w:spacing w:val="0"/>
      <w:kern w:val="0"/>
      <w:sz w:val="44"/>
      <w:szCs w:val="44"/>
    </w:rPr>
  </w:style>
  <w:style w:type="paragraph" w:customStyle="1" w:styleId="9">
    <w:name w:val="附录标题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after="0" w:line="640" w:lineRule="exact"/>
      <w:ind w:left="0" w:leftChars="0" w:firstLine="0" w:firstLineChars="0"/>
      <w:jc w:val="both"/>
      <w:textAlignment w:val="auto"/>
      <w:outlineLvl w:val="0"/>
    </w:pPr>
    <w:rPr>
      <w:rFonts w:ascii="Times New Roman" w:hAnsi="Times New Roman" w:eastAsia="黑体" w:cs="黑体"/>
      <w:color w:val="auto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1676</Words>
  <Characters>1719</Characters>
  <Lines>0</Lines>
  <Paragraphs>0</Paragraphs>
  <TotalTime>8</TotalTime>
  <ScaleCrop>false</ScaleCrop>
  <LinksUpToDate>false</LinksUpToDate>
  <CharactersWithSpaces>1728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2026-01-28T18:14:00Z</dcterms:created>
  <dc:creator>Administrator</dc:creator>
  <cp:lastModifiedBy>葛静</cp:lastModifiedBy>
  <dcterms:modified xsi:type="dcterms:W3CDTF">2026-03-11T17:25:42Z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eyJoZGlkIjoiNDNmZmZkYmI2OTM5ZWIxN2FhMTNmOThhNDAxNTVlNGMiLCJ1c2VySWQiOiI2NDc3OTU3MzgifQ==</vt:lpwstr>
  </property>
  <property fmtid="{D5CDD505-2E9C-101B-9397-08002B2CF9AE}" pid="4" name="ICV">
    <vt:lpwstr>ECF9AB679D9644A3B65F4722C8825E66_13</vt:lpwstr>
  </property>
</Properties>
</file>