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213" w:rsidRDefault="00E41893">
      <w:pPr>
        <w:spacing w:line="576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FE6213" w:rsidRDefault="00FE6213">
      <w:pPr>
        <w:spacing w:line="576" w:lineRule="exact"/>
      </w:pPr>
    </w:p>
    <w:p w:rsidR="00FE6213" w:rsidRDefault="003766E7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3766E7">
        <w:rPr>
          <w:rFonts w:ascii="方正小标宋简体" w:eastAsia="方正小标宋简体" w:hAnsi="方正小标宋简体" w:cs="方正小标宋简体" w:hint="eastAsia"/>
          <w:sz w:val="44"/>
          <w:szCs w:val="44"/>
        </w:rPr>
        <w:t>钟山区设施农业发展项目</w:t>
      </w:r>
      <w:r w:rsidR="00E41893">
        <w:rPr>
          <w:rFonts w:ascii="方正小标宋简体" w:eastAsia="方正小标宋简体" w:hAnsi="方正小标宋简体" w:cs="方正小标宋简体" w:hint="eastAsia"/>
          <w:sz w:val="44"/>
          <w:szCs w:val="44"/>
        </w:rPr>
        <w:t>说明</w:t>
      </w:r>
    </w:p>
    <w:p w:rsidR="00FE6213" w:rsidRDefault="00FE6213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3766E7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项目名称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3766E7" w:rsidRPr="003766E7">
        <w:rPr>
          <w:rFonts w:ascii="仿宋_GB2312" w:eastAsia="仿宋_GB2312" w:hAnsi="仿宋_GB2312" w:cs="仿宋_GB2312" w:hint="eastAsia"/>
          <w:sz w:val="32"/>
          <w:szCs w:val="32"/>
        </w:rPr>
        <w:t>钟山区设施农业发展项目</w:t>
      </w:r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项目推介类别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AF5866">
        <w:rPr>
          <w:rFonts w:ascii="仿宋_GB2312" w:eastAsia="仿宋_GB2312" w:hAnsi="仿宋_GB2312" w:cs="仿宋_GB2312" w:hint="eastAsia"/>
          <w:sz w:val="32"/>
          <w:szCs w:val="32"/>
        </w:rPr>
        <w:t>农业特色</w:t>
      </w:r>
      <w:r w:rsidR="00AF5866">
        <w:rPr>
          <w:rFonts w:ascii="仿宋_GB2312" w:eastAsia="仿宋_GB2312" w:hAnsi="仿宋_GB2312" w:cs="仿宋_GB2312"/>
          <w:sz w:val="32"/>
          <w:szCs w:val="32"/>
        </w:rPr>
        <w:t>产业</w:t>
      </w:r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项目建设性质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AF5866">
        <w:rPr>
          <w:rFonts w:ascii="仿宋_GB2312" w:eastAsia="仿宋_GB2312" w:hAnsi="仿宋_GB2312" w:cs="仿宋_GB2312" w:hint="eastAsia"/>
          <w:sz w:val="32"/>
          <w:szCs w:val="32"/>
        </w:rPr>
        <w:t>新建</w:t>
      </w:r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项目业主单位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3766E7">
        <w:rPr>
          <w:rFonts w:ascii="仿宋_GB2312" w:eastAsia="仿宋_GB2312" w:hAnsi="仿宋_GB2312" w:cs="仿宋_GB2312" w:hint="eastAsia"/>
          <w:sz w:val="32"/>
          <w:szCs w:val="32"/>
        </w:rPr>
        <w:t>钟山区</w:t>
      </w:r>
      <w:r w:rsidR="00AF5866">
        <w:rPr>
          <w:rFonts w:ascii="仿宋_GB2312" w:eastAsia="仿宋_GB2312" w:hAnsi="仿宋_GB2312" w:cs="仿宋_GB2312" w:hint="eastAsia"/>
          <w:sz w:val="32"/>
          <w:szCs w:val="32"/>
        </w:rPr>
        <w:t>农业农村</w:t>
      </w:r>
      <w:r w:rsidR="00AF5866">
        <w:rPr>
          <w:rFonts w:ascii="仿宋_GB2312" w:eastAsia="仿宋_GB2312" w:hAnsi="仿宋_GB2312" w:cs="仿宋_GB2312"/>
          <w:sz w:val="32"/>
          <w:szCs w:val="32"/>
        </w:rPr>
        <w:t>局</w:t>
      </w:r>
    </w:p>
    <w:p w:rsidR="00AF5866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合作方式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AF5866">
        <w:rPr>
          <w:rFonts w:ascii="仿宋_GB2312" w:eastAsia="仿宋_GB2312" w:hAnsi="仿宋_GB2312" w:cs="仿宋_GB2312" w:hint="eastAsia"/>
          <w:sz w:val="32"/>
          <w:szCs w:val="32"/>
        </w:rPr>
        <w:t>独资</w:t>
      </w:r>
    </w:p>
    <w:p w:rsidR="00C646C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项目现状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C646C3">
        <w:rPr>
          <w:rFonts w:ascii="仿宋_GB2312" w:eastAsia="仿宋_GB2312" w:hAnsi="仿宋_GB2312" w:cs="仿宋_GB2312" w:hint="eastAsia"/>
          <w:sz w:val="32"/>
          <w:szCs w:val="32"/>
        </w:rPr>
        <w:t>未启动</w:t>
      </w:r>
    </w:p>
    <w:p w:rsidR="003766E7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项目建设内容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3766E7" w:rsidRPr="003766E7">
        <w:rPr>
          <w:rFonts w:ascii="仿宋_GB2312" w:eastAsia="仿宋_GB2312" w:hAnsi="仿宋_GB2312" w:cs="仿宋_GB2312" w:hint="eastAsia"/>
          <w:sz w:val="32"/>
          <w:szCs w:val="32"/>
        </w:rPr>
        <w:t>利用现代农业技术与工程技术的集成（主要建设高标准蔬菜大棚），获得速生、高产、优质的蔬菜产品，根据需求种植多种特色蔬菜，配套建设冷链物流、初级保鲜加工、接待服务设施，打造加工、配送一体化发展产业链，</w:t>
      </w:r>
      <w:r w:rsidR="003766E7">
        <w:rPr>
          <w:rFonts w:ascii="仿宋_GB2312" w:eastAsia="仿宋_GB2312" w:hAnsi="仿宋_GB2312" w:cs="仿宋_GB2312" w:hint="eastAsia"/>
          <w:sz w:val="32"/>
          <w:szCs w:val="32"/>
        </w:rPr>
        <w:t>拟</w:t>
      </w:r>
      <w:r w:rsidR="003766E7" w:rsidRPr="003766E7">
        <w:rPr>
          <w:rFonts w:ascii="仿宋_GB2312" w:eastAsia="仿宋_GB2312" w:hAnsi="仿宋_GB2312" w:cs="仿宋_GB2312" w:hint="eastAsia"/>
          <w:sz w:val="32"/>
          <w:szCs w:val="32"/>
        </w:rPr>
        <w:t>选址在钟山区南开乡、保华镇、大河镇、大湾镇等地，主要建设蔬菜设施生产基地，配套育苗棚、生产大棚、冷库等设施。</w:t>
      </w:r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财务指标分析</w:t>
      </w:r>
      <w:r>
        <w:rPr>
          <w:rFonts w:ascii="仿宋_GB2312" w:eastAsia="仿宋_GB2312" w:hAnsi="仿宋_GB2312" w:cs="仿宋_GB2312" w:hint="eastAsia"/>
          <w:sz w:val="32"/>
          <w:szCs w:val="32"/>
        </w:rPr>
        <w:t>：项目总投资</w:t>
      </w:r>
      <w:r w:rsidR="003766E7">
        <w:rPr>
          <w:rFonts w:ascii="仿宋_GB2312" w:eastAsia="仿宋_GB2312" w:hAnsi="仿宋_GB2312" w:cs="仿宋_GB2312"/>
          <w:sz w:val="32"/>
          <w:szCs w:val="32"/>
        </w:rPr>
        <w:t>5000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万元，建成后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产值</w:t>
      </w:r>
      <w:r w:rsidR="003766E7">
        <w:rPr>
          <w:rFonts w:ascii="仿宋_GB2312" w:eastAsia="仿宋_GB2312" w:hAnsi="仿宋_GB2312" w:cs="仿宋_GB2312"/>
          <w:sz w:val="32"/>
          <w:szCs w:val="32"/>
        </w:rPr>
        <w:t>15000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万元，利润</w:t>
      </w:r>
      <w:r w:rsidR="003766E7">
        <w:rPr>
          <w:rFonts w:ascii="仿宋_GB2312" w:eastAsia="仿宋_GB2312" w:hAnsi="仿宋_GB2312" w:cs="仿宋_GB2312"/>
          <w:sz w:val="32"/>
          <w:szCs w:val="32"/>
        </w:rPr>
        <w:t>10000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万元，投资回收期为</w:t>
      </w:r>
      <w:r w:rsidR="00447D3E"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:rsidR="00A06D4B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优惠政策及扶持条件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项目业主单位联系方式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</w:t>
      </w:r>
      <w:proofErr w:type="gramStart"/>
      <w:r w:rsidR="003766E7">
        <w:rPr>
          <w:rFonts w:ascii="仿宋_GB2312" w:eastAsia="仿宋_GB2312" w:hAnsi="仿宋_GB2312" w:cs="仿宋_GB2312" w:hint="eastAsia"/>
          <w:sz w:val="32"/>
          <w:szCs w:val="32"/>
        </w:rPr>
        <w:t>强奉群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手机：</w:t>
      </w:r>
      <w:r w:rsidR="003766E7">
        <w:rPr>
          <w:rFonts w:ascii="仿宋_GB2312" w:eastAsia="仿宋_GB2312" w:hAnsi="仿宋_GB2312" w:cs="仿宋_GB2312"/>
          <w:sz w:val="32"/>
          <w:szCs w:val="32"/>
        </w:rPr>
        <w:t>19984586537</w:t>
      </w:r>
    </w:p>
    <w:sectPr w:rsidR="00FE6213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213"/>
    <w:rsid w:val="00024228"/>
    <w:rsid w:val="003766E7"/>
    <w:rsid w:val="00447D3E"/>
    <w:rsid w:val="004E79C0"/>
    <w:rsid w:val="00A06D4B"/>
    <w:rsid w:val="00AF5866"/>
    <w:rsid w:val="00C646C3"/>
    <w:rsid w:val="00E41893"/>
    <w:rsid w:val="00FE6213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BF98732-A823-4835-BFE2-C3A7B4C65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53</Words>
  <Characters>306</Characters>
  <Application>Microsoft Office Word</Application>
  <DocSecurity>0</DocSecurity>
  <Lines>2</Lines>
  <Paragraphs>1</Paragraphs>
  <ScaleCrop>false</ScaleCrop>
  <Company>Sky123.Org</Company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dreamsummit</cp:lastModifiedBy>
  <cp:revision>8</cp:revision>
  <dcterms:created xsi:type="dcterms:W3CDTF">2021-04-07T09:51:00Z</dcterms:created>
  <dcterms:modified xsi:type="dcterms:W3CDTF">2021-04-08T09:22:00Z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