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textAlignment w:val="auto"/>
        <w:rPr>
          <w:rFonts w:ascii="黑体" w:cs="黑体" w:eastAsia="黑体" w:hAnsi="黑体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eastAsia="zh-CN"/>
        </w:rPr>
        <w:t>附件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2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textAlignment w:val="auto"/>
        <w:rPr>
          <w:rFonts w:hint="eastAsia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  <w:r>
        <w:rPr>
          <w:rFonts w:cs="方正小标宋简体" w:eastAsia="方正小标宋简体" w:hAnsi="方正小标宋简体" w:hint="default"/>
          <w:sz w:val="44"/>
          <w:szCs w:val="44"/>
          <w:lang w:val="en-US" w:eastAsia="zh-CN"/>
        </w:rPr>
        <w:t>袋泡茶及茶饮料开发加工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项目说明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项目名称：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晴隆县袋泡茶及茶饮料开发加工项目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项目推介类别：XXXXXX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项目建设性质：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新建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项目业主单位：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贵州省晴隆县茶业公司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合作方式：合作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项目现状：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有投产茶园10万亩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，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年产干茶8000吨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，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有较好的原料基础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项目建设内容：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原料收集房及设备建设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、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原料处理车间及设备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、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产品生产及包装车间建设及设备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、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产品库房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财务指标分析：项目总投资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2500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万元，建成后产值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2000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万元，利润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500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万元，投资回收期为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年。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优惠政策及扶持条件：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县人民政府"一事一议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”，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县级层面重点帮助扶持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项目业主单位联系方式：</w:t>
      </w:r>
      <w:bookmarkStart w:id="0" w:name="_GoBack"/>
      <w:bookmarkEnd w:id="0"/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电话：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08597931030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 传真:XXXXX    邮箱：XXXXX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主要负责人：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舒凯怡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 手机：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18085929966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联系人：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刘德玲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     手机：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13678590513</w:t>
      </w:r>
    </w:p>
    <w:sectPr>
      <w:pgSz w:w="11906" w:h="16838" w:orient="portrait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277</Words>
  <Pages>1</Pages>
  <Characters>333</Characters>
  <Application>WPS Office</Application>
  <DocSecurity>0</DocSecurity>
  <Paragraphs>17</Paragraphs>
  <ScaleCrop>false</ScaleCrop>
  <LinksUpToDate>false</LinksUpToDate>
  <CharactersWithSpaces>356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2021-04-07T09:51:02Z</dcterms:created>
  <dc:creator>1022</dc:creator>
  <lastModifiedBy>MRX-AN19</lastModifiedBy>
  <dcterms:modified xsi:type="dcterms:W3CDTF">2021-04-10T06:09:05Z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fd6cd06a965743d3accfbab8e3ca131d</vt:lpwstr>
  </property>
</Properties>
</file>