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1</w:t>
      </w:r>
      <w:r>
        <w:rPr>
          <w:rFonts w:hint="eastAsia" w:ascii="仿宋_GB2312" w:eastAsia="仿宋_GB2312"/>
          <w:sz w:val="32"/>
          <w:szCs w:val="32"/>
        </w:rPr>
        <w:t>:</w:t>
      </w:r>
    </w:p>
    <w:p>
      <w:pPr>
        <w:jc w:val="center"/>
        <w:rPr>
          <w:rFonts w:ascii="方正小标宋简体" w:eastAsia="方正小标宋简体"/>
          <w:sz w:val="40"/>
          <w:szCs w:val="44"/>
        </w:rPr>
      </w:pPr>
      <w:r>
        <w:rPr>
          <w:rFonts w:hint="eastAsia" w:ascii="方正小标宋简体" w:eastAsia="方正小标宋简体"/>
          <w:sz w:val="40"/>
          <w:szCs w:val="44"/>
        </w:rPr>
        <w:t>黔南州重点招商引资项目推介表</w:t>
      </w:r>
    </w:p>
    <w:tbl>
      <w:tblPr>
        <w:tblStyle w:val="6"/>
        <w:tblW w:w="8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67"/>
        <w:gridCol w:w="945"/>
        <w:gridCol w:w="1190"/>
        <w:gridCol w:w="2200"/>
        <w:gridCol w:w="1359"/>
        <w:gridCol w:w="2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2" w:hRule="atLeast"/>
          <w:jc w:val="center"/>
        </w:trPr>
        <w:tc>
          <w:tcPr>
            <w:tcW w:w="1512" w:type="dxa"/>
            <w:gridSpan w:val="2"/>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编制单位</w:t>
            </w:r>
          </w:p>
        </w:tc>
        <w:tc>
          <w:tcPr>
            <w:tcW w:w="7177" w:type="dxa"/>
            <w:gridSpan w:val="4"/>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福泉市农业农村局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567"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项</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目</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现</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状</w:t>
            </w:r>
          </w:p>
        </w:tc>
        <w:tc>
          <w:tcPr>
            <w:tcW w:w="945"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项目</w:t>
            </w:r>
          </w:p>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名称</w:t>
            </w:r>
          </w:p>
        </w:tc>
        <w:tc>
          <w:tcPr>
            <w:tcW w:w="3390" w:type="dxa"/>
            <w:gridSpan w:val="2"/>
            <w:vAlign w:val="center"/>
          </w:tcPr>
          <w:p>
            <w:pPr>
              <w:rPr>
                <w:rFonts w:hint="eastAsia" w:ascii="宋体" w:hAnsi="宋体" w:eastAsia="宋体" w:cs="宋体"/>
                <w:kern w:val="0"/>
                <w:sz w:val="24"/>
                <w:szCs w:val="24"/>
              </w:rPr>
            </w:pPr>
            <w:r>
              <w:rPr>
                <w:rFonts w:hint="eastAsia" w:ascii="宋体" w:hAnsi="宋体" w:eastAsia="宋体" w:cs="宋体"/>
                <w:b w:val="0"/>
                <w:bCs w:val="0"/>
                <w:color w:val="000000"/>
                <w:kern w:val="0"/>
                <w:sz w:val="24"/>
                <w:szCs w:val="24"/>
              </w:rPr>
              <w:t>福泉市10万亩辣椒全产业链发展项目</w:t>
            </w:r>
          </w:p>
        </w:tc>
        <w:tc>
          <w:tcPr>
            <w:tcW w:w="135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行业类别</w:t>
            </w:r>
          </w:p>
        </w:tc>
        <w:tc>
          <w:tcPr>
            <w:tcW w:w="2428" w:type="dxa"/>
            <w:vAlign w:val="center"/>
          </w:tcPr>
          <w:p>
            <w:pPr>
              <w:rPr>
                <w:rFonts w:hint="eastAsia" w:ascii="宋体" w:hAnsi="宋体" w:eastAsia="宋体" w:cs="宋体"/>
                <w:kern w:val="0"/>
                <w:sz w:val="24"/>
                <w:szCs w:val="24"/>
              </w:rPr>
            </w:pPr>
            <w:r>
              <w:rPr>
                <w:rFonts w:hint="eastAsia" w:ascii="宋体" w:hAnsi="宋体" w:eastAsia="宋体" w:cs="宋体"/>
                <w:b w:val="0"/>
                <w:bCs w:val="0"/>
                <w:color w:val="000000"/>
                <w:kern w:val="0"/>
                <w:sz w:val="24"/>
                <w:szCs w:val="24"/>
                <w:lang w:eastAsia="zh-CN"/>
              </w:rPr>
              <w:t>农林牧渔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建设</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性质</w:t>
            </w:r>
          </w:p>
        </w:tc>
        <w:tc>
          <w:tcPr>
            <w:tcW w:w="3390" w:type="dxa"/>
            <w:gridSpan w:val="2"/>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新建</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合作方式</w:t>
            </w:r>
          </w:p>
        </w:tc>
        <w:tc>
          <w:tcPr>
            <w:tcW w:w="2428" w:type="dxa"/>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96" w:hRule="atLeast"/>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建设</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条件</w:t>
            </w:r>
          </w:p>
        </w:tc>
        <w:tc>
          <w:tcPr>
            <w:tcW w:w="7177" w:type="dxa"/>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kern w:val="0"/>
                <w:sz w:val="24"/>
                <w:szCs w:val="24"/>
              </w:rPr>
            </w:pPr>
            <w:r>
              <w:rPr>
                <w:rFonts w:hint="eastAsia" w:ascii="宋体" w:hAnsi="宋体" w:eastAsia="宋体" w:cs="宋体"/>
                <w:iCs/>
                <w:color w:val="auto"/>
                <w:kern w:val="0"/>
                <w:sz w:val="24"/>
                <w:szCs w:val="24"/>
                <w:lang w:val="en-US" w:eastAsia="zh-CN"/>
              </w:rPr>
              <w:t>福泉市位于贵州省南部，距贵阳龙洞堡机场仅95公里，处于黔中经济圈、贵昆经济带、成渝经济带及“泛珠三角”经济合作区的交叉节点和贵阳一小时经济圈，是西南出海通道的必由之路，具有十分优越的地理和交通区位优势。市内交通运输条件较为便捷，贵新高速、道新高速、贵黄高速等公路从我市穿过，大部分乡镇（街道）驻地均布局有高速站点，全市90%以上的村组通组公路均已硬化，公路网络基本形成。市内平均海拔1098米，属亚热带季风湿润气候区，雨量充沛，雨热同季，年均降水量平均在1175.7毫米，年均气温为14.7℃。土壤PH值在5.5—6.5之间、重金属指标均符合无公害农产品生产要求,土壤主要以石灰土、黄壤、黄砂壤为主，适宜各类作物生长，对于发展辣椒产业种植有较好的自然条件优势，项目建设条件较为优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2" w:hRule="atLeast"/>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产业</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条件</w:t>
            </w:r>
          </w:p>
        </w:tc>
        <w:tc>
          <w:tcPr>
            <w:tcW w:w="7177" w:type="dxa"/>
            <w:gridSpan w:val="4"/>
            <w:vAlign w:val="center"/>
          </w:tcPr>
          <w:p>
            <w:pPr>
              <w:widowControl/>
              <w:rPr>
                <w:rFonts w:hint="eastAsia" w:ascii="宋体" w:hAnsi="宋体" w:eastAsia="宋体" w:cs="宋体"/>
                <w:kern w:val="0"/>
                <w:sz w:val="24"/>
                <w:szCs w:val="24"/>
              </w:rPr>
            </w:pPr>
            <w:r>
              <w:rPr>
                <w:rFonts w:hint="eastAsia" w:ascii="宋体" w:hAnsi="宋体" w:eastAsia="宋体" w:cs="宋体"/>
                <w:iCs/>
                <w:color w:val="auto"/>
                <w:kern w:val="0"/>
                <w:sz w:val="24"/>
                <w:szCs w:val="24"/>
                <w:lang w:val="en-US" w:eastAsia="zh-CN"/>
              </w:rPr>
              <w:t>“十三五”以来，福泉市大力发展辣椒产业，“十四五”期间仍将辣椒产业作为农业产业发展重要内容之一，成立了由市领导任班长的辣椒产业发展专班，高位推动辣椒产业健康、稳定发展，我市被成功纳入2020年贵州辣椒优势特色产业集群大县方阵，2021年蔬菜种植面积均突破10万亩，成为地方富民增收产业，大部分群众通过在产业发展中掌握了辣椒种植管理技术。同时全市有农业技术人员128人，根据农业结构调整需要，技术力量逐渐向辣椒生产领域转移，积累了一定辣椒种植管理经验。农村人口17.68万人，劳动力资源充沛，辣椒产业发展条件较为优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84" w:hRule="atLeast"/>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市场</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前景</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预测</w:t>
            </w:r>
          </w:p>
        </w:tc>
        <w:tc>
          <w:tcPr>
            <w:tcW w:w="7177" w:type="dxa"/>
            <w:gridSpan w:val="4"/>
            <w:vAlign w:val="center"/>
          </w:tcPr>
          <w:p>
            <w:pPr>
              <w:keepNext w:val="0"/>
              <w:keepLines w:val="0"/>
              <w:widowControl/>
              <w:suppressLineNumbers w:val="0"/>
              <w:jc w:val="left"/>
              <w:rPr>
                <w:rFonts w:hint="eastAsia" w:ascii="宋体" w:hAnsi="宋体" w:eastAsia="宋体" w:cs="宋体"/>
                <w:iCs/>
                <w:color w:val="auto"/>
                <w:kern w:val="0"/>
                <w:sz w:val="24"/>
                <w:szCs w:val="24"/>
                <w:lang w:val="en-US" w:eastAsia="zh-CN"/>
              </w:rPr>
            </w:pPr>
            <w:r>
              <w:rPr>
                <w:rFonts w:hint="eastAsia" w:ascii="宋体" w:hAnsi="宋体" w:eastAsia="宋体" w:cs="宋体"/>
                <w:iCs/>
                <w:color w:val="auto"/>
                <w:kern w:val="0"/>
                <w:sz w:val="24"/>
                <w:szCs w:val="24"/>
                <w:lang w:val="en-US" w:eastAsia="zh-CN"/>
              </w:rPr>
              <w:t>随着高速公路和快速铁路建设，我省正在成为珠江、长江流域和港澳、东南亚的重要菜源，早在《贵州省农村产业革命辣椒产业发展推进方案(2019-2021年)》制定之初,贵州就明确了“全产业链向规模化、集群化、高端化、国际化发展”的方向,提出打造国际加工贸易基地,用三年时间实现从辣椒大省向辣椒强省跨越发展。省委、省政府对辣椒产业的大力支持与政策倾斜，为福泉市辣椒产业发展提供了难得的历史性机遇。</w:t>
            </w:r>
          </w:p>
          <w:p>
            <w:pPr>
              <w:widowControl/>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3" w:hRule="atLeast"/>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项目选址及规模</w:t>
            </w:r>
          </w:p>
        </w:tc>
        <w:tc>
          <w:tcPr>
            <w:tcW w:w="7177" w:type="dxa"/>
            <w:gridSpan w:val="4"/>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rPr>
              <w:t> 项目拟选址于</w:t>
            </w:r>
            <w:r>
              <w:rPr>
                <w:rFonts w:hint="eastAsia" w:ascii="宋体" w:hAnsi="宋体" w:eastAsia="宋体" w:cs="宋体"/>
                <w:kern w:val="0"/>
                <w:sz w:val="24"/>
                <w:szCs w:val="24"/>
                <w:lang w:eastAsia="zh-CN"/>
              </w:rPr>
              <w:t>福泉</w:t>
            </w:r>
            <w:r>
              <w:rPr>
                <w:rFonts w:hint="eastAsia" w:ascii="宋体" w:hAnsi="宋体" w:eastAsia="宋体" w:cs="宋体"/>
                <w:kern w:val="0"/>
                <w:sz w:val="24"/>
                <w:szCs w:val="24"/>
              </w:rPr>
              <w:t>县（市、区）</w:t>
            </w:r>
            <w:r>
              <w:rPr>
                <w:rFonts w:hint="eastAsia" w:ascii="宋体" w:hAnsi="宋体" w:eastAsia="宋体" w:cs="宋体"/>
                <w:kern w:val="0"/>
                <w:sz w:val="24"/>
                <w:szCs w:val="24"/>
                <w:lang w:val="en-US" w:eastAsia="zh-CN"/>
              </w:rPr>
              <w:t>8个乡镇（街道）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Merge w:val="continue"/>
            <w:vAlign w:val="center"/>
          </w:tcPr>
          <w:p>
            <w:pPr>
              <w:widowControl/>
              <w:jc w:val="center"/>
              <w:rPr>
                <w:rFonts w:hint="eastAsia" w:ascii="宋体" w:hAnsi="宋体" w:eastAsia="宋体" w:cs="宋体"/>
                <w:b/>
                <w:bCs/>
                <w:kern w:val="0"/>
                <w:sz w:val="24"/>
                <w:szCs w:val="24"/>
              </w:rPr>
            </w:pPr>
          </w:p>
        </w:tc>
        <w:tc>
          <w:tcPr>
            <w:tcW w:w="1190" w:type="dxa"/>
            <w:vAlign w:val="center"/>
          </w:tcPr>
          <w:p>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占地面积</w:t>
            </w:r>
          </w:p>
        </w:tc>
        <w:tc>
          <w:tcPr>
            <w:tcW w:w="2200" w:type="dxa"/>
            <w:vAlign w:val="center"/>
          </w:tcPr>
          <w:p>
            <w:pPr>
              <w:widowControl/>
              <w:ind w:firstLine="720" w:firstLineChars="3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100000</w:t>
            </w:r>
            <w:r>
              <w:rPr>
                <w:rFonts w:hint="eastAsia" w:ascii="宋体" w:hAnsi="宋体" w:eastAsia="宋体" w:cs="宋体"/>
                <w:kern w:val="0"/>
                <w:sz w:val="24"/>
                <w:szCs w:val="24"/>
              </w:rPr>
              <w:t>亩</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建筑面积</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2800</w:t>
            </w:r>
            <w:r>
              <w:rPr>
                <w:rFonts w:hint="eastAsia" w:ascii="宋体" w:hAnsi="宋体" w:eastAsia="宋体" w:cs="宋体"/>
                <w:kern w:val="0"/>
                <w:sz w:val="24"/>
                <w:szCs w:val="24"/>
              </w:rPr>
              <w:t xml:space="preserve">平方米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建设</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内容</w:t>
            </w:r>
          </w:p>
        </w:tc>
        <w:tc>
          <w:tcPr>
            <w:tcW w:w="8122" w:type="dxa"/>
            <w:gridSpan w:val="5"/>
            <w:vAlign w:val="center"/>
          </w:tcPr>
          <w:p>
            <w:pPr>
              <w:widowControl/>
              <w:rPr>
                <w:rFonts w:hint="eastAsia" w:ascii="宋体" w:hAnsi="宋体" w:eastAsia="宋体" w:cs="宋体"/>
                <w:kern w:val="0"/>
                <w:sz w:val="24"/>
                <w:szCs w:val="24"/>
              </w:rPr>
            </w:pPr>
            <w:r>
              <w:rPr>
                <w:rFonts w:hint="eastAsia" w:ascii="宋体" w:hAnsi="宋体" w:eastAsia="宋体" w:cs="宋体"/>
                <w:iCs/>
                <w:color w:val="auto"/>
                <w:kern w:val="0"/>
                <w:sz w:val="24"/>
                <w:szCs w:val="24"/>
                <w:lang w:val="en-US" w:eastAsia="zh-CN"/>
              </w:rPr>
              <w:t>建设辣椒种植基地10万亩，建设辣椒烘干厂房2800平方米，配套10台大型烘干设备、2000台小型烘干设备、10000个辣椒栽苗器，3个集中育苗大棚建设，开展泡椒、剁椒、面椒、油辣椒等深加工，配套开展地膜、肥料定制化加工，建立辣椒交易市场，配备地磅、仓库、运输、管理用房、停车场、道路、分拣包装车间、冷库、电力、供水、排污等设施。开展种植技术培训、种苗研发、富硒椒品牌打造、包装设计、宣传推广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6" w:hRule="atLeast"/>
          <w:jc w:val="center"/>
        </w:trPr>
        <w:tc>
          <w:tcPr>
            <w:tcW w:w="567"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财务</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分析</w:t>
            </w:r>
          </w:p>
        </w:tc>
        <w:tc>
          <w:tcPr>
            <w:tcW w:w="945" w:type="dxa"/>
            <w:vMerge w:val="restart"/>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总投</w:t>
            </w:r>
          </w:p>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资额</w:t>
            </w:r>
          </w:p>
        </w:tc>
        <w:tc>
          <w:tcPr>
            <w:tcW w:w="3390" w:type="dxa"/>
            <w:gridSpan w:val="2"/>
            <w:vMerge w:val="restart"/>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 xml:space="preserve">   </w:t>
            </w:r>
            <w:bookmarkStart w:id="0" w:name="_GoBack"/>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17600</w:t>
            </w:r>
            <w:bookmarkEnd w:id="0"/>
            <w:r>
              <w:rPr>
                <w:rFonts w:hint="eastAsia" w:ascii="宋体" w:hAnsi="宋体" w:eastAsia="宋体" w:cs="宋体"/>
                <w:kern w:val="0"/>
                <w:sz w:val="24"/>
                <w:szCs w:val="24"/>
              </w:rPr>
              <w:t xml:space="preserve">万元人民币 </w:t>
            </w:r>
          </w:p>
        </w:tc>
        <w:tc>
          <w:tcPr>
            <w:tcW w:w="1359" w:type="dxa"/>
            <w:vMerge w:val="restart"/>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引资金额</w:t>
            </w:r>
          </w:p>
        </w:tc>
        <w:tc>
          <w:tcPr>
            <w:tcW w:w="2428" w:type="dxa"/>
            <w:vMerge w:val="restart"/>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17600</w:t>
            </w:r>
            <w:r>
              <w:rPr>
                <w:rFonts w:hint="eastAsia" w:ascii="宋体" w:hAnsi="宋体" w:eastAsia="宋体" w:cs="宋体"/>
                <w:kern w:val="0"/>
                <w:sz w:val="24"/>
                <w:szCs w:val="24"/>
              </w:rPr>
              <w:t xml:space="preserve">万元人民币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jc w:val="center"/>
        </w:trPr>
        <w:tc>
          <w:tcPr>
            <w:tcW w:w="567" w:type="dxa"/>
            <w:vMerge w:val="continue"/>
            <w:vAlign w:val="center"/>
          </w:tcPr>
          <w:p>
            <w:pPr>
              <w:widowControl/>
              <w:jc w:val="center"/>
              <w:rPr>
                <w:rFonts w:hint="eastAsia" w:ascii="宋体" w:hAnsi="宋体" w:eastAsia="宋体" w:cs="宋体"/>
                <w:b/>
                <w:bCs/>
                <w:kern w:val="0"/>
                <w:sz w:val="24"/>
                <w:szCs w:val="24"/>
              </w:rPr>
            </w:pPr>
          </w:p>
        </w:tc>
        <w:tc>
          <w:tcPr>
            <w:tcW w:w="945" w:type="dxa"/>
            <w:vMerge w:val="continue"/>
            <w:vAlign w:val="center"/>
          </w:tcPr>
          <w:p>
            <w:pPr>
              <w:widowControl/>
              <w:jc w:val="center"/>
              <w:rPr>
                <w:rFonts w:hint="eastAsia" w:ascii="宋体" w:hAnsi="宋体" w:eastAsia="宋体" w:cs="宋体"/>
                <w:b/>
                <w:bCs/>
                <w:kern w:val="0"/>
                <w:sz w:val="24"/>
                <w:szCs w:val="24"/>
              </w:rPr>
            </w:pPr>
          </w:p>
        </w:tc>
        <w:tc>
          <w:tcPr>
            <w:tcW w:w="3390" w:type="dxa"/>
            <w:gridSpan w:val="2"/>
            <w:vMerge w:val="continue"/>
            <w:vAlign w:val="center"/>
          </w:tcPr>
          <w:p>
            <w:pPr>
              <w:widowControl/>
              <w:rPr>
                <w:rFonts w:hint="eastAsia" w:ascii="宋体" w:hAnsi="宋体" w:eastAsia="宋体" w:cs="宋体"/>
                <w:kern w:val="0"/>
                <w:sz w:val="24"/>
                <w:szCs w:val="24"/>
              </w:rPr>
            </w:pPr>
          </w:p>
        </w:tc>
        <w:tc>
          <w:tcPr>
            <w:tcW w:w="1359" w:type="dxa"/>
            <w:vMerge w:val="continue"/>
            <w:vAlign w:val="center"/>
          </w:tcPr>
          <w:p>
            <w:pPr>
              <w:widowControl/>
              <w:jc w:val="center"/>
              <w:rPr>
                <w:rFonts w:hint="eastAsia" w:ascii="宋体" w:hAnsi="宋体" w:eastAsia="宋体" w:cs="宋体"/>
                <w:b/>
                <w:bCs/>
                <w:kern w:val="0"/>
                <w:sz w:val="24"/>
                <w:szCs w:val="24"/>
              </w:rPr>
            </w:pPr>
          </w:p>
        </w:tc>
        <w:tc>
          <w:tcPr>
            <w:tcW w:w="2428" w:type="dxa"/>
            <w:vMerge w:val="continue"/>
            <w:vAlign w:val="center"/>
          </w:tcPr>
          <w:p>
            <w:pPr>
              <w:widowControl/>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jc w:val="center"/>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自有</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资金</w:t>
            </w:r>
          </w:p>
        </w:tc>
        <w:tc>
          <w:tcPr>
            <w:tcW w:w="3390" w:type="dxa"/>
            <w:gridSpan w:val="2"/>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xml:space="preserve">万元人民币 </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投资回收期</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xml:space="preserve">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扶持</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政策</w:t>
            </w:r>
          </w:p>
        </w:tc>
        <w:tc>
          <w:tcPr>
            <w:tcW w:w="8122" w:type="dxa"/>
            <w:gridSpan w:val="5"/>
            <w:vAlign w:val="center"/>
          </w:tcPr>
          <w:p>
            <w:pPr>
              <w:keepNext w:val="0"/>
              <w:keepLines w:val="0"/>
              <w:widowControl/>
              <w:suppressLineNumbers w:val="0"/>
              <w:jc w:val="left"/>
              <w:rPr>
                <w:rFonts w:hint="eastAsia" w:ascii="宋体" w:hAnsi="宋体" w:eastAsia="宋体" w:cs="宋体"/>
                <w:iCs/>
                <w:color w:val="000000"/>
                <w:kern w:val="0"/>
                <w:sz w:val="24"/>
                <w:szCs w:val="24"/>
                <w:lang w:eastAsia="zh-CN"/>
              </w:rPr>
            </w:pPr>
            <w:r>
              <w:rPr>
                <w:rFonts w:hint="eastAsia" w:ascii="宋体" w:hAnsi="宋体" w:eastAsia="宋体" w:cs="宋体"/>
                <w:kern w:val="0"/>
                <w:sz w:val="24"/>
                <w:szCs w:val="24"/>
              </w:rPr>
              <w:t xml:space="preserve">  </w:t>
            </w:r>
            <w:r>
              <w:rPr>
                <w:rFonts w:hint="eastAsia" w:ascii="宋体" w:hAnsi="宋体" w:eastAsia="宋体" w:cs="宋体"/>
                <w:iCs/>
                <w:color w:val="000000"/>
                <w:kern w:val="0"/>
                <w:sz w:val="24"/>
                <w:szCs w:val="24"/>
                <w:lang w:val="en-US" w:eastAsia="zh-CN"/>
              </w:rPr>
              <w:t>按《中</w:t>
            </w:r>
            <w:r>
              <w:rPr>
                <w:rFonts w:hint="eastAsia" w:ascii="宋体" w:hAnsi="宋体" w:eastAsia="宋体" w:cs="宋体"/>
                <w:iCs/>
                <w:color w:val="000000"/>
                <w:kern w:val="0"/>
                <w:sz w:val="24"/>
                <w:szCs w:val="24"/>
                <w:lang w:eastAsia="zh-CN"/>
              </w:rPr>
              <w:t>共福泉市委</w:t>
            </w:r>
            <w:r>
              <w:rPr>
                <w:rFonts w:hint="eastAsia" w:ascii="宋体" w:hAnsi="宋体" w:eastAsia="宋体" w:cs="宋体"/>
                <w:iCs/>
                <w:color w:val="000000"/>
                <w:kern w:val="0"/>
                <w:sz w:val="24"/>
                <w:szCs w:val="24"/>
                <w:lang w:val="en-US" w:eastAsia="zh-CN"/>
              </w:rPr>
              <w:t xml:space="preserve"> 福泉市人民政府关于印发&lt;福泉市农业产业结构调整奖补扶持方案&gt;的通知</w:t>
            </w:r>
            <w:r>
              <w:rPr>
                <w:rFonts w:hint="eastAsia" w:ascii="宋体" w:hAnsi="宋体" w:eastAsia="宋体" w:cs="宋体"/>
                <w:iCs/>
                <w:color w:val="000000"/>
                <w:kern w:val="0"/>
                <w:sz w:val="24"/>
                <w:szCs w:val="24"/>
                <w:lang w:eastAsia="zh-CN"/>
              </w:rPr>
              <w:t>》（</w:t>
            </w:r>
            <w:r>
              <w:rPr>
                <w:rFonts w:hint="eastAsia" w:ascii="宋体" w:hAnsi="宋体" w:eastAsia="宋体" w:cs="宋体"/>
                <w:iCs/>
                <w:color w:val="000000"/>
                <w:kern w:val="0"/>
                <w:sz w:val="24"/>
                <w:szCs w:val="24"/>
                <w:lang w:val="en-US" w:eastAsia="zh-CN"/>
              </w:rPr>
              <w:t>福委〔2019〕42 号</w:t>
            </w:r>
            <w:r>
              <w:rPr>
                <w:rFonts w:hint="eastAsia" w:ascii="宋体" w:hAnsi="宋体" w:eastAsia="宋体" w:cs="宋体"/>
                <w:iCs/>
                <w:color w:val="000000"/>
                <w:kern w:val="0"/>
                <w:sz w:val="24"/>
                <w:szCs w:val="24"/>
                <w:lang w:eastAsia="zh-CN"/>
              </w:rPr>
              <w:t>）、《福泉市人民政府办公室关于印发福泉市农业产业结构调整奖补申报实施细则的通知》（福府办发〔2020〕34号），对</w:t>
            </w:r>
            <w:r>
              <w:rPr>
                <w:rFonts w:hint="eastAsia" w:ascii="宋体" w:hAnsi="宋体" w:eastAsia="宋体" w:cs="宋体"/>
                <w:iCs/>
                <w:color w:val="000000"/>
                <w:kern w:val="0"/>
                <w:sz w:val="24"/>
                <w:szCs w:val="24"/>
                <w:lang w:val="en-US" w:eastAsia="zh-CN"/>
              </w:rPr>
              <w:t>农业基础设施建设、种植业土地流转、种植业产值效益、农产品销售、农产品质量安全追溯系统建设、农产品品牌认证、龙头企业及示范性合作社创建、农业产业保险、农业产业发展贷款及贴息等方面符合奖补条件的予以政策扶持。</w:t>
            </w:r>
          </w:p>
          <w:p>
            <w:pPr>
              <w:widowControl/>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8" w:hRule="atLeast"/>
          <w:jc w:val="center"/>
        </w:trPr>
        <w:tc>
          <w:tcPr>
            <w:tcW w:w="567"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业主</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单位</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方式</w:t>
            </w:r>
          </w:p>
        </w:tc>
        <w:tc>
          <w:tcPr>
            <w:tcW w:w="945"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名称</w:t>
            </w:r>
          </w:p>
        </w:tc>
        <w:tc>
          <w:tcPr>
            <w:tcW w:w="3390" w:type="dxa"/>
            <w:gridSpan w:val="2"/>
            <w:vAlign w:val="center"/>
          </w:tcPr>
          <w:p>
            <w:pPr>
              <w:rPr>
                <w:rFonts w:hint="eastAsia" w:ascii="宋体" w:hAnsi="宋体" w:eastAsia="宋体" w:cs="宋体"/>
                <w:kern w:val="0"/>
                <w:sz w:val="24"/>
                <w:szCs w:val="24"/>
              </w:rPr>
            </w:pPr>
            <w:r>
              <w:rPr>
                <w:rFonts w:hint="eastAsia" w:ascii="宋体" w:hAnsi="宋体" w:eastAsia="宋体" w:cs="宋体"/>
                <w:color w:val="000000"/>
                <w:kern w:val="0"/>
                <w:sz w:val="24"/>
                <w:szCs w:val="24"/>
                <w:lang w:eastAsia="zh-CN"/>
              </w:rPr>
              <w:t>福泉市农业农村局</w:t>
            </w:r>
            <w:r>
              <w:rPr>
                <w:rFonts w:hint="eastAsia" w:ascii="宋体" w:hAnsi="宋体" w:eastAsia="宋体" w:cs="宋体"/>
                <w:kern w:val="0"/>
                <w:sz w:val="24"/>
                <w:szCs w:val="24"/>
              </w:rPr>
              <w:t xml:space="preserve">  </w:t>
            </w:r>
          </w:p>
        </w:tc>
        <w:tc>
          <w:tcPr>
            <w:tcW w:w="135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地址</w:t>
            </w:r>
          </w:p>
        </w:tc>
        <w:tc>
          <w:tcPr>
            <w:tcW w:w="2428" w:type="dxa"/>
            <w:vAlign w:val="center"/>
          </w:tcPr>
          <w:p>
            <w:pPr>
              <w:rPr>
                <w:rFonts w:hint="eastAsia" w:ascii="宋体" w:hAnsi="宋体" w:eastAsia="宋体" w:cs="宋体"/>
                <w:kern w:val="0"/>
                <w:sz w:val="24"/>
                <w:szCs w:val="24"/>
              </w:rPr>
            </w:pPr>
            <w:r>
              <w:rPr>
                <w:rFonts w:hint="eastAsia" w:ascii="宋体" w:hAnsi="宋体" w:eastAsia="宋体" w:cs="宋体"/>
                <w:color w:val="000000"/>
                <w:kern w:val="0"/>
                <w:sz w:val="24"/>
                <w:szCs w:val="24"/>
                <w:lang w:eastAsia="zh-CN"/>
              </w:rPr>
              <w:t>贵州省福泉市金山街道老职工幼儿园</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jc w:val="center"/>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邮编</w:t>
            </w:r>
          </w:p>
        </w:tc>
        <w:tc>
          <w:tcPr>
            <w:tcW w:w="3390" w:type="dxa"/>
            <w:gridSpan w:val="2"/>
            <w:vAlign w:val="center"/>
          </w:tcPr>
          <w:p>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550500</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联系人</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lang w:eastAsia="zh-CN"/>
              </w:rPr>
              <w:t>张德金</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jc w:val="center"/>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座机</w:t>
            </w:r>
          </w:p>
        </w:tc>
        <w:tc>
          <w:tcPr>
            <w:tcW w:w="3390" w:type="dxa"/>
            <w:gridSpan w:val="2"/>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2222714</w:t>
            </w:r>
            <w:r>
              <w:rPr>
                <w:rFonts w:hint="eastAsia" w:ascii="宋体" w:hAnsi="宋体" w:eastAsia="宋体" w:cs="宋体"/>
                <w:kern w:val="0"/>
                <w:sz w:val="24"/>
                <w:szCs w:val="24"/>
              </w:rPr>
              <w:t xml:space="preserve">  </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手机</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color w:val="000000"/>
                <w:kern w:val="0"/>
                <w:sz w:val="24"/>
                <w:szCs w:val="24"/>
                <w:lang w:val="en-US" w:eastAsia="zh-CN"/>
              </w:rPr>
              <w:t>18375192436</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jc w:val="center"/>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传真</w:t>
            </w:r>
          </w:p>
        </w:tc>
        <w:tc>
          <w:tcPr>
            <w:tcW w:w="3390" w:type="dxa"/>
            <w:gridSpan w:val="2"/>
            <w:vAlign w:val="center"/>
          </w:tcPr>
          <w:p>
            <w:pPr>
              <w:widowControl/>
              <w:rPr>
                <w:rFonts w:hint="eastAsia" w:ascii="宋体" w:hAnsi="宋体" w:eastAsia="宋体" w:cs="宋体"/>
                <w:kern w:val="0"/>
                <w:sz w:val="24"/>
                <w:szCs w:val="24"/>
              </w:rPr>
            </w:pPr>
            <w:r>
              <w:rPr>
                <w:rFonts w:hint="eastAsia" w:ascii="宋体" w:hAnsi="宋体" w:eastAsia="宋体" w:cs="宋体"/>
                <w:kern w:val="0"/>
                <w:sz w:val="24"/>
                <w:szCs w:val="24"/>
              </w:rPr>
              <w:t xml:space="preserve">  </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邮箱</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color w:val="000000"/>
                <w:kern w:val="0"/>
                <w:sz w:val="24"/>
                <w:szCs w:val="24"/>
              </w:rPr>
              <w:t>2877821673</w:t>
            </w:r>
            <w:r>
              <w:rPr>
                <w:rFonts w:hint="eastAsia" w:ascii="宋体" w:hAnsi="宋体" w:eastAsia="宋体" w:cs="宋体"/>
                <w:color w:val="000000"/>
                <w:kern w:val="0"/>
                <w:sz w:val="24"/>
                <w:szCs w:val="24"/>
                <w:lang w:val="en-US" w:eastAsia="zh-CN"/>
              </w:rPr>
              <w:t>@qq.com</w:t>
            </w:r>
            <w:r>
              <w:rPr>
                <w:rFonts w:hint="eastAsia"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 w:hRule="atLeast"/>
          <w:jc w:val="center"/>
        </w:trPr>
        <w:tc>
          <w:tcPr>
            <w:tcW w:w="567" w:type="dxa"/>
            <w:vMerge w:val="restart"/>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服务</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单位</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w:t>
            </w:r>
          </w:p>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方式</w:t>
            </w:r>
          </w:p>
        </w:tc>
        <w:tc>
          <w:tcPr>
            <w:tcW w:w="945"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名称</w:t>
            </w:r>
          </w:p>
        </w:tc>
        <w:tc>
          <w:tcPr>
            <w:tcW w:w="3390" w:type="dxa"/>
            <w:gridSpan w:val="2"/>
            <w:vAlign w:val="center"/>
          </w:tcPr>
          <w:p>
            <w:pPr>
              <w:rPr>
                <w:rFonts w:hint="eastAsia" w:ascii="宋体" w:hAnsi="宋体" w:eastAsia="宋体" w:cs="宋体"/>
                <w:kern w:val="0"/>
                <w:sz w:val="24"/>
                <w:szCs w:val="24"/>
              </w:rPr>
            </w:pPr>
            <w:r>
              <w:rPr>
                <w:rFonts w:hint="eastAsia" w:ascii="宋体" w:hAnsi="宋体" w:eastAsia="宋体" w:cs="宋体"/>
                <w:color w:val="000000"/>
                <w:kern w:val="0"/>
                <w:sz w:val="24"/>
                <w:szCs w:val="24"/>
                <w:lang w:eastAsia="zh-CN"/>
              </w:rPr>
              <w:t>福泉市农业农村局</w:t>
            </w:r>
          </w:p>
        </w:tc>
        <w:tc>
          <w:tcPr>
            <w:tcW w:w="1359" w:type="dxa"/>
            <w:vAlign w:val="center"/>
          </w:tcPr>
          <w:p>
            <w:pPr>
              <w:jc w:val="center"/>
              <w:rPr>
                <w:rFonts w:hint="eastAsia" w:ascii="宋体" w:hAnsi="宋体" w:eastAsia="宋体" w:cs="宋体"/>
                <w:kern w:val="0"/>
                <w:sz w:val="24"/>
                <w:szCs w:val="24"/>
              </w:rPr>
            </w:pPr>
            <w:r>
              <w:rPr>
                <w:rFonts w:hint="eastAsia" w:ascii="宋体" w:hAnsi="宋体" w:eastAsia="宋体" w:cs="宋体"/>
                <w:b/>
                <w:bCs/>
                <w:kern w:val="0"/>
                <w:sz w:val="24"/>
                <w:szCs w:val="24"/>
              </w:rPr>
              <w:t>地址</w:t>
            </w:r>
          </w:p>
        </w:tc>
        <w:tc>
          <w:tcPr>
            <w:tcW w:w="2428" w:type="dxa"/>
            <w:vAlign w:val="center"/>
          </w:tcPr>
          <w:p>
            <w:pPr>
              <w:rPr>
                <w:rFonts w:hint="eastAsia" w:ascii="宋体" w:hAnsi="宋体" w:eastAsia="宋体" w:cs="宋体"/>
                <w:kern w:val="0"/>
                <w:sz w:val="24"/>
                <w:szCs w:val="24"/>
              </w:rPr>
            </w:pPr>
            <w:r>
              <w:rPr>
                <w:rFonts w:hint="eastAsia" w:ascii="宋体" w:hAnsi="宋体" w:eastAsia="宋体" w:cs="宋体"/>
                <w:color w:val="000000"/>
                <w:kern w:val="0"/>
                <w:sz w:val="24"/>
                <w:szCs w:val="24"/>
                <w:lang w:eastAsia="zh-CN"/>
              </w:rPr>
              <w:t>贵州省福泉市金山街道老职工幼儿园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邮编</w:t>
            </w:r>
          </w:p>
        </w:tc>
        <w:tc>
          <w:tcPr>
            <w:tcW w:w="3390" w:type="dxa"/>
            <w:gridSpan w:val="2"/>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550500</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联系人</w:t>
            </w:r>
          </w:p>
        </w:tc>
        <w:tc>
          <w:tcPr>
            <w:tcW w:w="2428" w:type="dxa"/>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张德金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座机</w:t>
            </w:r>
          </w:p>
        </w:tc>
        <w:tc>
          <w:tcPr>
            <w:tcW w:w="3390" w:type="dxa"/>
            <w:gridSpan w:val="2"/>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2222714</w:t>
            </w: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手机</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等线" w:cs="宋体"/>
                <w:color w:val="000000"/>
                <w:kern w:val="0"/>
                <w:sz w:val="21"/>
                <w:szCs w:val="21"/>
                <w:lang w:val="en-US" w:eastAsia="zh-CN"/>
              </w:rPr>
              <w:t>18375192436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567" w:type="dxa"/>
            <w:vMerge w:val="continue"/>
            <w:vAlign w:val="center"/>
          </w:tcPr>
          <w:p>
            <w:pPr>
              <w:widowControl/>
              <w:rPr>
                <w:rFonts w:hint="eastAsia" w:ascii="宋体" w:hAnsi="宋体" w:eastAsia="宋体" w:cs="宋体"/>
                <w:b/>
                <w:bCs/>
                <w:kern w:val="0"/>
                <w:sz w:val="24"/>
                <w:szCs w:val="24"/>
              </w:rPr>
            </w:pPr>
          </w:p>
        </w:tc>
        <w:tc>
          <w:tcPr>
            <w:tcW w:w="94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传真</w:t>
            </w:r>
          </w:p>
        </w:tc>
        <w:tc>
          <w:tcPr>
            <w:tcW w:w="3390" w:type="dxa"/>
            <w:gridSpan w:val="2"/>
            <w:vAlign w:val="center"/>
          </w:tcPr>
          <w:p>
            <w:pPr>
              <w:widowControl/>
              <w:rPr>
                <w:rFonts w:hint="eastAsia" w:ascii="宋体" w:hAnsi="宋体" w:eastAsia="宋体" w:cs="宋体"/>
                <w:kern w:val="0"/>
                <w:sz w:val="24"/>
                <w:szCs w:val="24"/>
              </w:rPr>
            </w:pPr>
          </w:p>
        </w:tc>
        <w:tc>
          <w:tcPr>
            <w:tcW w:w="1359"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邮箱</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等线" w:cs="宋体"/>
                <w:color w:val="000000"/>
                <w:kern w:val="0"/>
                <w:sz w:val="21"/>
                <w:szCs w:val="21"/>
              </w:rPr>
              <w:t>2877821673</w:t>
            </w:r>
            <w:r>
              <w:rPr>
                <w:rFonts w:hint="eastAsia" w:ascii="宋体" w:hAnsi="宋体" w:eastAsia="等线" w:cs="宋体"/>
                <w:color w:val="000000"/>
                <w:kern w:val="0"/>
                <w:sz w:val="21"/>
                <w:szCs w:val="21"/>
                <w:lang w:val="en-US" w:eastAsia="zh-CN"/>
              </w:rPr>
              <w:t>@qq.com</w:t>
            </w:r>
          </w:p>
        </w:tc>
      </w:tr>
    </w:tbl>
    <w:p>
      <w:pPr>
        <w:widowControl/>
        <w:jc w:val="center"/>
        <w:rPr>
          <w:rFonts w:ascii="方正小标宋简体" w:eastAsia="方正小标宋简体"/>
          <w:szCs w:val="21"/>
        </w:rPr>
      </w:pPr>
    </w:p>
    <w:sectPr>
      <w:pgSz w:w="11906" w:h="16838"/>
      <w:pgMar w:top="2007"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178"/>
    <w:rsid w:val="00052BAD"/>
    <w:rsid w:val="00553D51"/>
    <w:rsid w:val="006F1AFA"/>
    <w:rsid w:val="00732D82"/>
    <w:rsid w:val="007E046F"/>
    <w:rsid w:val="007F33B3"/>
    <w:rsid w:val="00A857D2"/>
    <w:rsid w:val="00AC2A03"/>
    <w:rsid w:val="00BC3178"/>
    <w:rsid w:val="00BE6B28"/>
    <w:rsid w:val="00F83C74"/>
    <w:rsid w:val="01025F7F"/>
    <w:rsid w:val="055424A3"/>
    <w:rsid w:val="1C7B680B"/>
    <w:rsid w:val="1FC90B86"/>
    <w:rsid w:val="2F8A7C84"/>
    <w:rsid w:val="3FC076D3"/>
    <w:rsid w:val="460F7EA0"/>
    <w:rsid w:val="4F6C7289"/>
    <w:rsid w:val="52237FC2"/>
    <w:rsid w:val="5B401EFD"/>
    <w:rsid w:val="66B07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640" w:lineRule="exact"/>
      <w:outlineLvl w:val="1"/>
    </w:pPr>
    <w:rPr>
      <w:rFonts w:ascii="仿宋_GB2312" w:hAnsi="Times New Roman" w:eastAsia="仿宋_GB2312"/>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163</Words>
  <Characters>935</Characters>
  <Lines>7</Lines>
  <Paragraphs>2</Paragraphs>
  <TotalTime>4</TotalTime>
  <ScaleCrop>false</ScaleCrop>
  <LinksUpToDate>false</LinksUpToDate>
  <CharactersWithSpaces>1096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2019-02-03T00:57:00Z</dcterms:created>
  <dc:creator>gyb1</dc:creator>
  <cp:lastModifiedBy>Administrator</cp:lastModifiedBy>
  <cp:lastPrinted>2019-02-03T01:21:00Z</cp:lastPrinted>
  <dcterms:modified xsi:type="dcterms:W3CDTF">2021-04-08T07:39:42Z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934E4DE7C3BB407AAA876BD4EB1BAFD1</vt:lpwstr>
  </property>
</Properties>
</file>