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1</w:t>
      </w:r>
      <w:r>
        <w:rPr>
          <w:rFonts w:hint="eastAsia" w:ascii="仿宋_GB2312" w:eastAsia="仿宋_GB2312"/>
          <w:sz w:val="32"/>
          <w:szCs w:val="32"/>
        </w:rPr>
        <w:t>:</w:t>
      </w:r>
    </w:p>
    <w:p>
      <w:pPr>
        <w:jc w:val="center"/>
        <w:rPr>
          <w:rFonts w:ascii="方正小标宋简体" w:eastAsia="方正小标宋简体"/>
          <w:sz w:val="40"/>
          <w:szCs w:val="44"/>
        </w:rPr>
      </w:pPr>
      <w:r>
        <w:rPr>
          <w:rFonts w:hint="eastAsia" w:ascii="方正小标宋简体" w:eastAsia="方正小标宋简体"/>
          <w:sz w:val="40"/>
          <w:szCs w:val="44"/>
        </w:rPr>
        <w:t>黔南州重点招商引资项目推介表</w:t>
      </w:r>
    </w:p>
    <w:tbl>
      <w:tblPr>
        <w:tblStyle w:val="6"/>
        <w:tblW w:w="8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73"/>
        <w:gridCol w:w="839"/>
        <w:gridCol w:w="1190"/>
        <w:gridCol w:w="2200"/>
        <w:gridCol w:w="1359"/>
        <w:gridCol w:w="2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2" w:hRule="atLeast"/>
          <w:jc w:val="center"/>
        </w:trPr>
        <w:tc>
          <w:tcPr>
            <w:tcW w:w="1512" w:type="dxa"/>
            <w:gridSpan w:val="2"/>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编制单位</w:t>
            </w:r>
          </w:p>
        </w:tc>
        <w:tc>
          <w:tcPr>
            <w:tcW w:w="7177" w:type="dxa"/>
            <w:gridSpan w:val="4"/>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福泉市农业农村局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673"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项</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目</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现</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状</w:t>
            </w:r>
          </w:p>
        </w:tc>
        <w:tc>
          <w:tcPr>
            <w:tcW w:w="839"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项目</w:t>
            </w:r>
          </w:p>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名称</w:t>
            </w:r>
          </w:p>
        </w:tc>
        <w:tc>
          <w:tcPr>
            <w:tcW w:w="3390" w:type="dxa"/>
            <w:gridSpan w:val="2"/>
            <w:vAlign w:val="center"/>
          </w:tcPr>
          <w:p>
            <w:pPr>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福泉市5万亩中药材种植基地及</w:t>
            </w:r>
          </w:p>
          <w:p>
            <w:pPr>
              <w:jc w:val="both"/>
              <w:rPr>
                <w:rFonts w:hint="eastAsia" w:ascii="宋体" w:hAnsi="宋体" w:eastAsia="宋体" w:cs="宋体"/>
                <w:kern w:val="0"/>
                <w:sz w:val="24"/>
                <w:szCs w:val="24"/>
              </w:rPr>
            </w:pPr>
            <w:r>
              <w:rPr>
                <w:rFonts w:hint="eastAsia" w:ascii="宋体" w:hAnsi="宋体" w:eastAsia="宋体" w:cs="宋体"/>
                <w:b w:val="0"/>
                <w:bCs w:val="0"/>
                <w:color w:val="000000"/>
                <w:kern w:val="0"/>
                <w:sz w:val="24"/>
                <w:szCs w:val="24"/>
              </w:rPr>
              <w:t>加工建设项目</w:t>
            </w:r>
          </w:p>
        </w:tc>
        <w:tc>
          <w:tcPr>
            <w:tcW w:w="135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行业类别</w:t>
            </w:r>
          </w:p>
        </w:tc>
        <w:tc>
          <w:tcPr>
            <w:tcW w:w="2428" w:type="dxa"/>
            <w:vAlign w:val="center"/>
          </w:tcPr>
          <w:p>
            <w:pPr>
              <w:jc w:val="center"/>
              <w:rPr>
                <w:rFonts w:hint="eastAsia" w:ascii="宋体" w:hAnsi="宋体" w:eastAsia="宋体" w:cs="宋体"/>
                <w:kern w:val="0"/>
                <w:sz w:val="24"/>
                <w:szCs w:val="24"/>
              </w:rPr>
            </w:pPr>
            <w:r>
              <w:rPr>
                <w:rFonts w:hint="eastAsia" w:ascii="宋体" w:hAnsi="宋体" w:eastAsia="宋体" w:cs="宋体"/>
                <w:b w:val="0"/>
                <w:bCs w:val="0"/>
                <w:color w:val="000000"/>
                <w:kern w:val="0"/>
                <w:sz w:val="24"/>
                <w:szCs w:val="24"/>
                <w:lang w:eastAsia="zh-CN"/>
              </w:rPr>
              <w:t>农林牧渔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建设</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性质</w:t>
            </w:r>
          </w:p>
        </w:tc>
        <w:tc>
          <w:tcPr>
            <w:tcW w:w="3390" w:type="dxa"/>
            <w:gridSpan w:val="2"/>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新建</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合作方式</w:t>
            </w:r>
          </w:p>
        </w:tc>
        <w:tc>
          <w:tcPr>
            <w:tcW w:w="2428" w:type="dxa"/>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96" w:hRule="atLeast"/>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建设</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条件</w:t>
            </w:r>
          </w:p>
        </w:tc>
        <w:tc>
          <w:tcPr>
            <w:tcW w:w="7177" w:type="dxa"/>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4"/>
                <w:szCs w:val="24"/>
              </w:rPr>
            </w:pPr>
            <w:r>
              <w:rPr>
                <w:rFonts w:hint="eastAsia" w:ascii="宋体" w:hAnsi="宋体" w:eastAsia="宋体" w:cs="宋体"/>
                <w:iCs/>
                <w:color w:val="000000"/>
                <w:kern w:val="0"/>
                <w:sz w:val="24"/>
                <w:szCs w:val="24"/>
                <w:lang w:val="en-US" w:eastAsia="zh-CN"/>
              </w:rPr>
              <w:t>福泉市位于贵州省南部，距贵阳龙洞堡机场仅95公里，处于黔中经济圈、贵昆经济带、成渝经济带及“泛珠三角”经济合作区的交叉节点和贵阳一小时经济圈，是西南出海通道的必由之路，具有十分优越的地理和交通区位优势。市内交通运输条件较为便捷，贵新高速、道新高速、贵黄高速等公路从我市穿过，大部分乡镇（街道）驻地均布局有高速站点，全市90%以上的村组通组公路均已硬化，公路网络基本形成。市内平均海拔1098米，属亚热带季风湿润气候区，雨量充沛，雨热同季，年均降水量平均在1175.7毫米，年均气温为14.7℃。土壤PH值在5.5—6.5之间、重金属指标均符合无公害农产品生产要求,土壤主要以石灰土、黄壤、黄砂壤为主，适宜各类作物生长，对于发展中药材等特色产业种植有较好的自然条件优势。同时，已立项批复建设的福泉市龙昌农产品加工园区紧邻道新高速福泉北站，项目建设条件较为优越。</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2" w:hRule="atLeast"/>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产业</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条件</w:t>
            </w:r>
          </w:p>
        </w:tc>
        <w:tc>
          <w:tcPr>
            <w:tcW w:w="7177" w:type="dxa"/>
            <w:gridSpan w:val="4"/>
            <w:vAlign w:val="center"/>
          </w:tcPr>
          <w:p>
            <w:pPr>
              <w:widowControl/>
              <w:jc w:val="left"/>
              <w:rPr>
                <w:rFonts w:hint="eastAsia" w:ascii="宋体" w:hAnsi="宋体" w:eastAsia="宋体" w:cs="宋体"/>
                <w:kern w:val="0"/>
                <w:sz w:val="24"/>
                <w:szCs w:val="24"/>
              </w:rPr>
            </w:pPr>
            <w:r>
              <w:rPr>
                <w:rFonts w:hint="eastAsia" w:ascii="宋体" w:hAnsi="宋体" w:eastAsia="宋体" w:cs="宋体"/>
                <w:iCs/>
                <w:color w:val="000000"/>
                <w:kern w:val="0"/>
                <w:sz w:val="24"/>
                <w:szCs w:val="24"/>
                <w:lang w:val="en-US" w:eastAsia="zh-CN"/>
              </w:rPr>
              <w:t>“十三五”以来，福泉市大力发展中药材产业，“十四五”期间仍将中药材产业作为农业产业发展重要内容之一，成立了由市领导任班长的中药材产业发展专班，高位推动中药材产业健康、稳定发展，连续几年来中药材种植面积均突破30000余亩，成为地方富民增收产业，部分群众通过在业务工中掌握了中药材种植管理技术。同时全市有农业技术人员128人，根据农业结构调整需要，技术力量逐渐向中药材生产领域转移，积累了一定中药材种植管理经验。农村人口17.68万人，劳动力资源充沛，中药材产业发展条件较为优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84" w:hRule="atLeast"/>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市场</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前景</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预测</w:t>
            </w:r>
          </w:p>
        </w:tc>
        <w:tc>
          <w:tcPr>
            <w:tcW w:w="7177" w:type="dxa"/>
            <w:gridSpan w:val="4"/>
            <w:vAlign w:val="center"/>
          </w:tcPr>
          <w:p>
            <w:pPr>
              <w:widowControl/>
              <w:jc w:val="left"/>
              <w:rPr>
                <w:rFonts w:hint="eastAsia" w:ascii="宋体" w:hAnsi="宋体" w:eastAsia="宋体" w:cs="宋体"/>
                <w:kern w:val="0"/>
                <w:sz w:val="24"/>
                <w:szCs w:val="24"/>
              </w:rPr>
            </w:pPr>
            <w:r>
              <w:rPr>
                <w:rFonts w:hint="eastAsia" w:ascii="宋体" w:hAnsi="宋体" w:eastAsia="宋体" w:cs="宋体"/>
                <w:iCs/>
                <w:color w:val="000000"/>
                <w:kern w:val="0"/>
                <w:sz w:val="24"/>
                <w:szCs w:val="24"/>
                <w:lang w:val="en-US" w:eastAsia="zh-CN"/>
              </w:rPr>
              <w:t>随着世界范围内崇尚中药传统疗法和天然药物潮流的兴起，以天然中药材资源为原料生产的药物和保健食品的国际认知度不断提高，开发利用中药材资源已成为世界医药发展的重要趋势。现代农业技术、生物技术、信息技术的快速发展和应用，为创新中药材生产和流通方式提供了有力的科技支撑。全面深化农村土地制度和集体林权制度改革，为中药材规模化生产、集约化经营创造了更大的发展空间。国家《中药现代化发展纲要》和《中药现代化科技产业行动计划》的颁布实施，特别是《中药材保护和发展规划（2015—2020年）》的出台，为中药材产业的发展指明了方向、奠定了基础、提供了强有力的政策支持，为中药材产业发展提供了难得的历史性机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3" w:hRule="atLeast"/>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项目选址及规模</w:t>
            </w:r>
          </w:p>
        </w:tc>
        <w:tc>
          <w:tcPr>
            <w:tcW w:w="7177" w:type="dxa"/>
            <w:gridSpan w:val="4"/>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项目拟选址于</w:t>
            </w:r>
            <w:r>
              <w:rPr>
                <w:rFonts w:hint="eastAsia" w:ascii="宋体" w:hAnsi="宋体" w:eastAsia="宋体" w:cs="宋体"/>
                <w:kern w:val="0"/>
                <w:sz w:val="24"/>
                <w:szCs w:val="24"/>
                <w:lang w:eastAsia="zh-CN"/>
              </w:rPr>
              <w:t>福泉</w:t>
            </w:r>
            <w:r>
              <w:rPr>
                <w:rFonts w:hint="eastAsia" w:ascii="宋体" w:hAnsi="宋体" w:eastAsia="宋体" w:cs="宋体"/>
                <w:kern w:val="0"/>
                <w:sz w:val="24"/>
                <w:szCs w:val="24"/>
              </w:rPr>
              <w:t>县（市、区）</w:t>
            </w:r>
            <w:r>
              <w:rPr>
                <w:rFonts w:hint="eastAsia" w:ascii="宋体" w:hAnsi="宋体" w:eastAsia="宋体" w:cs="宋体"/>
                <w:kern w:val="0"/>
                <w:sz w:val="24"/>
                <w:szCs w:val="24"/>
                <w:lang w:eastAsia="zh-CN"/>
              </w:rPr>
              <w:t>龙昌农产品加工</w:t>
            </w:r>
            <w:r>
              <w:rPr>
                <w:rFonts w:hint="eastAsia" w:ascii="宋体" w:hAnsi="宋体" w:eastAsia="宋体" w:cs="宋体"/>
                <w:kern w:val="0"/>
                <w:sz w:val="24"/>
                <w:szCs w:val="24"/>
              </w:rPr>
              <w:t>园区</w:t>
            </w:r>
            <w:r>
              <w:rPr>
                <w:rFonts w:hint="eastAsia" w:ascii="宋体" w:hAnsi="宋体" w:eastAsia="宋体" w:cs="宋体"/>
                <w:kern w:val="0"/>
                <w:sz w:val="24"/>
                <w:szCs w:val="24"/>
                <w:lang w:eastAsia="zh-CN"/>
              </w:rPr>
              <w:t>及</w:t>
            </w:r>
            <w:r>
              <w:rPr>
                <w:rFonts w:hint="eastAsia" w:ascii="宋体" w:hAnsi="宋体" w:eastAsia="宋体" w:cs="宋体"/>
                <w:kern w:val="0"/>
                <w:sz w:val="24"/>
                <w:szCs w:val="24"/>
                <w:lang w:val="en-US" w:eastAsia="zh-CN"/>
              </w:rPr>
              <w:t>8个乡镇（街道）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Merge w:val="continue"/>
            <w:vAlign w:val="center"/>
          </w:tcPr>
          <w:p>
            <w:pPr>
              <w:widowControl/>
              <w:jc w:val="center"/>
              <w:rPr>
                <w:rFonts w:hint="eastAsia" w:ascii="宋体" w:hAnsi="宋体" w:eastAsia="宋体" w:cs="宋体"/>
                <w:b/>
                <w:bCs/>
                <w:kern w:val="0"/>
                <w:sz w:val="24"/>
                <w:szCs w:val="24"/>
              </w:rPr>
            </w:pPr>
          </w:p>
        </w:tc>
        <w:tc>
          <w:tcPr>
            <w:tcW w:w="1190" w:type="dxa"/>
            <w:vAlign w:val="center"/>
          </w:tcPr>
          <w:p>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占地面积</w:t>
            </w:r>
          </w:p>
        </w:tc>
        <w:tc>
          <w:tcPr>
            <w:tcW w:w="2200" w:type="dxa"/>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50000</w:t>
            </w:r>
            <w:r>
              <w:rPr>
                <w:rFonts w:hint="eastAsia" w:ascii="宋体" w:hAnsi="宋体" w:eastAsia="宋体" w:cs="宋体"/>
                <w:kern w:val="0"/>
                <w:sz w:val="24"/>
                <w:szCs w:val="24"/>
              </w:rPr>
              <w:t>亩</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建筑面积</w:t>
            </w:r>
          </w:p>
        </w:tc>
        <w:tc>
          <w:tcPr>
            <w:tcW w:w="2428" w:type="dxa"/>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20000</w:t>
            </w:r>
            <w:r>
              <w:rPr>
                <w:rFonts w:hint="eastAsia" w:ascii="宋体" w:hAnsi="宋体" w:eastAsia="宋体" w:cs="宋体"/>
                <w:kern w:val="0"/>
                <w:sz w:val="24"/>
                <w:szCs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建设</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内容</w:t>
            </w:r>
          </w:p>
        </w:tc>
        <w:tc>
          <w:tcPr>
            <w:tcW w:w="8016" w:type="dxa"/>
            <w:gridSpan w:val="5"/>
            <w:vAlign w:val="center"/>
          </w:tcPr>
          <w:p>
            <w:pPr>
              <w:widowControl/>
              <w:jc w:val="left"/>
              <w:rPr>
                <w:rFonts w:hint="eastAsia" w:ascii="宋体" w:hAnsi="宋体" w:eastAsia="宋体" w:cs="宋体"/>
                <w:kern w:val="0"/>
                <w:sz w:val="24"/>
                <w:szCs w:val="24"/>
              </w:rPr>
            </w:pPr>
            <w:r>
              <w:rPr>
                <w:rFonts w:hint="eastAsia" w:ascii="宋体" w:hAnsi="宋体" w:eastAsia="宋体" w:cs="宋体"/>
                <w:b w:val="0"/>
                <w:bCs w:val="0"/>
                <w:color w:val="000000"/>
                <w:kern w:val="0"/>
                <w:sz w:val="24"/>
                <w:szCs w:val="24"/>
              </w:rPr>
              <w:t>建中药材种植基地5万亩，中药材种苗组培基地50亩，中药材加工厂2万平方米。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6" w:hRule="atLeast"/>
          <w:jc w:val="center"/>
        </w:trPr>
        <w:tc>
          <w:tcPr>
            <w:tcW w:w="673"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财务</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分析</w:t>
            </w:r>
          </w:p>
        </w:tc>
        <w:tc>
          <w:tcPr>
            <w:tcW w:w="839" w:type="dxa"/>
            <w:vMerge w:val="restart"/>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总投</w:t>
            </w:r>
          </w:p>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资额</w:t>
            </w:r>
          </w:p>
        </w:tc>
        <w:tc>
          <w:tcPr>
            <w:tcW w:w="3390" w:type="dxa"/>
            <w:gridSpan w:val="2"/>
            <w:vMerge w:val="restart"/>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30000</w:t>
            </w:r>
            <w:r>
              <w:rPr>
                <w:rFonts w:hint="eastAsia" w:ascii="宋体" w:hAnsi="宋体" w:eastAsia="宋体" w:cs="宋体"/>
                <w:kern w:val="0"/>
                <w:sz w:val="24"/>
                <w:szCs w:val="24"/>
              </w:rPr>
              <w:t>万元人民币</w:t>
            </w:r>
          </w:p>
        </w:tc>
        <w:tc>
          <w:tcPr>
            <w:tcW w:w="1359" w:type="dxa"/>
            <w:vMerge w:val="restart"/>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引资金额</w:t>
            </w:r>
          </w:p>
        </w:tc>
        <w:tc>
          <w:tcPr>
            <w:tcW w:w="2428" w:type="dxa"/>
            <w:vMerge w:val="restart"/>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30000</w:t>
            </w:r>
            <w:r>
              <w:rPr>
                <w:rFonts w:hint="eastAsia" w:ascii="宋体" w:hAnsi="宋体" w:eastAsia="宋体" w:cs="宋体"/>
                <w:kern w:val="0"/>
                <w:sz w:val="24"/>
                <w:szCs w:val="24"/>
              </w:rPr>
              <w:t xml:space="preserve"> 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Merge w:val="continue"/>
            <w:vAlign w:val="center"/>
          </w:tcPr>
          <w:p>
            <w:pPr>
              <w:widowControl/>
              <w:jc w:val="center"/>
              <w:rPr>
                <w:rFonts w:hint="eastAsia" w:ascii="宋体" w:hAnsi="宋体" w:eastAsia="宋体" w:cs="宋体"/>
                <w:b/>
                <w:bCs/>
                <w:kern w:val="0"/>
                <w:sz w:val="24"/>
                <w:szCs w:val="24"/>
              </w:rPr>
            </w:pPr>
          </w:p>
        </w:tc>
        <w:tc>
          <w:tcPr>
            <w:tcW w:w="3390" w:type="dxa"/>
            <w:gridSpan w:val="2"/>
            <w:vMerge w:val="continue"/>
            <w:vAlign w:val="center"/>
          </w:tcPr>
          <w:p>
            <w:pPr>
              <w:widowControl/>
              <w:jc w:val="center"/>
              <w:rPr>
                <w:rFonts w:hint="eastAsia" w:ascii="宋体" w:hAnsi="宋体" w:eastAsia="宋体" w:cs="宋体"/>
                <w:kern w:val="0"/>
                <w:sz w:val="24"/>
                <w:szCs w:val="24"/>
              </w:rPr>
            </w:pPr>
          </w:p>
        </w:tc>
        <w:tc>
          <w:tcPr>
            <w:tcW w:w="1359" w:type="dxa"/>
            <w:vMerge w:val="continue"/>
            <w:vAlign w:val="center"/>
          </w:tcPr>
          <w:p>
            <w:pPr>
              <w:widowControl/>
              <w:jc w:val="center"/>
              <w:rPr>
                <w:rFonts w:hint="eastAsia" w:ascii="宋体" w:hAnsi="宋体" w:eastAsia="宋体" w:cs="宋体"/>
                <w:b/>
                <w:bCs/>
                <w:kern w:val="0"/>
                <w:sz w:val="24"/>
                <w:szCs w:val="24"/>
              </w:rPr>
            </w:pPr>
          </w:p>
        </w:tc>
        <w:tc>
          <w:tcPr>
            <w:tcW w:w="2428" w:type="dxa"/>
            <w:vMerge w:val="continue"/>
            <w:vAlign w:val="center"/>
          </w:tcPr>
          <w:p>
            <w:pPr>
              <w:widowControl/>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自有</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资金</w:t>
            </w:r>
          </w:p>
        </w:tc>
        <w:tc>
          <w:tcPr>
            <w:tcW w:w="3390" w:type="dxa"/>
            <w:gridSpan w:val="2"/>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万元人民币</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投资回收期</w:t>
            </w:r>
          </w:p>
        </w:tc>
        <w:tc>
          <w:tcPr>
            <w:tcW w:w="2428" w:type="dxa"/>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10</w:t>
            </w:r>
            <w:r>
              <w:rPr>
                <w:rFonts w:hint="eastAsia" w:ascii="宋体" w:hAnsi="宋体" w:eastAsia="宋体" w:cs="宋体"/>
                <w:kern w:val="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扶持</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政策</w:t>
            </w:r>
          </w:p>
        </w:tc>
        <w:tc>
          <w:tcPr>
            <w:tcW w:w="8016" w:type="dxa"/>
            <w:gridSpan w:val="5"/>
            <w:vAlign w:val="center"/>
          </w:tcPr>
          <w:p>
            <w:pPr>
              <w:keepNext w:val="0"/>
              <w:keepLines w:val="0"/>
              <w:widowControl/>
              <w:suppressLineNumbers w:val="0"/>
              <w:jc w:val="both"/>
              <w:rPr>
                <w:rFonts w:hint="eastAsia" w:ascii="宋体" w:hAnsi="宋体" w:eastAsia="宋体" w:cs="宋体"/>
                <w:iCs/>
                <w:color w:val="000000"/>
                <w:kern w:val="0"/>
                <w:sz w:val="24"/>
                <w:szCs w:val="24"/>
                <w:lang w:eastAsia="zh-CN"/>
              </w:rPr>
            </w:pPr>
            <w:r>
              <w:rPr>
                <w:rFonts w:hint="eastAsia" w:ascii="宋体" w:hAnsi="宋体" w:eastAsia="宋体" w:cs="宋体"/>
                <w:iCs/>
                <w:color w:val="000000"/>
                <w:kern w:val="0"/>
                <w:sz w:val="24"/>
                <w:szCs w:val="24"/>
                <w:lang w:val="en-US" w:eastAsia="zh-CN"/>
              </w:rPr>
              <w:t>按《中</w:t>
            </w:r>
            <w:r>
              <w:rPr>
                <w:rFonts w:hint="eastAsia" w:ascii="宋体" w:hAnsi="宋体" w:eastAsia="宋体" w:cs="宋体"/>
                <w:iCs/>
                <w:color w:val="000000"/>
                <w:kern w:val="0"/>
                <w:sz w:val="24"/>
                <w:szCs w:val="24"/>
                <w:lang w:eastAsia="zh-CN"/>
              </w:rPr>
              <w:t>共福泉市委</w:t>
            </w:r>
            <w:r>
              <w:rPr>
                <w:rFonts w:hint="eastAsia" w:ascii="宋体" w:hAnsi="宋体" w:eastAsia="宋体" w:cs="宋体"/>
                <w:iCs/>
                <w:color w:val="000000"/>
                <w:kern w:val="0"/>
                <w:sz w:val="24"/>
                <w:szCs w:val="24"/>
                <w:lang w:val="en-US" w:eastAsia="zh-CN"/>
              </w:rPr>
              <w:t xml:space="preserve"> 福泉市人民政府关于印发&lt;福泉市农业产业结构调整奖补扶持方案&gt;的通知</w:t>
            </w:r>
            <w:r>
              <w:rPr>
                <w:rFonts w:hint="eastAsia" w:ascii="宋体" w:hAnsi="宋体" w:eastAsia="宋体" w:cs="宋体"/>
                <w:iCs/>
                <w:color w:val="000000"/>
                <w:kern w:val="0"/>
                <w:sz w:val="24"/>
                <w:szCs w:val="24"/>
                <w:lang w:eastAsia="zh-CN"/>
              </w:rPr>
              <w:t>》（</w:t>
            </w:r>
            <w:r>
              <w:rPr>
                <w:rFonts w:hint="eastAsia" w:ascii="宋体" w:hAnsi="宋体" w:eastAsia="宋体" w:cs="宋体"/>
                <w:iCs/>
                <w:color w:val="000000"/>
                <w:kern w:val="0"/>
                <w:sz w:val="24"/>
                <w:szCs w:val="24"/>
                <w:lang w:val="en-US" w:eastAsia="zh-CN"/>
              </w:rPr>
              <w:t>福委〔2019〕42 号</w:t>
            </w:r>
            <w:r>
              <w:rPr>
                <w:rFonts w:hint="eastAsia" w:ascii="宋体" w:hAnsi="宋体" w:eastAsia="宋体" w:cs="宋体"/>
                <w:iCs/>
                <w:color w:val="000000"/>
                <w:kern w:val="0"/>
                <w:sz w:val="24"/>
                <w:szCs w:val="24"/>
                <w:lang w:eastAsia="zh-CN"/>
              </w:rPr>
              <w:t>）、《福泉市人民政府办公室关于印发福泉市农业产业结构调整奖补申报实施细则的通知》（福府办发〔2020〕34号），对</w:t>
            </w:r>
            <w:r>
              <w:rPr>
                <w:rFonts w:hint="eastAsia" w:ascii="宋体" w:hAnsi="宋体" w:eastAsia="宋体" w:cs="宋体"/>
                <w:iCs/>
                <w:color w:val="000000"/>
                <w:kern w:val="0"/>
                <w:sz w:val="24"/>
                <w:szCs w:val="24"/>
                <w:lang w:val="en-US" w:eastAsia="zh-CN"/>
              </w:rPr>
              <w:t>农业基础设施建设、种植业土地流转、种植业产值效益、农产品销售、农产品质量安全追溯系统建设、农产品品牌认证、龙头企业及示范性合作社创建、农业产业保险、农业产业发展贷款及贴息等方面符合奖补条件的予以政策扶持。</w:t>
            </w:r>
          </w:p>
          <w:p>
            <w:pPr>
              <w:widowControl/>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8" w:hRule="atLeast"/>
          <w:jc w:val="center"/>
        </w:trPr>
        <w:tc>
          <w:tcPr>
            <w:tcW w:w="673"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业主</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单位</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方式</w:t>
            </w:r>
          </w:p>
        </w:tc>
        <w:tc>
          <w:tcPr>
            <w:tcW w:w="83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名称</w:t>
            </w:r>
          </w:p>
        </w:tc>
        <w:tc>
          <w:tcPr>
            <w:tcW w:w="3390" w:type="dxa"/>
            <w:gridSpan w:val="2"/>
            <w:vAlign w:val="center"/>
          </w:tcPr>
          <w:p>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福泉市农业农村局</w:t>
            </w:r>
          </w:p>
        </w:tc>
        <w:tc>
          <w:tcPr>
            <w:tcW w:w="135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地址</w:t>
            </w:r>
          </w:p>
        </w:tc>
        <w:tc>
          <w:tcPr>
            <w:tcW w:w="2428" w:type="dxa"/>
            <w:vAlign w:val="center"/>
          </w:tcPr>
          <w:p>
            <w:pPr>
              <w:rPr>
                <w:rFonts w:hint="eastAsia" w:ascii="宋体" w:hAnsi="宋体" w:eastAsia="宋体" w:cs="宋体"/>
                <w:kern w:val="0"/>
                <w:sz w:val="24"/>
                <w:szCs w:val="24"/>
              </w:rPr>
            </w:pPr>
            <w:r>
              <w:rPr>
                <w:rFonts w:hint="eastAsia" w:ascii="宋体" w:hAnsi="宋体" w:eastAsia="宋体" w:cs="宋体"/>
                <w:color w:val="000000"/>
                <w:kern w:val="0"/>
                <w:sz w:val="24"/>
                <w:szCs w:val="24"/>
                <w:lang w:eastAsia="zh-CN"/>
              </w:rPr>
              <w:t>贵州省福泉市金山街道老职工幼儿园</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邮编</w:t>
            </w:r>
          </w:p>
        </w:tc>
        <w:tc>
          <w:tcPr>
            <w:tcW w:w="3390" w:type="dxa"/>
            <w:gridSpan w:val="2"/>
            <w:vAlign w:val="center"/>
          </w:tcPr>
          <w:p>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550500</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联系人</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lang w:eastAsia="zh-CN"/>
              </w:rPr>
              <w:t>张德金</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座机</w:t>
            </w:r>
          </w:p>
        </w:tc>
        <w:tc>
          <w:tcPr>
            <w:tcW w:w="3390" w:type="dxa"/>
            <w:gridSpan w:val="2"/>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2222714</w:t>
            </w:r>
            <w:r>
              <w:rPr>
                <w:rFonts w:hint="eastAsia" w:ascii="宋体" w:hAnsi="宋体" w:eastAsia="宋体" w:cs="宋体"/>
                <w:kern w:val="0"/>
                <w:sz w:val="24"/>
                <w:szCs w:val="24"/>
              </w:rPr>
              <w:t xml:space="preserve">  </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手机</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color w:val="000000"/>
                <w:kern w:val="0"/>
                <w:sz w:val="24"/>
                <w:szCs w:val="24"/>
                <w:lang w:val="en-US" w:eastAsia="zh-CN"/>
              </w:rPr>
              <w:t>18375192436</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传真</w:t>
            </w:r>
          </w:p>
        </w:tc>
        <w:tc>
          <w:tcPr>
            <w:tcW w:w="3390" w:type="dxa"/>
            <w:gridSpan w:val="2"/>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rPr>
              <w:t xml:space="preserve">  </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邮箱</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color w:val="000000"/>
                <w:kern w:val="0"/>
                <w:sz w:val="24"/>
                <w:szCs w:val="24"/>
              </w:rPr>
              <w:t>2877821673</w:t>
            </w:r>
            <w:r>
              <w:rPr>
                <w:rFonts w:hint="eastAsia" w:ascii="宋体" w:hAnsi="宋体" w:eastAsia="宋体" w:cs="宋体"/>
                <w:color w:val="000000"/>
                <w:kern w:val="0"/>
                <w:sz w:val="24"/>
                <w:szCs w:val="24"/>
                <w:lang w:val="en-US" w:eastAsia="zh-CN"/>
              </w:rPr>
              <w:t>@qq.com</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 w:hRule="atLeast"/>
          <w:jc w:val="center"/>
        </w:trPr>
        <w:tc>
          <w:tcPr>
            <w:tcW w:w="673"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服务</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单位</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方式</w:t>
            </w:r>
          </w:p>
        </w:tc>
        <w:tc>
          <w:tcPr>
            <w:tcW w:w="83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名称</w:t>
            </w:r>
          </w:p>
        </w:tc>
        <w:tc>
          <w:tcPr>
            <w:tcW w:w="3390" w:type="dxa"/>
            <w:gridSpan w:val="2"/>
            <w:vAlign w:val="center"/>
          </w:tcPr>
          <w:p>
            <w:pPr>
              <w:rPr>
                <w:rFonts w:hint="eastAsia" w:ascii="宋体" w:hAnsi="宋体" w:eastAsia="宋体" w:cs="宋体"/>
                <w:kern w:val="0"/>
                <w:sz w:val="24"/>
                <w:szCs w:val="24"/>
              </w:rPr>
            </w:pPr>
          </w:p>
        </w:tc>
        <w:tc>
          <w:tcPr>
            <w:tcW w:w="135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地址</w:t>
            </w:r>
          </w:p>
        </w:tc>
        <w:tc>
          <w:tcPr>
            <w:tcW w:w="2428" w:type="dxa"/>
            <w:vAlign w:val="center"/>
          </w:tcPr>
          <w:p>
            <w:pPr>
              <w:rPr>
                <w:rFonts w:hint="eastAsia" w:ascii="宋体" w:hAnsi="宋体" w:eastAsia="宋体" w:cs="宋体"/>
                <w:kern w:val="0"/>
                <w:sz w:val="24"/>
                <w:szCs w:val="24"/>
              </w:rPr>
            </w:pPr>
            <w:r>
              <w:rPr>
                <w:rFonts w:hint="eastAsia" w:ascii="宋体" w:hAnsi="宋体" w:eastAsia="宋体" w:cs="宋体"/>
                <w:color w:val="000000"/>
                <w:kern w:val="0"/>
                <w:sz w:val="24"/>
                <w:szCs w:val="24"/>
                <w:lang w:eastAsia="zh-CN"/>
              </w:rPr>
              <w:t>贵州省福泉市金山街道老职工幼儿园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邮编</w:t>
            </w:r>
          </w:p>
        </w:tc>
        <w:tc>
          <w:tcPr>
            <w:tcW w:w="3390" w:type="dxa"/>
            <w:gridSpan w:val="2"/>
            <w:vAlign w:val="center"/>
          </w:tcPr>
          <w:p>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550500</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联系人</w:t>
            </w:r>
          </w:p>
        </w:tc>
        <w:tc>
          <w:tcPr>
            <w:tcW w:w="2428" w:type="dxa"/>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张德金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座机</w:t>
            </w:r>
          </w:p>
        </w:tc>
        <w:tc>
          <w:tcPr>
            <w:tcW w:w="3390" w:type="dxa"/>
            <w:gridSpan w:val="2"/>
            <w:vAlign w:val="center"/>
          </w:tcPr>
          <w:p>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2222714</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手机</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color w:val="000000"/>
                <w:kern w:val="0"/>
                <w:sz w:val="24"/>
                <w:szCs w:val="24"/>
                <w:lang w:val="en-US" w:eastAsia="zh-CN"/>
              </w:rPr>
              <w:t>18375192436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hint="eastAsia" w:ascii="宋体" w:hAnsi="宋体" w:eastAsia="宋体" w:cs="宋体"/>
                <w:b/>
                <w:bCs/>
                <w:kern w:val="0"/>
                <w:sz w:val="24"/>
                <w:szCs w:val="24"/>
              </w:rPr>
            </w:pPr>
          </w:p>
        </w:tc>
        <w:tc>
          <w:tcPr>
            <w:tcW w:w="83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传真</w:t>
            </w:r>
          </w:p>
        </w:tc>
        <w:tc>
          <w:tcPr>
            <w:tcW w:w="3390" w:type="dxa"/>
            <w:gridSpan w:val="2"/>
            <w:vAlign w:val="center"/>
          </w:tcPr>
          <w:p>
            <w:pPr>
              <w:widowControl/>
              <w:rPr>
                <w:rFonts w:hint="eastAsia" w:ascii="宋体" w:hAnsi="宋体" w:eastAsia="宋体" w:cs="宋体"/>
                <w:kern w:val="0"/>
                <w:sz w:val="24"/>
                <w:szCs w:val="24"/>
              </w:rPr>
            </w:pP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邮箱</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color w:val="000000"/>
                <w:kern w:val="0"/>
                <w:sz w:val="24"/>
                <w:szCs w:val="24"/>
              </w:rPr>
              <w:t>2877821673</w:t>
            </w:r>
            <w:r>
              <w:rPr>
                <w:rFonts w:hint="eastAsia" w:ascii="宋体" w:hAnsi="宋体" w:eastAsia="宋体" w:cs="宋体"/>
                <w:color w:val="000000"/>
                <w:kern w:val="0"/>
                <w:sz w:val="24"/>
                <w:szCs w:val="24"/>
                <w:lang w:val="en-US" w:eastAsia="zh-CN"/>
              </w:rPr>
              <w:t>@qq.com</w:t>
            </w:r>
          </w:p>
        </w:tc>
      </w:tr>
    </w:tbl>
    <w:p>
      <w:pPr>
        <w:widowControl/>
        <w:jc w:val="center"/>
        <w:rPr>
          <w:rFonts w:ascii="方正小标宋简体" w:eastAsia="方正小标宋简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178"/>
    <w:rsid w:val="00052BAD"/>
    <w:rsid w:val="00553D51"/>
    <w:rsid w:val="006F1AFA"/>
    <w:rsid w:val="00732D82"/>
    <w:rsid w:val="007E046F"/>
    <w:rsid w:val="007F33B3"/>
    <w:rsid w:val="00A857D2"/>
    <w:rsid w:val="00AC2A03"/>
    <w:rsid w:val="00BC3178"/>
    <w:rsid w:val="00BE6B28"/>
    <w:rsid w:val="00F83C74"/>
    <w:rsid w:val="066A67F3"/>
    <w:rsid w:val="1C7B680B"/>
    <w:rsid w:val="35925EFF"/>
    <w:rsid w:val="52237FC2"/>
    <w:rsid w:val="537348F0"/>
    <w:rsid w:val="58DB2A33"/>
    <w:rsid w:val="5B401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640" w:lineRule="exact"/>
      <w:outlineLvl w:val="1"/>
    </w:pPr>
    <w:rPr>
      <w:rFonts w:ascii="仿宋_GB2312" w:hAnsi="Times New Roman" w:eastAsia="仿宋_GB2312"/>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163</Words>
  <Characters>935</Characters>
  <Lines>7</Lines>
  <Paragraphs>2</Paragraphs>
  <TotalTime>3</TotalTime>
  <ScaleCrop>false</ScaleCrop>
  <LinksUpToDate>false</LinksUpToDate>
  <CharactersWithSpaces>1096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2019-02-03T00:57:00Z</dcterms:created>
  <dc:creator>gyb1</dc:creator>
  <cp:lastModifiedBy>执子之手 静候花开 开拓今生 偕老与共</cp:lastModifiedBy>
  <cp:lastPrinted>2019-02-03T01:21:00Z</cp:lastPrinted>
  <dcterms:modified xsi:type="dcterms:W3CDTF">2021-04-07T07:38:19Z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CA2D64C4DC4C472985B6EF865D7ED978</vt:lpwstr>
  </property>
</Properties>
</file>