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生态家禽项目说明</w:t>
      </w:r>
    </w:p>
    <w:p>
      <w:pPr>
        <w:widowControl w:val="0"/>
        <w:wordWrap/>
        <w:adjustRightInd/>
        <w:snapToGrid/>
        <w:spacing w:line="500" w:lineRule="exact"/>
        <w:textAlignment w:val="auto"/>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sz w:val="32"/>
          <w:szCs w:val="32"/>
          <w:lang w:val="en-US" w:eastAsia="zh-CN"/>
        </w:rPr>
        <w:t>项目名称：</w:t>
      </w:r>
      <w:r>
        <w:rPr>
          <w:rFonts w:hint="eastAsia" w:ascii="仿宋_GB2312" w:hAnsi="仿宋_GB2312" w:eastAsia="仿宋_GB2312" w:cs="仿宋_GB2312"/>
          <w:b w:val="0"/>
          <w:bCs w:val="0"/>
          <w:sz w:val="32"/>
          <w:szCs w:val="32"/>
          <w:lang w:eastAsia="zh-CN"/>
        </w:rPr>
        <w:t>纳雍县生态家禽产业链</w:t>
      </w:r>
      <w:r>
        <w:rPr>
          <w:rFonts w:hint="eastAsia" w:ascii="仿宋_GB2312" w:hAnsi="仿宋_GB2312" w:eastAsia="仿宋_GB2312" w:cs="仿宋_GB2312"/>
          <w:b w:val="0"/>
          <w:bCs/>
          <w:color w:val="auto"/>
          <w:sz w:val="32"/>
          <w:szCs w:val="32"/>
          <w:lang w:val="en-US" w:eastAsia="zh-CN"/>
        </w:rPr>
        <w:t>建设项目</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项目推介类别：生态家禽（鸡）</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项目建设性质：扩建</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项目业主单位：纳雍县农业农村局</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合作方式：合作或独资</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项目现状：建设中</w:t>
      </w:r>
    </w:p>
    <w:p>
      <w:pPr>
        <w:widowControl w:val="0"/>
        <w:wordWrap/>
        <w:adjustRightInd/>
        <w:snapToGrid/>
        <w:spacing w:line="50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项目建设内容：</w:t>
      </w:r>
      <w:r>
        <w:rPr>
          <w:rFonts w:hint="eastAsia" w:ascii="仿宋_GB2312" w:hAnsi="仿宋_GB2312" w:eastAsia="仿宋_GB2312" w:cs="仿宋_GB2312"/>
          <w:b/>
          <w:bCs/>
          <w:sz w:val="32"/>
          <w:szCs w:val="32"/>
          <w:lang w:val="en-US" w:eastAsia="zh-CN"/>
        </w:rPr>
        <w:t>一是</w:t>
      </w:r>
      <w:r>
        <w:rPr>
          <w:rFonts w:hint="eastAsia" w:ascii="仿宋_GB2312" w:hAnsi="仿宋_GB2312" w:eastAsia="仿宋_GB2312" w:cs="仿宋_GB2312"/>
          <w:sz w:val="32"/>
          <w:szCs w:val="32"/>
          <w:lang w:val="en-US" w:eastAsia="zh-CN"/>
        </w:rPr>
        <w:t>中国家禽资源基因库贵州分库建设，预选址在纳雍县董地乡，占地面积100亩。1.贵州省地方鸡保种库1个；2.贵州省地方鸡研究院1个；3贵州省地方鸡专业育种场1个；配套业务用房，水电路，养殖设备等相关设备设施。</w:t>
      </w:r>
      <w:r>
        <w:rPr>
          <w:rFonts w:hint="eastAsia" w:ascii="仿宋_GB2312" w:hAnsi="仿宋_GB2312" w:eastAsia="仿宋_GB2312" w:cs="仿宋_GB2312"/>
          <w:b/>
          <w:bCs/>
          <w:sz w:val="32"/>
          <w:szCs w:val="32"/>
          <w:lang w:val="en-US" w:eastAsia="zh-CN"/>
        </w:rPr>
        <w:t>二是</w:t>
      </w:r>
      <w:r>
        <w:rPr>
          <w:rFonts w:hint="eastAsia" w:ascii="仿宋_GB2312" w:hAnsi="仿宋_GB2312" w:eastAsia="仿宋_GB2312" w:cs="仿宋_GB2312"/>
          <w:sz w:val="32"/>
          <w:szCs w:val="32"/>
          <w:lang w:val="en-US" w:eastAsia="zh-CN"/>
        </w:rPr>
        <w:t>生态家禽养殖基地建设，养殖小区5个，年出栏100万羽，鸡含，</w:t>
      </w:r>
      <w:r>
        <w:rPr>
          <w:rFonts w:hint="default" w:ascii="仿宋_GB2312" w:hAnsi="仿宋_GB2312" w:eastAsia="仿宋_GB2312" w:cs="仿宋_GB2312"/>
          <w:sz w:val="32"/>
          <w:szCs w:val="32"/>
          <w:lang w:val="en-US" w:eastAsia="zh-CN"/>
        </w:rPr>
        <w:t>配套业务用房，水电路，养殖设备等相关设备设施。</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财务指标分析：项目总投资20000万元，建成后产值50000万元，利润5000万元，投资回收期为4年。</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优惠政策及扶持条件：</w:t>
      </w:r>
      <w:bookmarkStart w:id="0" w:name="_Toc27207"/>
      <w:r>
        <w:rPr>
          <w:rFonts w:hint="eastAsia" w:ascii="仿宋_GB2312" w:hAnsi="仿宋_GB2312" w:eastAsia="仿宋_GB2312" w:cs="仿宋_GB2312"/>
          <w:b/>
          <w:bCs/>
          <w:sz w:val="32"/>
          <w:szCs w:val="32"/>
        </w:rPr>
        <w:t>1.财政资金</w:t>
      </w:r>
      <w:bookmarkEnd w:id="0"/>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sz w:val="32"/>
          <w:szCs w:val="32"/>
        </w:rPr>
        <w:t>《2020年重点强农惠农政策》（农业农村部、财政部）</w:t>
      </w:r>
      <w:r>
        <w:rPr>
          <w:rFonts w:hint="eastAsia" w:ascii="仿宋_GB2312" w:hAnsi="仿宋_GB2312" w:eastAsia="仿宋_GB2312" w:cs="仿宋_GB2312"/>
          <w:sz w:val="32"/>
          <w:szCs w:val="32"/>
          <w:lang w:val="en-US" w:eastAsia="zh-CN"/>
        </w:rPr>
        <w:t>利用财政扶贫资金、统筹使用整合涉农资金、申请项目补助资金，</w:t>
      </w:r>
      <w:r>
        <w:rPr>
          <w:rFonts w:hint="eastAsia" w:ascii="仿宋_GB2312" w:hAnsi="仿宋_GB2312" w:eastAsia="仿宋_GB2312" w:cs="仿宋_GB2312"/>
          <w:sz w:val="32"/>
          <w:szCs w:val="32"/>
        </w:rPr>
        <w:t>由</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级人民政府统筹安排用于支持</w:t>
      </w:r>
      <w:r>
        <w:rPr>
          <w:rFonts w:hint="eastAsia" w:ascii="仿宋_GB2312" w:hAnsi="仿宋_GB2312" w:eastAsia="仿宋_GB2312" w:cs="仿宋_GB2312"/>
          <w:sz w:val="32"/>
          <w:szCs w:val="32"/>
          <w:lang w:val="en-US" w:eastAsia="zh-CN"/>
        </w:rPr>
        <w:t>家禽产业</w:t>
      </w:r>
      <w:r>
        <w:rPr>
          <w:rFonts w:hint="eastAsia" w:ascii="仿宋_GB2312" w:hAnsi="仿宋_GB2312" w:eastAsia="仿宋_GB2312" w:cs="仿宋_GB2312"/>
          <w:sz w:val="32"/>
          <w:szCs w:val="32"/>
        </w:rPr>
        <w:t>生产流通和产业发展。</w:t>
      </w:r>
      <w:bookmarkStart w:id="1" w:name="_Toc14517"/>
      <w:r>
        <w:rPr>
          <w:rFonts w:hint="eastAsia" w:ascii="仿宋_GB2312" w:hAnsi="仿宋_GB2312" w:eastAsia="仿宋_GB2312" w:cs="仿宋_GB2312"/>
          <w:b/>
          <w:bCs/>
          <w:sz w:val="32"/>
          <w:szCs w:val="32"/>
        </w:rPr>
        <w:t>2.金融保险</w:t>
      </w:r>
      <w:bookmarkEnd w:id="1"/>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sz w:val="32"/>
          <w:szCs w:val="32"/>
        </w:rPr>
        <w:t>《贵州省</w:t>
      </w:r>
      <w:r>
        <w:rPr>
          <w:rFonts w:hint="eastAsia" w:ascii="仿宋_GB2312" w:hAnsi="仿宋_GB2312" w:eastAsia="仿宋_GB2312" w:cs="仿宋_GB2312"/>
          <w:sz w:val="32"/>
          <w:szCs w:val="32"/>
          <w:lang w:val="en-US" w:eastAsia="zh-CN"/>
        </w:rPr>
        <w:t>农业政策性保险工作实施</w:t>
      </w:r>
      <w:r>
        <w:rPr>
          <w:rFonts w:hint="eastAsia" w:ascii="仿宋_GB2312" w:hAnsi="仿宋_GB2312" w:eastAsia="仿宋_GB2312" w:cs="仿宋_GB2312"/>
          <w:sz w:val="32"/>
          <w:szCs w:val="32"/>
        </w:rPr>
        <w:t>方案》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按照方案配套资金，同时探索价格保险和期货+保险等政策。</w:t>
      </w:r>
      <w:r>
        <w:rPr>
          <w:rFonts w:hint="eastAsia" w:ascii="楷体_GB2312" w:hAnsi="楷体_GB2312" w:eastAsia="楷体_GB2312" w:cs="楷体_GB2312"/>
          <w:b/>
          <w:bCs/>
          <w:sz w:val="32"/>
          <w:szCs w:val="32"/>
          <w:lang w:val="en-US" w:eastAsia="zh-CN"/>
        </w:rPr>
        <w:t>3.支持政策。</w:t>
      </w:r>
      <w:r>
        <w:rPr>
          <w:rFonts w:hint="eastAsia" w:ascii="仿宋_GB2312" w:hAnsi="仿宋_GB2312" w:eastAsia="仿宋_GB2312" w:cs="仿宋_GB2312"/>
          <w:b w:val="0"/>
          <w:bCs w:val="0"/>
          <w:sz w:val="32"/>
          <w:szCs w:val="32"/>
          <w:lang w:val="en-US" w:eastAsia="zh-CN"/>
        </w:rPr>
        <w:t>按照</w:t>
      </w:r>
      <w:r>
        <w:rPr>
          <w:rFonts w:hint="eastAsia" w:ascii="仿宋_GB2312" w:hAnsi="仿宋_GB2312" w:eastAsia="仿宋_GB2312" w:cs="仿宋_GB2312"/>
          <w:sz w:val="32"/>
          <w:szCs w:val="32"/>
          <w:lang w:val="en-US" w:eastAsia="zh-CN"/>
        </w:rPr>
        <w:t>毕府发[2017]27号文件执行，支持外来企业投资本市规划发展的重点产业链和培育产业链相关项目。鼓励产业链内龙头、骨干企业牵头引进集群配套、强链补链项目，给予牵头引进企业奖励按市级招商引资相关政策执行。</w:t>
      </w:r>
      <w:r>
        <w:rPr>
          <w:rFonts w:hint="eastAsia" w:ascii="楷体_GB2312" w:hAnsi="楷体_GB2312" w:eastAsia="楷体_GB2312" w:cs="楷体_GB2312"/>
          <w:b/>
          <w:bCs/>
          <w:sz w:val="32"/>
          <w:szCs w:val="32"/>
          <w:lang w:val="en-US" w:eastAsia="zh-CN"/>
        </w:rPr>
        <w:t>4.保障要素。</w:t>
      </w:r>
      <w:r>
        <w:rPr>
          <w:rFonts w:hint="eastAsia" w:ascii="仿宋_GB2312" w:hAnsi="仿宋_GB2312" w:eastAsia="仿宋_GB2312" w:cs="仿宋_GB2312"/>
          <w:sz w:val="32"/>
          <w:szCs w:val="32"/>
          <w:lang w:val="en-US" w:eastAsia="zh-CN"/>
        </w:rPr>
        <w:t>水价：非生活用水4.05元/立方，特种行业用水13.5元/立方（定额阶梯收费）；电价：0.57399元/度；气价：125元/瓶，1瓶12KG；最低工资标准3000/月。</w:t>
      </w:r>
      <w:r>
        <w:rPr>
          <w:rFonts w:hint="eastAsia" w:ascii="楷体_GB2312" w:hAnsi="楷体_GB2312" w:eastAsia="楷体_GB2312" w:cs="楷体_GB2312"/>
          <w:b/>
          <w:bCs/>
          <w:sz w:val="32"/>
          <w:szCs w:val="32"/>
          <w:lang w:val="en-US" w:eastAsia="zh-CN"/>
        </w:rPr>
        <w:t>5.项目前期开展工作情况。</w:t>
      </w:r>
      <w:r>
        <w:rPr>
          <w:rFonts w:hint="eastAsia" w:ascii="仿宋_GB2312" w:hAnsi="仿宋_GB2312" w:eastAsia="仿宋_GB2312" w:cs="仿宋_GB2312"/>
          <w:b w:val="0"/>
          <w:bCs/>
          <w:color w:val="auto"/>
          <w:sz w:val="32"/>
          <w:szCs w:val="32"/>
          <w:lang w:eastAsia="zh-CN"/>
        </w:rPr>
        <w:t>项目方案设计已完成</w:t>
      </w:r>
      <w:bookmarkStart w:id="2" w:name="_GoBack"/>
      <w:bookmarkEnd w:id="2"/>
      <w:r>
        <w:rPr>
          <w:rFonts w:hint="eastAsia" w:ascii="仿宋_GB2312" w:hAnsi="仿宋_GB2312" w:eastAsia="仿宋_GB2312" w:cs="仿宋_GB2312"/>
          <w:b w:val="0"/>
          <w:bCs/>
          <w:color w:val="auto"/>
          <w:sz w:val="32"/>
          <w:szCs w:val="32"/>
          <w:lang w:eastAsia="zh-CN"/>
        </w:rPr>
        <w:t>，已纳入</w:t>
      </w:r>
      <w:r>
        <w:rPr>
          <w:rFonts w:hint="eastAsia" w:ascii="仿宋_GB2312" w:hAnsi="仿宋_GB2312" w:eastAsia="仿宋_GB2312" w:cs="仿宋_GB2312"/>
          <w:b w:val="0"/>
          <w:bCs/>
          <w:color w:val="auto"/>
          <w:sz w:val="32"/>
          <w:szCs w:val="32"/>
          <w:lang w:val="en-US" w:eastAsia="zh-CN"/>
        </w:rPr>
        <w:t>纳雍</w:t>
      </w:r>
      <w:r>
        <w:rPr>
          <w:rFonts w:hint="eastAsia" w:ascii="仿宋_GB2312" w:hAnsi="仿宋_GB2312" w:eastAsia="仿宋_GB2312" w:cs="仿宋_GB2312"/>
          <w:b w:val="0"/>
          <w:bCs/>
          <w:color w:val="auto"/>
          <w:sz w:val="32"/>
          <w:szCs w:val="32"/>
          <w:lang w:eastAsia="zh-CN"/>
        </w:rPr>
        <w:t>县</w:t>
      </w:r>
      <w:r>
        <w:rPr>
          <w:rFonts w:hint="eastAsia" w:ascii="仿宋_GB2312" w:hAnsi="仿宋_GB2312" w:eastAsia="仿宋_GB2312" w:cs="仿宋_GB2312"/>
          <w:b w:val="0"/>
          <w:bCs/>
          <w:color w:val="auto"/>
          <w:sz w:val="32"/>
          <w:szCs w:val="32"/>
          <w:lang w:val="en-US" w:eastAsia="zh-CN"/>
        </w:rPr>
        <w:t>十四五</w:t>
      </w:r>
      <w:r>
        <w:rPr>
          <w:rFonts w:hint="eastAsia" w:ascii="仿宋_GB2312" w:hAnsi="仿宋_GB2312" w:eastAsia="仿宋_GB2312" w:cs="仿宋_GB2312"/>
          <w:b w:val="0"/>
          <w:bCs/>
          <w:color w:val="auto"/>
          <w:sz w:val="32"/>
          <w:szCs w:val="32"/>
          <w:lang w:eastAsia="zh-CN"/>
        </w:rPr>
        <w:t>规划，</w:t>
      </w:r>
      <w:r>
        <w:rPr>
          <w:rFonts w:hint="eastAsia" w:ascii="仿宋_GB2312" w:hAnsi="仿宋_GB2312" w:eastAsia="仿宋_GB2312" w:cs="仿宋_GB2312"/>
          <w:b w:val="0"/>
          <w:bCs/>
          <w:color w:val="auto"/>
          <w:sz w:val="32"/>
          <w:szCs w:val="32"/>
        </w:rPr>
        <w:t>目前</w:t>
      </w:r>
      <w:r>
        <w:rPr>
          <w:rFonts w:hint="eastAsia" w:ascii="仿宋_GB2312" w:hAnsi="仿宋_GB2312" w:eastAsia="仿宋_GB2312" w:cs="仿宋_GB2312"/>
          <w:b w:val="0"/>
          <w:bCs/>
          <w:color w:val="auto"/>
          <w:sz w:val="32"/>
          <w:szCs w:val="32"/>
          <w:lang w:val="en-US" w:eastAsia="zh-CN"/>
        </w:rPr>
        <w:t>已完成意向性选址</w:t>
      </w:r>
      <w:r>
        <w:rPr>
          <w:rFonts w:hint="eastAsia" w:ascii="仿宋_GB2312" w:hAnsi="仿宋_GB2312" w:eastAsia="仿宋_GB2312" w:cs="仿宋_GB2312"/>
          <w:b w:val="0"/>
          <w:bCs/>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项目业主单位联系方式：</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电话：0857-3521485     邮箱：gznynyj</w:t>
      </w:r>
      <w:r>
        <w:rPr>
          <w:rFonts w:hint="eastAsia" w:ascii="仿宋" w:hAnsi="仿宋" w:eastAsia="仿宋" w:cs="仿宋"/>
          <w:color w:val="auto"/>
          <w:sz w:val="32"/>
          <w:szCs w:val="32"/>
          <w:lang w:val="en-US" w:eastAsia="zh-CN"/>
        </w:rPr>
        <w:t>@126.com</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主要负责人：王  鑫      手机：13885750872</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联  系  人：顾怀龙      手机：13595730831 </w:t>
      </w:r>
    </w:p>
    <w:sectPr>
      <w:pgSz w:w="11906" w:h="16838"/>
      <w:pgMar w:top="2154"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AFF" w:usb1="C0007841" w:usb2="00000009" w:usb3="00000000" w:csb0="400001FF" w:csb1="FFFF0000"/>
  </w:font>
  <w:font w:name="宋体">
    <w:panose1 w:val="02010600030101010101"/>
    <w:charset w:val="7A"/>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2BE3525"/>
    <w:rsid w:val="583B6E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99"/>
    <w:pPr>
      <w:ind w:left="0" w:leftChars="0"/>
    </w:pPr>
    <w:rPr>
      <w:sz w:val="24"/>
    </w:rPr>
  </w:style>
  <w:style w:type="paragraph" w:styleId="3">
    <w:name w:val="Body Text Indent"/>
    <w:basedOn w:val="1"/>
    <w:qFormat/>
    <w:uiPriority w:val="99"/>
    <w:pPr>
      <w:ind w:left="420" w:leftChars="200"/>
    </w:pPr>
    <w:rPr>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2021-04-07T09:51:00Z</dcterms:created>
  <dc:creator>1022</dc:creator>
  <cp:lastModifiedBy>二锅头</cp:lastModifiedBy>
  <dcterms:modified xsi:type="dcterms:W3CDTF">2021-04-09T08:50:48Z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