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widowControl/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水月产业园区年产25万吨生物饲料项目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特色农业产业精深加工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广东海大集团股份有限公司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目前准备与广东海大集团股份有限公司签订项目招商引资协议，正在进行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选址及相关手续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建设2条畜禽颗粒饲料生产线、1条蛋鸡粉料生产线，选址于水月产业园区小屯片区，占地面积约为60亩，项目全部建成后投产后实现年产饲料25万吨，年产值约7亿元。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万元，投资回收期为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30" w:lineRule="exact"/>
        <w:ind w:right="21" w:rightChars="10" w:firstLine="640" w:firstLineChars="200"/>
        <w:outlineLvl w:val="1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九、优惠政策及扶持条件：根据《自然资源部办公厅产业用地政策实施工作指引（2019年版）的通知》（自然资办发〔2019〕31号）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《省委、省政府关于加强招商引资工作进一步扩大开放的意见》(黔党发〔2010〕18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号)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、《省委、省政府关于进一步加快全省民营经济发展的意见》(黔党发〔2011〕10号)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、《六盘水市钟山区关于支持重点产业发展、加快产业转型优惠政策的实施办法》（区办通字〔2016〕123号），结合实际给予公司产业扶持资金。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主要负责人：刘文刚     手机：15685917788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F19C8"/>
    <w:rsid w:val="1EAA560B"/>
    <w:rsid w:val="23CF65F9"/>
    <w:rsid w:val="259152E7"/>
    <w:rsid w:val="26B31B4E"/>
    <w:rsid w:val="2AD650CE"/>
    <w:rsid w:val="2EBD5C67"/>
    <w:rsid w:val="33F216B1"/>
    <w:rsid w:val="3EB27B16"/>
    <w:rsid w:val="52991C96"/>
    <w:rsid w:val="52BE3525"/>
    <w:rsid w:val="537B5D18"/>
    <w:rsid w:val="5D72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uiPriority w:val="0"/>
    <w:pPr>
      <w:ind w:firstLine="200" w:firstLineChars="200"/>
    </w:pPr>
    <w:rPr>
      <w:rFonts w:ascii="Calibri" w:hAnsi="Calibri" w:eastAsia="宋体" w:cs="Times New Roman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宋振宇</cp:lastModifiedBy>
  <dcterms:modified xsi:type="dcterms:W3CDTF">2021-04-12T03:01:50Z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  <property fmtid="{D5CDD505-2E9C-101B-9397-08002B2CF9AE}" pid="3" name="ICV">
    <vt:lpwstr>7AF88DE6B9C44464B46C632F26FAE380</vt:lpwstr>
  </property>
</Properties>
</file>