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板栗深加工项目说明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板栗深加工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精品水果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望谟县农业农村局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独资或合资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正在筹备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项目占地面积50余亩，拟建设板栗精深加工产一座，含分拣车间生产线3条，无菌加工车间800平方米，板栗食品研发中心400平方米，配套冷库设施1000立方米，及其他附属基础设施。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项目总投资10000万元，建成后年产值5000万元，利润1500万元，投资回收期为4年。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协助解决建设用地，可根据产业投向，积极帮助投资方申报项目，争取国家资金扶持。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电话：0859-4610377  传真:0859-4610377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邮箱：3178787413@qq.com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黄经丰    手机：15685995444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赵久云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手机：18798001519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6348C"/>
    <w:rsid w:val="2CB37BA2"/>
    <w:rsid w:val="351140C2"/>
    <w:rsid w:val="37F03C69"/>
    <w:rsid w:val="524D33D0"/>
    <w:rsid w:val="52BE3525"/>
    <w:rsid w:val="65E05D1D"/>
    <w:rsid w:val="70EA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2021-04-12T07:33:24Z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94A423B62901431C9D77561780944F85</vt:lpwstr>
  </property>
</Properties>
</file>