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2A" w:rsidRDefault="00A73FA1">
      <w:pPr>
        <w:spacing w:line="576" w:lineRule="exac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5A162A" w:rsidRDefault="005A162A">
      <w:pPr>
        <w:spacing w:line="576" w:lineRule="exact"/>
        <w:textAlignment w:val="baseline"/>
        <w:rPr>
          <w:sz w:val="20"/>
        </w:rPr>
      </w:pPr>
    </w:p>
    <w:p w:rsidR="005A162A" w:rsidRDefault="00A73FA1">
      <w:pPr>
        <w:spacing w:line="576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贵州水之源新农业科技发展有限公司生态渔业</w:t>
      </w:r>
      <w:r w:rsidR="00FD6890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建设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5A162A" w:rsidRDefault="005A162A">
      <w:pPr>
        <w:spacing w:line="576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项目名称：贵州水之源新农业科技发展有限公司</w:t>
      </w:r>
      <w:r w:rsidR="00FD6890">
        <w:rPr>
          <w:rFonts w:ascii="仿宋_GB2312" w:eastAsia="仿宋_GB2312" w:hAnsi="仿宋_GB2312" w:cs="仿宋_GB2312" w:hint="eastAsia"/>
          <w:sz w:val="32"/>
          <w:szCs w:val="32"/>
        </w:rPr>
        <w:t>生态渔业建设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项目推介类别：生态渔业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项目业主单位：贵州水之源新农业科技发展有限公司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合作方式：合作开发冷水鱼精深加工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项目现状：一期已建成投产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项目建设内容：商品鱼养殖场、鱼种苗繁殖及研究、精深加工、观光体验基地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4000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优惠政策及扶持条件：享受国家一切惠农政策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  <w:bookmarkStart w:id="0" w:name="_GoBack"/>
      <w:bookmarkEnd w:id="0"/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13595184520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>551100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主要负责人：黄义忠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13595184520</w:t>
      </w:r>
    </w:p>
    <w:p w:rsidR="005A162A" w:rsidRDefault="00A73FA1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联系人：翟兵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17785809526</w:t>
      </w:r>
    </w:p>
    <w:sectPr w:rsidR="005A162A" w:rsidSect="005A162A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162A"/>
    <w:rsid w:val="005A162A"/>
    <w:rsid w:val="00A73FA1"/>
    <w:rsid w:val="00FD6890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6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3</cp:revision>
  <dcterms:created xsi:type="dcterms:W3CDTF">2021-04-07T09:51:00Z</dcterms:created>
  <dcterms:modified xsi:type="dcterms:W3CDTF">2021-04-08T05:23:00Z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