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金沙县酱醋产业园建设项目说明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金沙县酱醋产业园建设项目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金沙县农业产业发展服务中心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独资、合作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完成项目可行性研究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规划占地1000亩，规划建成集原材料生产、酱醋酿造、销售、酱醋文化旅游，醋业康养为一体化的酱醋产业园。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财务指标分析：项目总投资10000万元，建成后产值11000万元，利润3000万元，投资回收期为3.5年。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《国务院办公厅关于进一步促进农产品加工业发展的意见》(国办发[2016]93号)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金沙县招商引资优惠奖励暂行办法》等。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成本要素电、水等均供应充足，且具有相对较低的价格。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业用地：全县工业用地价格均以成本价提供。劳动力：全县富余劳动力常年保有量14万，月最低工资1670元，普工工资人均较广东省低1500-2000元/月。用电：境内有黔北发电总厂，总装机容量180MW；茶园电厂，总装机容量132MW;目前，县内普通工业电价在0.54元/千瓦时左右，大工业电价在0.48元/千瓦时左右。且金沙县已纳入全国第五批增量配电业务改革试点，后续用电成本将大大降低。用水：工业用水3.00元/立方米。天然气：3.5元/立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电话：0857-7221371      邮箱：631201558@qq.com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主要负责人：王文超      手机：14786141999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联系人：王有盈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手机：15597969188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66033"/>
    <w:rsid w:val="06A829B8"/>
    <w:rsid w:val="08F464B0"/>
    <w:rsid w:val="0CD265F7"/>
    <w:rsid w:val="0EA66375"/>
    <w:rsid w:val="137B2D87"/>
    <w:rsid w:val="153E21DB"/>
    <w:rsid w:val="175522C6"/>
    <w:rsid w:val="1D6E1D24"/>
    <w:rsid w:val="305864B9"/>
    <w:rsid w:val="3C1637BB"/>
    <w:rsid w:val="3D861D99"/>
    <w:rsid w:val="49696884"/>
    <w:rsid w:val="4AE7246C"/>
    <w:rsid w:val="52AC541F"/>
    <w:rsid w:val="52BE3525"/>
    <w:rsid w:val="593C17D9"/>
    <w:rsid w:val="6605416C"/>
    <w:rsid w:val="71DB509F"/>
    <w:rsid w:val="73784F82"/>
    <w:rsid w:val="74FA0C9C"/>
    <w:rsid w:val="797A2876"/>
    <w:rsid w:val="7A8E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2021-04-09T03:21:51Z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E1197B06A84D43BDADABA81F262FD4FB</vt:lpwstr>
  </property>
</Properties>
</file>