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ascii="黑体" w:hAnsi="黑体" w:eastAsia="黑体" w:cs="黑体"/>
          <w:sz w:val="32"/>
          <w:szCs w:val="32"/>
        </w:rPr>
      </w:pPr>
      <w:r>
        <w:rPr>
          <w:rFonts w:hint="eastAsia" w:ascii="黑体" w:hAnsi="黑体" w:eastAsia="黑体" w:cs="黑体"/>
          <w:sz w:val="32"/>
          <w:szCs w:val="32"/>
        </w:rPr>
        <w:t>附件2</w:t>
      </w:r>
    </w:p>
    <w:p>
      <w:pPr>
        <w:spacing w:line="576" w:lineRule="exact"/>
      </w:pPr>
    </w:p>
    <w:p>
      <w:pPr>
        <w:spacing w:line="576"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省级五十亿级淫羊藿优势特色产业集群项目项目说明</w:t>
      </w:r>
    </w:p>
    <w:p>
      <w:pPr>
        <w:spacing w:line="576" w:lineRule="exact"/>
        <w:jc w:val="center"/>
        <w:rPr>
          <w:rFonts w:ascii="方正小标宋简体" w:hAnsi="方正小标宋简体" w:eastAsia="方正小标宋简体" w:cs="方正小标宋简体"/>
          <w:sz w:val="44"/>
          <w:szCs w:val="44"/>
        </w:rPr>
      </w:pPr>
    </w:p>
    <w:p>
      <w:pPr>
        <w:spacing w:line="576"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r>
        <w:rPr>
          <w:rFonts w:hint="eastAsia" w:ascii="仿宋_GB2312" w:hAnsi="仿宋_GB2312" w:eastAsia="仿宋_GB2312" w:cs="仿宋_GB2312"/>
          <w:sz w:val="32"/>
          <w:szCs w:val="32"/>
          <w:lang w:val="en-US" w:eastAsia="zh-CN"/>
        </w:rPr>
        <w:t>省级五十亿级淫羊藿优势特色产业集群项目</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项目推介类别：农业特色产业</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项目建设性质：新建</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项目业主单位：国药集团同济堂（贵州）制药有限公司</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合作方式：合作</w:t>
      </w:r>
      <w:bookmarkStart w:id="0" w:name="_GoBack"/>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项目现状：目前省内共有以淫羊藿为原料的中成药产</w:t>
      </w:r>
      <w:bookmarkEnd w:id="0"/>
      <w:r>
        <w:rPr>
          <w:rFonts w:hint="eastAsia" w:ascii="仿宋_GB2312" w:hAnsi="仿宋_GB2312" w:eastAsia="仿宋_GB2312" w:cs="仿宋_GB2312"/>
          <w:sz w:val="32"/>
          <w:szCs w:val="32"/>
        </w:rPr>
        <w:t>品12个，如国药集团同济堂（贵州）制药有限公司的仙灵骨葆系列产品、贵州富华药业有限责任公司的骨松宝颗粒、贵阳德昌祥药业有限公司的芪胶升白胶囊等，年产值过亿的产品有3个，全省含淫羊藿原料的中成药年总产值超过15亿元。目前贵州省中成药企业的淫羊藿原料每年需求量超过3500吨，为国内淫羊藿原料用量最大的省区。贵州省分布的18个淫羊藿野生物种，多为非药典收载品种，不符合市场的需求，省内的中药饮片、中成药企业使用的淫羊藿药材原料，主要来源于四川、重庆、甘肃、陕西等其它省（市）。</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贵州省具有独立知识产权的淫羊藿种质有3个，种植的淫羊藿质量均达到2020版《中国药典》标准。其中贵同箭叶2号为淫羊藿提取物生产的首选品种。目前的淫羊藿种子生产和育苗基地，只能满足5000余亩淫羊藿药材种植需求。</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内容：在原有基础上，收集淫羊藿种质资源，进一步丰富资源圃的种类与不同居群种质，新增淫羊藿种质资源5～10个，新增种质2000份。选育淫羊藿优良种质2~3个，申请新品种保护并获得授权2～3个，申请省级品种认定并获得通过2个。针对选育的优质淫羊藿品种，制订企业种子质量标准2个，种苗质量标准2个，种子生产标准操作规程2个，种苗生产标准操作规程2个，药材种植生产标准操作规程2个，淫羊藿专用肥料内控质量标准、淫羊藿专用育苗基质内控质量标准，申请淫羊藿国际标准（ISO/TC 249）。扩建箭叶淫羊藿及柔毛淫羊藿采种基地420亩；扩建箭叶淫羊藿及柔毛淫羊藿育苗基地1210亩。采用“政府+公司+合作社/产地公司+农户”、“政府+公司+合作社”及企业与专业合作社共建的“定制药园”模式，建立标准化高产或林下生态种植基地。根据箭叶淫羊藿、柔毛淫羊藿适宜生长条件选址，在贵州省适宜区推广高产基地种植0.75万亩，林下种植12.0万亩。在从江县、江口县等推广种植集中区域建设产地加工厂及仓储设施。将中药饮片生产加工能力提升为9000吨/年；促进饮片生产企业在满足省内原料需求的基础上，积极开发省外及国际市场。支持省内深加工企业对现有淫羊藿产品进行深度开发、品质提升、品牌建设、市场推广、产能提升等工作，提高现有产品市场占有份额及产值；支持企业开发淫羊藿提取物、保健食品等新产品、新业务，拓展淫羊藿产业发展方向；引导白酒或保健品生产企业，开发淫羊藿酒、保健食品等产品，使省内淫羊藿产品多样化。引进生产劲酒的劲牌公司、生产汇仁肾宝合剂的江西汇仁药业、阿可拉定生产企业山东珅诺基药业有限公司等淫羊藿产品生产企业到贵州建立深加工生产厂、淫羊藿提取物厂或与省内具备提取物产能的企业合作生产淫羊藿提取物。</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财务指标分析：项目总投资114450万元，建成后产值509860万元，利润</w:t>
      </w:r>
      <w:r>
        <w:rPr>
          <w:rFonts w:ascii="仿宋_GB2312" w:hAnsi="仿宋_GB2312" w:eastAsia="仿宋_GB2312" w:cs="仿宋_GB2312"/>
          <w:sz w:val="32"/>
          <w:szCs w:val="32"/>
        </w:rPr>
        <w:t>30000</w:t>
      </w:r>
      <w:r>
        <w:rPr>
          <w:rFonts w:hint="eastAsia" w:ascii="仿宋_GB2312" w:hAnsi="仿宋_GB2312" w:eastAsia="仿宋_GB2312" w:cs="仿宋_GB2312"/>
          <w:sz w:val="32"/>
          <w:szCs w:val="32"/>
        </w:rPr>
        <w:t>万元，投资回收期为</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优惠政策及扶持条件：农业农村部办公厅 财政部办公厅关于开展优势特色产业集群建设的通知（农办计财〔2020〕7号）</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项目业主单位联系方式：国药集团同济堂（贵州）制药有限公司</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电话：</w:t>
      </w:r>
      <w:r>
        <w:rPr>
          <w:rFonts w:ascii="仿宋_GB2312" w:hAnsi="仿宋_GB2312" w:eastAsia="仿宋_GB2312" w:cs="仿宋_GB2312"/>
          <w:sz w:val="32"/>
          <w:szCs w:val="32"/>
        </w:rPr>
        <w:t>0851-88354340</w:t>
      </w:r>
      <w:r>
        <w:rPr>
          <w:rFonts w:hint="eastAsia" w:ascii="仿宋_GB2312" w:hAnsi="仿宋_GB2312" w:eastAsia="仿宋_GB2312" w:cs="仿宋_GB2312"/>
          <w:sz w:val="32"/>
          <w:szCs w:val="32"/>
        </w:rPr>
        <w:t xml:space="preserve"> 传真:无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邮箱：</w:t>
      </w:r>
      <w:r>
        <w:rPr>
          <w:rFonts w:ascii="仿宋_GB2312" w:hAnsi="仿宋_GB2312" w:eastAsia="仿宋_GB2312" w:cs="仿宋_GB2312"/>
          <w:sz w:val="32"/>
          <w:szCs w:val="32"/>
        </w:rPr>
        <w:t>11495113</w:t>
      </w:r>
      <w:r>
        <w:rPr>
          <w:rFonts w:hint="eastAsia" w:ascii="仿宋_GB2312" w:hAnsi="仿宋_GB2312" w:eastAsia="仿宋_GB2312" w:cs="仿宋_GB2312"/>
          <w:sz w:val="32"/>
          <w:szCs w:val="32"/>
        </w:rPr>
        <w:t>@qq.com</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主要负责人：孙宜春     手机：18198152839</w:t>
      </w:r>
    </w:p>
    <w:p>
      <w:pPr>
        <w:spacing w:line="576"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联系人：庞媛媛         手机：13511986225</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78C"/>
    <w:rsid w:val="00017212"/>
    <w:rsid w:val="00283CBF"/>
    <w:rsid w:val="00331414"/>
    <w:rsid w:val="005C0946"/>
    <w:rsid w:val="007431D0"/>
    <w:rsid w:val="007D4D85"/>
    <w:rsid w:val="009009E1"/>
    <w:rsid w:val="009507CC"/>
    <w:rsid w:val="009B44A3"/>
    <w:rsid w:val="00C1378C"/>
    <w:rsid w:val="07DA5216"/>
    <w:rsid w:val="1B257594"/>
    <w:rsid w:val="27477F5C"/>
    <w:rsid w:val="52BE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line="360" w:lineRule="auto"/>
      <w:ind w:firstLine="200" w:firstLineChars="200"/>
      <w:jc w:val="left"/>
      <w:outlineLvl w:val="1"/>
    </w:pPr>
    <w:rPr>
      <w:rFonts w:ascii="Cambria" w:hAnsi="Cambria" w:cs="Times New Roman"/>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0"/>
    <w:pPr>
      <w:ind w:firstLine="200" w:firstLineChars="200"/>
    </w:pPr>
  </w:style>
  <w:style w:type="character" w:customStyle="1" w:styleId="8">
    <w:name w:val="页眉 字符"/>
    <w:basedOn w:val="6"/>
    <w:link w:val="4"/>
    <w:qFormat/>
    <w:uiPriority w:val="0"/>
    <w:rPr>
      <w:kern w:val="2"/>
      <w:sz w:val="18"/>
      <w:szCs w:val="18"/>
    </w:rPr>
  </w:style>
  <w:style w:type="character" w:customStyle="1" w:styleId="9">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217</Words>
  <Characters>1237</Characters>
  <Lines>10</Lines>
  <Paragraphs>2</Paragraphs>
  <TotalTime>0</TotalTime>
  <ScaleCrop>false</ScaleCrop>
  <LinksUpToDate>false</LinksUpToDate>
  <CharactersWithSpaces>1452</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嘭小嘭</cp:lastModifiedBy>
  <dcterms:modified xsi:type="dcterms:W3CDTF">2021-04-12T09:50:33Z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