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ascii="华文中宋" w:hAnsi="华文中宋" w:eastAsia="华文中宋"/>
          <w:sz w:val="36"/>
          <w:szCs w:val="36"/>
        </w:rPr>
        <w:t>20</w:t>
      </w:r>
      <w:r>
        <w:rPr>
          <w:rFonts w:hint="eastAsia" w:ascii="华文中宋" w:hAnsi="华文中宋" w:eastAsia="华文中宋"/>
          <w:sz w:val="36"/>
          <w:szCs w:val="36"/>
        </w:rPr>
        <w:t>17</w:t>
      </w:r>
      <w:r>
        <w:rPr>
          <w:rFonts w:ascii="华文中宋" w:hAnsi="华文中宋" w:eastAsia="华文中宋"/>
          <w:sz w:val="36"/>
          <w:szCs w:val="36"/>
        </w:rPr>
        <w:t>年</w:t>
      </w:r>
      <w:r>
        <w:rPr>
          <w:rFonts w:hint="eastAsia" w:ascii="华文中宋" w:hAnsi="华文中宋" w:eastAsia="华文中宋"/>
          <w:sz w:val="36"/>
          <w:szCs w:val="36"/>
        </w:rPr>
        <w:t>贵州省绿色</w:t>
      </w:r>
      <w:r>
        <w:rPr>
          <w:rFonts w:ascii="华文中宋" w:hAnsi="华文中宋" w:eastAsia="华文中宋"/>
          <w:sz w:val="36"/>
          <w:szCs w:val="36"/>
        </w:rPr>
        <w:t>高产</w:t>
      </w:r>
      <w:r>
        <w:rPr>
          <w:rFonts w:hint="eastAsia" w:ascii="华文中宋" w:hAnsi="华文中宋" w:eastAsia="华文中宋"/>
          <w:sz w:val="36"/>
          <w:szCs w:val="36"/>
        </w:rPr>
        <w:t>高效创建</w:t>
      </w:r>
    </w:p>
    <w:p>
      <w:pPr>
        <w:spacing w:line="560" w:lineRule="exact"/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茶叶技术指导意见</w:t>
      </w:r>
    </w:p>
    <w:p>
      <w:pPr>
        <w:spacing w:line="560" w:lineRule="exact"/>
        <w:jc w:val="center"/>
        <w:rPr>
          <w:rFonts w:ascii="宋体" w:hAnsi="宋体" w:cs="宋体"/>
          <w:b/>
          <w:sz w:val="32"/>
        </w:rPr>
      </w:pPr>
      <w:r>
        <w:rPr>
          <w:rFonts w:hint="eastAsia" w:ascii="华文中宋" w:hAnsi="华文中宋" w:eastAsia="华文中宋"/>
          <w:sz w:val="36"/>
          <w:szCs w:val="36"/>
        </w:rPr>
        <w:t>（</w:t>
      </w:r>
      <w:r>
        <w:rPr>
          <w:rFonts w:hint="eastAsia" w:ascii="宋体" w:hAnsi="宋体" w:cs="宋体"/>
          <w:b/>
          <w:sz w:val="32"/>
        </w:rPr>
        <w:t>贵州省绿色高产高效创建活动技术指导小组）</w:t>
      </w:r>
    </w:p>
    <w:p>
      <w:pPr>
        <w:adjustRightInd w:val="0"/>
        <w:spacing w:line="560" w:lineRule="exact"/>
        <w:ind w:firstLine="482" w:firstLineChars="200"/>
        <w:rPr>
          <w:rFonts w:ascii="黑体" w:hAnsi="宋体" w:eastAsia="黑体"/>
          <w:b/>
          <w:color w:val="000000"/>
          <w:sz w:val="24"/>
        </w:rPr>
      </w:pPr>
    </w:p>
    <w:p>
      <w:pPr>
        <w:pStyle w:val="7"/>
        <w:spacing w:line="560" w:lineRule="exact"/>
        <w:rPr>
          <w:bCs/>
          <w:szCs w:val="32"/>
        </w:rPr>
      </w:pPr>
      <w:r>
        <w:rPr>
          <w:rFonts w:hint="eastAsia"/>
          <w:bCs/>
          <w:szCs w:val="32"/>
        </w:rPr>
        <w:t>一、产量与效益目标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茶叶</w:t>
      </w:r>
      <w:r>
        <w:rPr>
          <w:rFonts w:hAnsi="仿宋" w:eastAsia="仿宋"/>
          <w:color w:val="000000"/>
          <w:kern w:val="0"/>
          <w:sz w:val="32"/>
          <w:szCs w:val="32"/>
        </w:rPr>
        <w:t>平均亩产</w:t>
      </w:r>
      <w:r>
        <w:rPr>
          <w:rFonts w:hint="eastAsia" w:hAnsi="仿宋" w:eastAsia="仿宋"/>
          <w:color w:val="000000"/>
          <w:kern w:val="0"/>
          <w:sz w:val="32"/>
          <w:szCs w:val="32"/>
        </w:rPr>
        <w:t>较上年增产5%</w:t>
      </w:r>
      <w:r>
        <w:rPr>
          <w:rFonts w:hAnsi="仿宋" w:eastAsia="仿宋"/>
          <w:color w:val="000000"/>
          <w:kern w:val="0"/>
          <w:sz w:val="32"/>
          <w:szCs w:val="32"/>
        </w:rPr>
        <w:t>以上，节本增效</w:t>
      </w:r>
      <w:r>
        <w:rPr>
          <w:rFonts w:hint="eastAsia" w:hAnsi="仿宋" w:eastAsia="仿宋"/>
          <w:color w:val="000000"/>
          <w:kern w:val="0"/>
          <w:sz w:val="32"/>
          <w:szCs w:val="32"/>
        </w:rPr>
        <w:t>10%以上</w:t>
      </w:r>
      <w:r>
        <w:rPr>
          <w:rFonts w:hint="eastAsia" w:eastAsia="仿宋_GB2312"/>
          <w:sz w:val="32"/>
          <w:szCs w:val="32"/>
        </w:rPr>
        <w:t>。</w:t>
      </w:r>
      <w:bookmarkStart w:id="0" w:name="_GoBack"/>
      <w:bookmarkEnd w:id="0"/>
    </w:p>
    <w:p>
      <w:pPr>
        <w:pStyle w:val="7"/>
        <w:spacing w:line="560" w:lineRule="exact"/>
        <w:rPr>
          <w:bCs/>
          <w:szCs w:val="32"/>
        </w:rPr>
      </w:pPr>
      <w:r>
        <w:rPr>
          <w:rFonts w:hint="eastAsia"/>
          <w:bCs/>
          <w:szCs w:val="32"/>
        </w:rPr>
        <w:t>二、技术要求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Ansi="仿宋" w:eastAsia="仿宋"/>
          <w:color w:val="000000"/>
          <w:kern w:val="0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1、</w:t>
      </w:r>
      <w:r>
        <w:rPr>
          <w:rFonts w:hAnsi="仿宋" w:eastAsia="仿宋"/>
          <w:color w:val="000000"/>
          <w:kern w:val="0"/>
          <w:sz w:val="32"/>
          <w:szCs w:val="32"/>
        </w:rPr>
        <w:t>绿色</w:t>
      </w:r>
      <w:r>
        <w:rPr>
          <w:rFonts w:hint="eastAsia" w:hAnsi="仿宋" w:eastAsia="仿宋"/>
          <w:color w:val="000000"/>
          <w:kern w:val="0"/>
          <w:sz w:val="32"/>
          <w:szCs w:val="32"/>
        </w:rPr>
        <w:t>高</w:t>
      </w:r>
      <w:r>
        <w:rPr>
          <w:rFonts w:hAnsi="仿宋" w:eastAsia="仿宋"/>
          <w:color w:val="000000"/>
          <w:kern w:val="0"/>
          <w:sz w:val="32"/>
          <w:szCs w:val="32"/>
        </w:rPr>
        <w:t>产</w:t>
      </w:r>
      <w:r>
        <w:rPr>
          <w:rFonts w:hint="eastAsia" w:hAnsi="仿宋" w:eastAsia="仿宋"/>
          <w:color w:val="000000"/>
          <w:kern w:val="0"/>
          <w:sz w:val="32"/>
          <w:szCs w:val="32"/>
        </w:rPr>
        <w:t>高效</w:t>
      </w:r>
      <w:r>
        <w:rPr>
          <w:rFonts w:hAnsi="仿宋" w:eastAsia="仿宋"/>
          <w:color w:val="000000"/>
          <w:kern w:val="0"/>
          <w:sz w:val="32"/>
          <w:szCs w:val="32"/>
        </w:rPr>
        <w:t>模式应用率、优质良种覆盖率、规范化栽培技术覆盖率、无公害栽培技术覆盖率、绿色防控技术覆盖率</w:t>
      </w:r>
      <w:r>
        <w:rPr>
          <w:rFonts w:hint="eastAsia" w:hAnsi="仿宋" w:eastAsia="仿宋"/>
          <w:color w:val="000000"/>
          <w:kern w:val="0"/>
          <w:sz w:val="32"/>
          <w:szCs w:val="32"/>
        </w:rPr>
        <w:t>、</w:t>
      </w:r>
      <w:r>
        <w:rPr>
          <w:rFonts w:hAnsi="仿宋" w:eastAsia="仿宋"/>
          <w:color w:val="000000"/>
          <w:kern w:val="0"/>
          <w:sz w:val="32"/>
          <w:szCs w:val="32"/>
        </w:rPr>
        <w:t>配方肥</w:t>
      </w:r>
      <w:r>
        <w:rPr>
          <w:rFonts w:hint="eastAsia" w:hAnsi="仿宋" w:eastAsia="仿宋"/>
          <w:color w:val="000000"/>
          <w:kern w:val="0"/>
          <w:sz w:val="32"/>
          <w:szCs w:val="32"/>
        </w:rPr>
        <w:t>（茶叶专用肥）</w:t>
      </w:r>
      <w:r>
        <w:rPr>
          <w:rFonts w:hAnsi="仿宋" w:eastAsia="仿宋"/>
          <w:color w:val="000000"/>
          <w:kern w:val="0"/>
          <w:sz w:val="32"/>
          <w:szCs w:val="32"/>
        </w:rPr>
        <w:t>覆盖率均达</w:t>
      </w:r>
      <w:r>
        <w:rPr>
          <w:rFonts w:eastAsia="仿宋"/>
          <w:color w:val="000000"/>
          <w:kern w:val="0"/>
          <w:sz w:val="32"/>
          <w:szCs w:val="32"/>
        </w:rPr>
        <w:t>100%</w:t>
      </w:r>
      <w:r>
        <w:rPr>
          <w:rFonts w:hint="eastAsia" w:hAnsi="仿宋" w:eastAsia="仿宋"/>
          <w:color w:val="000000"/>
          <w:kern w:val="0"/>
          <w:sz w:val="32"/>
          <w:szCs w:val="32"/>
        </w:rPr>
        <w:t>。</w:t>
      </w:r>
    </w:p>
    <w:p>
      <w:pPr>
        <w:widowControl/>
        <w:adjustRightIn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2、项目区全面禁止使用草甘膦、催芽素及高毒高残留水溶性化学农药。化肥使用量减少5%以上，产品质量全面达到无公害农产品标准。</w:t>
      </w:r>
    </w:p>
    <w:p>
      <w:pPr>
        <w:widowControl/>
        <w:adjustRightInd w:val="0"/>
        <w:spacing w:line="560" w:lineRule="exact"/>
        <w:ind w:firstLine="640" w:firstLineChars="200"/>
        <w:rPr>
          <w:rFonts w:eastAsia="仿宋"/>
          <w:bCs/>
          <w:color w:val="000000"/>
          <w:kern w:val="0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3、</w:t>
      </w:r>
      <w:r>
        <w:rPr>
          <w:rFonts w:eastAsia="仿宋"/>
          <w:bCs/>
          <w:color w:val="000000"/>
          <w:kern w:val="0"/>
          <w:sz w:val="32"/>
          <w:szCs w:val="32"/>
        </w:rPr>
        <w:t>新建茶</w:t>
      </w:r>
      <w:r>
        <w:rPr>
          <w:rFonts w:hint="eastAsia" w:eastAsia="仿宋"/>
          <w:bCs/>
          <w:color w:val="000000"/>
          <w:kern w:val="0"/>
          <w:sz w:val="32"/>
          <w:szCs w:val="32"/>
        </w:rPr>
        <w:t>园</w:t>
      </w:r>
      <w:r>
        <w:rPr>
          <w:rFonts w:eastAsia="仿宋"/>
          <w:bCs/>
          <w:color w:val="000000"/>
          <w:kern w:val="0"/>
          <w:sz w:val="32"/>
          <w:szCs w:val="32"/>
        </w:rPr>
        <w:t>无性系良种覆盖率100%，优先选用黔茶</w:t>
      </w:r>
      <w:r>
        <w:rPr>
          <w:rFonts w:hint="eastAsia" w:eastAsia="仿宋"/>
          <w:bCs/>
          <w:color w:val="000000"/>
          <w:kern w:val="0"/>
          <w:sz w:val="32"/>
          <w:szCs w:val="32"/>
        </w:rPr>
        <w:t>1</w:t>
      </w:r>
      <w:r>
        <w:rPr>
          <w:rFonts w:eastAsia="仿宋"/>
          <w:bCs/>
          <w:color w:val="000000"/>
          <w:kern w:val="0"/>
          <w:sz w:val="32"/>
          <w:szCs w:val="32"/>
        </w:rPr>
        <w:t>号</w:t>
      </w:r>
      <w:r>
        <w:rPr>
          <w:rFonts w:hint="eastAsia" w:eastAsia="仿宋"/>
          <w:bCs/>
          <w:color w:val="000000"/>
          <w:kern w:val="0"/>
          <w:sz w:val="32"/>
          <w:szCs w:val="32"/>
        </w:rPr>
        <w:t>、</w:t>
      </w:r>
      <w:r>
        <w:rPr>
          <w:rFonts w:eastAsia="仿宋"/>
          <w:bCs/>
          <w:color w:val="000000"/>
          <w:kern w:val="0"/>
          <w:sz w:val="32"/>
          <w:szCs w:val="32"/>
        </w:rPr>
        <w:t>黔茶</w:t>
      </w:r>
      <w:r>
        <w:rPr>
          <w:rFonts w:hint="eastAsia" w:eastAsia="仿宋"/>
          <w:bCs/>
          <w:color w:val="000000"/>
          <w:kern w:val="0"/>
          <w:sz w:val="32"/>
          <w:szCs w:val="32"/>
        </w:rPr>
        <w:t>8号等本地培育品种以及</w:t>
      </w:r>
      <w:r>
        <w:rPr>
          <w:rFonts w:eastAsia="仿宋"/>
          <w:bCs/>
          <w:color w:val="000000"/>
          <w:kern w:val="0"/>
          <w:sz w:val="32"/>
          <w:szCs w:val="32"/>
        </w:rPr>
        <w:t>浙农系列、龙井43、福鼎大白、金观音等省外优质良种，注重品种合理搭配</w:t>
      </w:r>
      <w:r>
        <w:rPr>
          <w:rFonts w:hint="eastAsia" w:eastAsia="仿宋"/>
          <w:bCs/>
          <w:color w:val="000000"/>
          <w:kern w:val="0"/>
          <w:sz w:val="32"/>
          <w:szCs w:val="32"/>
        </w:rPr>
        <w:t>。</w:t>
      </w:r>
    </w:p>
    <w:p>
      <w:pPr>
        <w:widowControl/>
        <w:adjustRightInd w:val="0"/>
        <w:spacing w:line="560" w:lineRule="exact"/>
        <w:ind w:firstLine="640" w:firstLineChars="200"/>
        <w:rPr>
          <w:rFonts w:hAnsi="仿宋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bCs/>
          <w:color w:val="000000"/>
          <w:kern w:val="0"/>
          <w:sz w:val="32"/>
          <w:szCs w:val="32"/>
        </w:rPr>
        <w:t>4、</w:t>
      </w:r>
      <w:r>
        <w:rPr>
          <w:rFonts w:eastAsia="仿宋"/>
          <w:bCs/>
          <w:color w:val="000000"/>
          <w:kern w:val="0"/>
          <w:sz w:val="32"/>
          <w:szCs w:val="32"/>
        </w:rPr>
        <w:t>已建茶园除草</w:t>
      </w:r>
      <w:r>
        <w:rPr>
          <w:rFonts w:hint="eastAsia" w:eastAsia="仿宋"/>
          <w:bCs/>
          <w:color w:val="000000"/>
          <w:kern w:val="0"/>
          <w:sz w:val="32"/>
          <w:szCs w:val="32"/>
        </w:rPr>
        <w:t>机</w:t>
      </w:r>
      <w:r>
        <w:rPr>
          <w:rFonts w:eastAsia="仿宋"/>
          <w:bCs/>
          <w:color w:val="000000"/>
          <w:kern w:val="0"/>
          <w:sz w:val="32"/>
          <w:szCs w:val="32"/>
        </w:rPr>
        <w:t>、修剪机等茶园管理设备应用覆盖率100%，测土配方施肥、茶叶专用肥、茶树病虫害绿色防控示范有较大范围的推广。</w:t>
      </w:r>
    </w:p>
    <w:p>
      <w:pPr>
        <w:pStyle w:val="7"/>
        <w:spacing w:line="560" w:lineRule="exact"/>
        <w:ind w:firstLine="643"/>
        <w:rPr>
          <w:b/>
          <w:szCs w:val="32"/>
        </w:rPr>
      </w:pPr>
      <w:r>
        <w:rPr>
          <w:rFonts w:hint="eastAsia"/>
          <w:b/>
          <w:szCs w:val="32"/>
        </w:rPr>
        <w:t>三、技术策略与措施</w:t>
      </w:r>
    </w:p>
    <w:p>
      <w:pPr>
        <w:adjustRightInd w:val="0"/>
        <w:spacing w:line="560" w:lineRule="exact"/>
        <w:ind w:firstLine="643" w:firstLineChars="200"/>
        <w:rPr>
          <w:rStyle w:val="5"/>
          <w:rFonts w:ascii="楷体_GB2312" w:eastAsia="楷体_GB2312"/>
          <w:sz w:val="32"/>
          <w:szCs w:val="32"/>
        </w:rPr>
      </w:pPr>
      <w:r>
        <w:rPr>
          <w:rStyle w:val="5"/>
          <w:rFonts w:hint="eastAsia" w:ascii="楷体_GB2312" w:eastAsia="楷体_GB2312"/>
          <w:sz w:val="32"/>
          <w:szCs w:val="32"/>
          <w:lang w:val="en-US" w:eastAsia="zh-CN"/>
        </w:rPr>
        <w:t>1、</w:t>
      </w:r>
      <w:r>
        <w:rPr>
          <w:rStyle w:val="5"/>
          <w:rFonts w:hint="eastAsia" w:ascii="楷体_GB2312" w:eastAsia="楷体_GB2312"/>
          <w:sz w:val="32"/>
          <w:szCs w:val="32"/>
        </w:rPr>
        <w:t>技术策略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坚持“</w:t>
      </w:r>
      <w:r>
        <w:rPr>
          <w:rFonts w:eastAsia="仿宋_GB2312"/>
          <w:sz w:val="32"/>
          <w:szCs w:val="32"/>
        </w:rPr>
        <w:t>高产优质、节本增效、资源节约、环境友好</w:t>
      </w:r>
      <w:r>
        <w:rPr>
          <w:rFonts w:hint="eastAsia" w:eastAsia="仿宋_GB2312"/>
          <w:sz w:val="32"/>
          <w:szCs w:val="32"/>
        </w:rPr>
        <w:t>”的原则，新建茶园全面应用优质无性系良种，广泛集成茶叶先进栽培技术成果，积极开展试验研究，组装当地茶叶绿色高产高效技术体系，抓住关键、突出重点，提高品种和各项技术的覆盖率，实现高产高效。</w:t>
      </w:r>
    </w:p>
    <w:p>
      <w:pPr>
        <w:adjustRightInd w:val="0"/>
        <w:spacing w:line="560" w:lineRule="exact"/>
        <w:ind w:firstLine="643" w:firstLineChars="200"/>
        <w:rPr>
          <w:rStyle w:val="5"/>
          <w:rFonts w:ascii="楷体_GB2312" w:eastAsia="楷体_GB2312"/>
          <w:sz w:val="32"/>
          <w:szCs w:val="32"/>
        </w:rPr>
      </w:pPr>
      <w:r>
        <w:rPr>
          <w:rStyle w:val="5"/>
          <w:rFonts w:hint="eastAsia" w:ascii="楷体_GB2312" w:eastAsia="楷体_GB2312"/>
          <w:sz w:val="32"/>
          <w:szCs w:val="32"/>
          <w:lang w:val="en-US" w:eastAsia="zh-CN"/>
        </w:rPr>
        <w:t>2、</w:t>
      </w:r>
      <w:r>
        <w:rPr>
          <w:rStyle w:val="5"/>
          <w:rFonts w:hint="eastAsia" w:ascii="楷体_GB2312" w:eastAsia="楷体_GB2312"/>
          <w:sz w:val="32"/>
          <w:szCs w:val="32"/>
        </w:rPr>
        <w:t>关键技术措施</w:t>
      </w:r>
    </w:p>
    <w:p>
      <w:pPr>
        <w:adjustRightIn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项目区将以市场需求为导向，组装高产栽培技术，选用优质无性系良种，合理密植、病虫害绿色防控。统一使用优良品种、规范化栽培、配方肥、病虫害绿色防控等关键技术，重点抓好以下几个方面的工作。</w:t>
      </w:r>
    </w:p>
    <w:p>
      <w:pPr>
        <w:spacing w:line="560" w:lineRule="exact"/>
        <w:ind w:firstLine="643" w:firstLineChars="200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b/>
          <w:bCs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黑体" w:eastAsia="仿宋_GB2312"/>
          <w:b/>
          <w:bCs/>
          <w:color w:val="000000"/>
          <w:sz w:val="32"/>
          <w:szCs w:val="32"/>
        </w:rPr>
        <w:t>1</w:t>
      </w:r>
      <w:r>
        <w:rPr>
          <w:rFonts w:hint="eastAsia" w:ascii="仿宋_GB2312" w:hAnsi="黑体" w:eastAsia="仿宋_GB2312"/>
          <w:b/>
          <w:bCs/>
          <w:color w:val="000000"/>
          <w:sz w:val="32"/>
          <w:szCs w:val="32"/>
          <w:lang w:eastAsia="zh-CN"/>
        </w:rPr>
        <w:t>）</w:t>
      </w:r>
      <w:r>
        <w:rPr>
          <w:rFonts w:eastAsia="仿宋_GB2312"/>
          <w:b/>
          <w:bCs/>
          <w:color w:val="000000"/>
          <w:sz w:val="32"/>
          <w:szCs w:val="32"/>
        </w:rPr>
        <w:t>选好技术模式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新建茶园推行无性系良种+双行双株种植的密植免耕技术+茶园行间套种+病虫害绿色防控技术模式；已建茶园推行茶树病虫害绿色防控技术+人工采摘和机采结合技术模式。</w:t>
      </w:r>
    </w:p>
    <w:p>
      <w:pPr>
        <w:spacing w:line="560" w:lineRule="exact"/>
        <w:ind w:firstLine="643" w:firstLineChars="200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hint="eastAsia" w:eastAsia="仿宋_GB2312"/>
          <w:b/>
          <w:bCs/>
          <w:color w:val="000000"/>
          <w:sz w:val="32"/>
          <w:szCs w:val="32"/>
          <w:lang w:eastAsia="zh-CN"/>
        </w:rPr>
        <w:t>（</w:t>
      </w:r>
      <w:r>
        <w:rPr>
          <w:rFonts w:hint="eastAsia" w:eastAsia="仿宋_GB2312"/>
          <w:b/>
          <w:bCs/>
          <w:color w:val="000000"/>
          <w:sz w:val="32"/>
          <w:szCs w:val="32"/>
        </w:rPr>
        <w:t>2</w:t>
      </w:r>
      <w:r>
        <w:rPr>
          <w:rFonts w:hint="eastAsia" w:eastAsia="仿宋_GB2312"/>
          <w:b/>
          <w:bCs/>
          <w:color w:val="000000"/>
          <w:sz w:val="32"/>
          <w:szCs w:val="32"/>
          <w:lang w:eastAsia="zh-CN"/>
        </w:rPr>
        <w:t>）</w:t>
      </w:r>
      <w:r>
        <w:rPr>
          <w:rFonts w:eastAsia="仿宋_GB2312"/>
          <w:b/>
          <w:bCs/>
          <w:color w:val="000000"/>
          <w:sz w:val="32"/>
          <w:szCs w:val="32"/>
        </w:rPr>
        <w:t>全面推广优质品种</w:t>
      </w:r>
      <w:r>
        <w:rPr>
          <w:rFonts w:hint="eastAsia" w:eastAsia="仿宋_GB2312"/>
          <w:b/>
          <w:bCs/>
          <w:color w:val="000000"/>
          <w:sz w:val="32"/>
          <w:szCs w:val="32"/>
        </w:rPr>
        <w:t>和密植免耕栽培技术</w:t>
      </w:r>
    </w:p>
    <w:p>
      <w:pPr>
        <w:adjustRightIn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"/>
          <w:bCs/>
          <w:color w:val="000000"/>
          <w:kern w:val="0"/>
          <w:sz w:val="32"/>
          <w:szCs w:val="32"/>
        </w:rPr>
        <w:t>新建茶</w:t>
      </w:r>
      <w:r>
        <w:rPr>
          <w:rFonts w:hint="eastAsia" w:eastAsia="仿宋"/>
          <w:bCs/>
          <w:color w:val="000000"/>
          <w:kern w:val="0"/>
          <w:sz w:val="32"/>
          <w:szCs w:val="32"/>
        </w:rPr>
        <w:t>园</w:t>
      </w:r>
      <w:r>
        <w:rPr>
          <w:rFonts w:eastAsia="仿宋"/>
          <w:bCs/>
          <w:color w:val="000000"/>
          <w:kern w:val="0"/>
          <w:sz w:val="32"/>
          <w:szCs w:val="32"/>
        </w:rPr>
        <w:t>无性系良种覆盖率100%，优先选用黔茶</w:t>
      </w:r>
      <w:r>
        <w:rPr>
          <w:rFonts w:hint="eastAsia" w:eastAsia="仿宋"/>
          <w:bCs/>
          <w:color w:val="000000"/>
          <w:kern w:val="0"/>
          <w:sz w:val="32"/>
          <w:szCs w:val="32"/>
        </w:rPr>
        <w:t>1</w:t>
      </w:r>
      <w:r>
        <w:rPr>
          <w:rFonts w:eastAsia="仿宋"/>
          <w:bCs/>
          <w:color w:val="000000"/>
          <w:kern w:val="0"/>
          <w:sz w:val="32"/>
          <w:szCs w:val="32"/>
        </w:rPr>
        <w:t>号</w:t>
      </w:r>
      <w:r>
        <w:rPr>
          <w:rFonts w:hint="eastAsia" w:eastAsia="仿宋"/>
          <w:bCs/>
          <w:color w:val="000000"/>
          <w:kern w:val="0"/>
          <w:sz w:val="32"/>
          <w:szCs w:val="32"/>
        </w:rPr>
        <w:t>、</w:t>
      </w:r>
      <w:r>
        <w:rPr>
          <w:rFonts w:eastAsia="仿宋"/>
          <w:bCs/>
          <w:color w:val="000000"/>
          <w:kern w:val="0"/>
          <w:sz w:val="32"/>
          <w:szCs w:val="32"/>
        </w:rPr>
        <w:t>黔茶</w:t>
      </w:r>
      <w:r>
        <w:rPr>
          <w:rFonts w:hint="eastAsia" w:eastAsia="仿宋"/>
          <w:bCs/>
          <w:color w:val="000000"/>
          <w:kern w:val="0"/>
          <w:sz w:val="32"/>
          <w:szCs w:val="32"/>
        </w:rPr>
        <w:t>8号等本地培育品种以及</w:t>
      </w:r>
      <w:r>
        <w:rPr>
          <w:rFonts w:eastAsia="仿宋"/>
          <w:bCs/>
          <w:color w:val="000000"/>
          <w:kern w:val="0"/>
          <w:sz w:val="32"/>
          <w:szCs w:val="32"/>
        </w:rPr>
        <w:t>浙农系列、龙井43、福鼎大白、金观音等省外优质良种，注重品种合理搭配</w:t>
      </w:r>
      <w:r>
        <w:rPr>
          <w:rFonts w:hint="eastAsia" w:eastAsia="仿宋"/>
          <w:bCs/>
          <w:color w:val="000000"/>
          <w:kern w:val="0"/>
          <w:sz w:val="32"/>
          <w:szCs w:val="32"/>
        </w:rPr>
        <w:t>。</w:t>
      </w:r>
    </w:p>
    <w:p>
      <w:pPr>
        <w:widowControl/>
        <w:adjustRightInd w:val="0"/>
        <w:snapToGrid w:val="0"/>
        <w:spacing w:line="560" w:lineRule="exact"/>
        <w:ind w:firstLine="643" w:firstLineChars="200"/>
        <w:rPr>
          <w:rFonts w:ascii="仿宋_GB2312" w:hAnsi="黑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b/>
          <w:bCs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黑体" w:eastAsia="仿宋_GB2312"/>
          <w:b/>
          <w:bCs/>
          <w:color w:val="000000"/>
          <w:sz w:val="32"/>
          <w:szCs w:val="32"/>
        </w:rPr>
        <w:t>3</w:t>
      </w:r>
      <w:r>
        <w:rPr>
          <w:rFonts w:hint="eastAsia" w:ascii="仿宋_GB2312" w:hAnsi="黑体" w:eastAsia="仿宋_GB2312"/>
          <w:b/>
          <w:bCs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hAnsi="黑体" w:eastAsia="仿宋_GB2312"/>
          <w:b/>
          <w:bCs/>
          <w:color w:val="000000"/>
          <w:sz w:val="32"/>
          <w:szCs w:val="32"/>
        </w:rPr>
        <w:t>全面推广茶叶专用复合肥和病虫害绿色防控技术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项目区茶叶专用肥施用覆盖率要达100%。大力推进专业化统防统治，充分运用太阳能杀虫灯和色板，全面推广应用推行茶树病虫害绿色防控技术。</w:t>
      </w:r>
    </w:p>
    <w:p>
      <w:pPr>
        <w:spacing w:line="56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57B7"/>
    <w:rsid w:val="00007931"/>
    <w:rsid w:val="00024751"/>
    <w:rsid w:val="00077D00"/>
    <w:rsid w:val="000D61B5"/>
    <w:rsid w:val="0010083D"/>
    <w:rsid w:val="001D570F"/>
    <w:rsid w:val="00274E3C"/>
    <w:rsid w:val="002E1F2A"/>
    <w:rsid w:val="0031317E"/>
    <w:rsid w:val="00577B69"/>
    <w:rsid w:val="006708D6"/>
    <w:rsid w:val="00785171"/>
    <w:rsid w:val="00921C8D"/>
    <w:rsid w:val="00A56569"/>
    <w:rsid w:val="00AF6D16"/>
    <w:rsid w:val="00C33408"/>
    <w:rsid w:val="00C757B7"/>
    <w:rsid w:val="00E521BC"/>
    <w:rsid w:val="00EE5838"/>
    <w:rsid w:val="0C2C7BC1"/>
    <w:rsid w:val="179A76FC"/>
    <w:rsid w:val="38D36EEF"/>
    <w:rsid w:val="3E7853F3"/>
    <w:rsid w:val="3F5A18DA"/>
    <w:rsid w:val="60EE5F20"/>
    <w:rsid w:val="6A106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qFormat/>
    <w:uiPriority w:val="0"/>
    <w:rPr>
      <w:b/>
      <w:bCs/>
    </w:rPr>
  </w:style>
  <w:style w:type="paragraph" w:customStyle="1" w:styleId="7">
    <w:name w:val="样式2"/>
    <w:basedOn w:val="1"/>
    <w:link w:val="8"/>
    <w:qFormat/>
    <w:uiPriority w:val="0"/>
    <w:pPr>
      <w:spacing w:line="540" w:lineRule="exact"/>
      <w:ind w:firstLine="640" w:firstLineChars="200"/>
    </w:pPr>
    <w:rPr>
      <w:rFonts w:ascii="黑体" w:hAnsi="黑体" w:eastAsia="黑体"/>
      <w:sz w:val="32"/>
    </w:rPr>
  </w:style>
  <w:style w:type="character" w:customStyle="1" w:styleId="8">
    <w:name w:val="样式2 Char"/>
    <w:link w:val="7"/>
    <w:qFormat/>
    <w:uiPriority w:val="0"/>
    <w:rPr>
      <w:rFonts w:ascii="黑体" w:hAnsi="黑体" w:eastAsia="黑体" w:cs="Times New Roman"/>
      <w:sz w:val="32"/>
      <w:szCs w:val="24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4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Char"/>
    <w:basedOn w:val="4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Company</Company>
  <Pages>2</Pages>
  <Words>131</Words>
  <Characters>750</Characters>
  <Lines>6</Lines>
  <Paragraphs>1</Paragraphs>
  <ScaleCrop>false</ScaleCrop>
  <LinksUpToDate>false</LinksUpToDate>
  <CharactersWithSpaces>880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2017-05-17T02:14:00Z</dcterms:created>
  <dc:creator>Lenovo</dc:creator>
  <cp:lastModifiedBy>HP</cp:lastModifiedBy>
  <cp:lastPrinted>2017-08-08T01:02:54Z</cp:lastPrinted>
  <dcterms:modified xsi:type="dcterms:W3CDTF">2017-08-08T01:13:16Z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