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hint="eastAsia" w:ascii="Times New Roman" w:hAnsi="Times New Roman" w:eastAsia="华文中宋"/>
          <w:b/>
          <w:color w:val="000000"/>
          <w:sz w:val="44"/>
          <w:szCs w:val="44"/>
        </w:rPr>
      </w:pP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七星关区</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考核评价情况：总得分</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92.61</w:t>
      </w:r>
      <w:r>
        <w:rPr>
          <w:rFonts w:ascii="Times New Roman" w:hAnsi="Times New Roman" w:eastAsia="黑体"/>
          <w:color w:val="000000"/>
          <w:sz w:val="28"/>
          <w:szCs w:val="36"/>
          <w:u w:val="single"/>
        </w:rPr>
        <w:t xml:space="preserve"> </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607"/>
        <w:gridCol w:w="585"/>
        <w:gridCol w:w="72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607"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312"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742"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607" w:type="dxa"/>
            <w:vMerge w:val="continue"/>
            <w:vAlign w:val="center"/>
          </w:tcPr>
          <w:p>
            <w:pPr>
              <w:jc w:val="center"/>
              <w:rPr>
                <w:rFonts w:ascii="Times New Roman" w:hAnsi="Times New Roman"/>
                <w:b/>
                <w:bCs/>
                <w:color w:val="000000"/>
                <w:kern w:val="0"/>
                <w:sz w:val="20"/>
                <w:szCs w:val="20"/>
              </w:rPr>
            </w:pPr>
          </w:p>
        </w:tc>
        <w:tc>
          <w:tcPr>
            <w:tcW w:w="585"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727"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742"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p>
            <w:pPr>
              <w:spacing w:line="300" w:lineRule="exact"/>
              <w:jc w:val="left"/>
              <w:rPr>
                <w:rFonts w:ascii="Times New Roman" w:hAnsi="Times New Roman"/>
                <w:color w:val="333333"/>
                <w:szCs w:val="21"/>
                <w:shd w:val="clear" w:color="auto" w:fill="FFFFFF"/>
              </w:rPr>
            </w:pP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74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607"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585" w:type="dxa"/>
            <w:vAlign w:val="center"/>
          </w:tcPr>
          <w:p>
            <w:pPr>
              <w:spacing w:line="300" w:lineRule="exact"/>
              <w:jc w:val="left"/>
              <w:rPr>
                <w:rFonts w:ascii="Times New Roman" w:hAnsi="Times New Roman"/>
                <w:color w:val="333333"/>
                <w:szCs w:val="21"/>
                <w:shd w:val="clear" w:color="auto" w:fill="FFFFFF"/>
              </w:rPr>
            </w:pP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60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bookmarkStart w:id="1" w:name="_GoBack"/>
            <w:bookmarkEnd w:id="1"/>
          </w:p>
        </w:tc>
        <w:tc>
          <w:tcPr>
            <w:tcW w:w="58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727"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83.73%</w:t>
            </w:r>
          </w:p>
        </w:tc>
        <w:tc>
          <w:tcPr>
            <w:tcW w:w="74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pStyle w:val="4"/>
        <w:widowControl/>
        <w:adjustRightInd w:val="0"/>
        <w:snapToGrid w:val="0"/>
        <w:spacing w:line="360" w:lineRule="auto"/>
        <w:ind w:firstLine="600"/>
        <w:rPr>
          <w:rFonts w:ascii="Times New Roman" w:hAnsi="Times New Roman" w:eastAsia="仿宋"/>
          <w:color w:val="000000"/>
          <w:sz w:val="30"/>
          <w:szCs w:val="30"/>
        </w:rPr>
      </w:pPr>
    </w:p>
    <w:p>
      <w:pPr>
        <w:rPr>
          <w:rFonts w:hint="eastAsia"/>
          <w:sz w:val="24"/>
          <w:szCs w:val="28"/>
          <w:lang w:eastAsia="zh-CN"/>
        </w:rPr>
      </w:pPr>
      <w:r>
        <w:rPr>
          <w:rFonts w:hint="eastAsia"/>
          <w:sz w:val="21"/>
          <w:szCs w:val="22"/>
          <w:lang w:eastAsia="zh-CN"/>
        </w:rPr>
        <w:t>核查时间：</w:t>
      </w:r>
      <w:r>
        <w:rPr>
          <w:rFonts w:hint="eastAsia"/>
          <w:sz w:val="24"/>
          <w:szCs w:val="28"/>
          <w:lang w:val="en-US" w:eastAsia="zh-CN"/>
        </w:rPr>
        <w:t>2018年11月29--30日</w:t>
      </w:r>
    </w:p>
    <w:p>
      <w:pPr>
        <w:rPr>
          <w:rFonts w:hint="eastAsia"/>
          <w:lang w:eastAsia="zh-CN"/>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2018-12-11T08:49:07Z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