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附件2</w:t>
      </w:r>
      <w:bookmarkStart w:id="0" w:name="_GoBack"/>
      <w:bookmarkEnd w:id="0"/>
    </w:p>
    <w:p>
      <w:pPr>
        <w:pStyle w:val="2"/>
        <w:ind w:firstLine="1920" w:firstLineChars="600"/>
        <w:jc w:val="both"/>
        <w:rPr>
          <w:rFonts w:hint="eastAsia" w:ascii="方正小标宋简体" w:hAnsi="方正小标宋简体" w:eastAsia="方正小标宋简体" w:cs="方正小标宋简体"/>
          <w:kern w:val="2"/>
          <w:sz w:val="32"/>
          <w:szCs w:val="32"/>
        </w:rPr>
      </w:pP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rPr>
        <w:t>县（市、区）</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rPr>
        <w:t>乡镇农产品质量安全监管机构</w:t>
      </w:r>
      <w:r>
        <w:rPr>
          <w:rFonts w:hint="eastAsia" w:ascii="方正小标宋简体" w:hAnsi="方正小标宋简体" w:eastAsia="方正小标宋简体" w:cs="方正小标宋简体"/>
          <w:sz w:val="32"/>
          <w:szCs w:val="32"/>
          <w:lang w:eastAsia="zh-CN"/>
        </w:rPr>
        <w:t>调研</w:t>
      </w:r>
      <w:r>
        <w:rPr>
          <w:rFonts w:hint="eastAsia" w:ascii="方正小标宋简体" w:hAnsi="方正小标宋简体" w:eastAsia="方正小标宋简体" w:cs="方正小标宋简体"/>
          <w:sz w:val="32"/>
          <w:szCs w:val="32"/>
        </w:rPr>
        <w:t>检查表</w:t>
      </w:r>
    </w:p>
    <w:tbl>
      <w:tblPr>
        <w:tblStyle w:val="5"/>
        <w:tblW w:w="14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972"/>
        <w:gridCol w:w="4423"/>
        <w:gridCol w:w="2262"/>
        <w:gridCol w:w="1200"/>
        <w:gridCol w:w="1440"/>
        <w:gridCol w:w="93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3" w:hRule="atLeast"/>
        </w:trPr>
        <w:tc>
          <w:tcPr>
            <w:tcW w:w="8253" w:type="dxa"/>
            <w:gridSpan w:val="3"/>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检查内容和指标</w:t>
            </w:r>
          </w:p>
        </w:tc>
        <w:tc>
          <w:tcPr>
            <w:tcW w:w="3462" w:type="dxa"/>
            <w:gridSpan w:val="2"/>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检查方法和结果</w:t>
            </w:r>
          </w:p>
        </w:tc>
        <w:tc>
          <w:tcPr>
            <w:tcW w:w="2377" w:type="dxa"/>
            <w:gridSpan w:val="2"/>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20" w:hRule="atLeast"/>
        </w:trPr>
        <w:tc>
          <w:tcPr>
            <w:tcW w:w="1858" w:type="dxa"/>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项目</w:t>
            </w:r>
          </w:p>
        </w:tc>
        <w:tc>
          <w:tcPr>
            <w:tcW w:w="1972" w:type="dxa"/>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检查内容</w:t>
            </w:r>
          </w:p>
        </w:tc>
        <w:tc>
          <w:tcPr>
            <w:tcW w:w="4423" w:type="dxa"/>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检查指标</w:t>
            </w:r>
          </w:p>
        </w:tc>
        <w:tc>
          <w:tcPr>
            <w:tcW w:w="2262" w:type="dxa"/>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考评方法</w:t>
            </w:r>
          </w:p>
        </w:tc>
        <w:tc>
          <w:tcPr>
            <w:tcW w:w="1200" w:type="dxa"/>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结果</w:t>
            </w:r>
          </w:p>
        </w:tc>
        <w:tc>
          <w:tcPr>
            <w:tcW w:w="1440" w:type="dxa"/>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设定分值</w:t>
            </w:r>
          </w:p>
        </w:tc>
        <w:tc>
          <w:tcPr>
            <w:tcW w:w="937" w:type="dxa"/>
            <w:noWrap w:val="0"/>
            <w:vAlign w:val="center"/>
          </w:tcPr>
          <w:p>
            <w:pPr>
              <w:adjustRightInd/>
              <w:snapToGrid/>
              <w:spacing w:line="240" w:lineRule="auto"/>
              <w:ind w:firstLine="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34" w:hRule="atLeast"/>
        </w:trPr>
        <w:tc>
          <w:tcPr>
            <w:tcW w:w="1858" w:type="dxa"/>
            <w:vMerge w:val="restart"/>
            <w:noWrap w:val="0"/>
            <w:vAlign w:val="center"/>
          </w:tcPr>
          <w:p>
            <w:pPr>
              <w:adjustRightInd/>
              <w:snapToGrid/>
              <w:spacing w:line="240" w:lineRule="auto"/>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组织保障（25分）</w:t>
            </w: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职责情况</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机构有明确的农产品质量安全监管职责</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查阅文件</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8</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34"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人员情况</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有2-3名负责农产品质量安全监管的专业技术人员</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查阅文件和资料</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8</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34"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责任情况</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建立岗位责任制并明确责任，制定年度工作计划</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查阅文件和资料</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34"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制度情况</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有完善的管理制度和工作制度</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查阅文件和资料</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4</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46" w:hRule="atLeast"/>
        </w:trPr>
        <w:tc>
          <w:tcPr>
            <w:tcW w:w="1858" w:type="dxa"/>
            <w:vMerge w:val="restart"/>
            <w:noWrap w:val="0"/>
            <w:vAlign w:val="center"/>
          </w:tcPr>
          <w:p>
            <w:pPr>
              <w:adjustRightInd/>
              <w:snapToGrid/>
              <w:spacing w:line="240" w:lineRule="auto"/>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经费投入（15分）</w:t>
            </w: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纳入预算情况</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有关人员基本支出和业务工作所需经费依法统一纳入公共财政年度预算</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查阅文件</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02"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满足需要情况</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经费能够满足日常工作需要</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查阅文件</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95" w:hRule="atLeast"/>
        </w:trPr>
        <w:tc>
          <w:tcPr>
            <w:tcW w:w="1858" w:type="dxa"/>
            <w:vMerge w:val="restart"/>
            <w:noWrap w:val="0"/>
            <w:vAlign w:val="center"/>
          </w:tcPr>
          <w:p>
            <w:pPr>
              <w:adjustRightInd/>
              <w:snapToGrid/>
              <w:spacing w:line="240" w:lineRule="auto"/>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条件建设（15分）</w:t>
            </w: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速测设备</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2-3套速测仪器</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现场查看</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4"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检测用房</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1间检测用房</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现场查看</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0"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巡查、检测、办公设施设备</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巡查、采样交通工具、办公用房、办公器材等是否满足工作需要</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现场查看</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58" w:hRule="atLeast"/>
        </w:trPr>
        <w:tc>
          <w:tcPr>
            <w:tcW w:w="1858" w:type="dxa"/>
            <w:vMerge w:val="restart"/>
            <w:noWrap w:val="0"/>
            <w:vAlign w:val="center"/>
          </w:tcPr>
          <w:p>
            <w:pPr>
              <w:adjustRightInd/>
              <w:snapToGrid/>
              <w:spacing w:line="240" w:lineRule="auto"/>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日常监管（30分）</w:t>
            </w: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巡查检查</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定期对农产品生产主体实施巡查检查（当地主要农产品生产季和收获期至少要每周开展2-3次巡查检查）</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查看工作记录</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34"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合格证检查</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检查生产主体合格证开具规范性和真实性情况</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查看工作记录</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10</w:t>
            </w:r>
          </w:p>
        </w:tc>
        <w:tc>
          <w:tcPr>
            <w:tcW w:w="937" w:type="dxa"/>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快速检测</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对产地农产品进行快速检验监测</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查看检测记录</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44" w:type="dxa"/>
            <w:gridSpan w:val="2"/>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报送信息</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定期收集并报送农产品质量安全信息</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查看工作记录</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44" w:type="dxa"/>
            <w:gridSpan w:val="2"/>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58" w:type="dxa"/>
            <w:vMerge w:val="restart"/>
            <w:noWrap w:val="0"/>
            <w:vAlign w:val="center"/>
          </w:tcPr>
          <w:p>
            <w:pPr>
              <w:adjustRightInd/>
              <w:snapToGrid/>
              <w:spacing w:line="240" w:lineRule="auto"/>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技术服务（15分）</w:t>
            </w: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宣传培训</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开展政策法规和农产品质量安全知识宣传培训工作</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查阅文件记录</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44" w:type="dxa"/>
            <w:gridSpan w:val="2"/>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技术推广</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推广标准化生产新技术、统防统治、绿色防治技术等，普及科学种养只是和安全生产技术</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查阅文件记录</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44" w:type="dxa"/>
            <w:gridSpan w:val="2"/>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58" w:type="dxa"/>
            <w:vMerge w:val="continue"/>
            <w:noWrap w:val="0"/>
            <w:vAlign w:val="center"/>
          </w:tcPr>
          <w:p>
            <w:pPr>
              <w:adjustRightInd/>
              <w:snapToGrid/>
              <w:spacing w:line="240" w:lineRule="auto"/>
              <w:ind w:firstLine="0"/>
              <w:jc w:val="center"/>
              <w:rPr>
                <w:rFonts w:hint="eastAsia" w:ascii="仿宋" w:hAnsi="仿宋" w:eastAsia="仿宋" w:cs="仿宋"/>
                <w:kern w:val="2"/>
                <w:sz w:val="28"/>
                <w:szCs w:val="28"/>
              </w:rPr>
            </w:pP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生产记录</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督促指导生产经营企业和农民专业合作社建立生产经营档案记录</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查阅工作记录</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5</w:t>
            </w:r>
          </w:p>
        </w:tc>
        <w:tc>
          <w:tcPr>
            <w:tcW w:w="944" w:type="dxa"/>
            <w:gridSpan w:val="2"/>
            <w:noWrap w:val="0"/>
            <w:vAlign w:val="top"/>
          </w:tcPr>
          <w:p>
            <w:pPr>
              <w:adjustRightInd/>
              <w:snapToGrid/>
              <w:spacing w:line="240" w:lineRule="atLeast"/>
              <w:ind w:firstLine="0"/>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58" w:type="dxa"/>
            <w:noWrap w:val="0"/>
            <w:vAlign w:val="center"/>
          </w:tcPr>
          <w:p>
            <w:pPr>
              <w:adjustRightInd/>
              <w:snapToGrid/>
              <w:spacing w:line="240" w:lineRule="auto"/>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扣分项</w:t>
            </w:r>
          </w:p>
        </w:tc>
        <w:tc>
          <w:tcPr>
            <w:tcW w:w="1972" w:type="dxa"/>
            <w:noWrap w:val="0"/>
            <w:vAlign w:val="center"/>
          </w:tcPr>
          <w:p>
            <w:pPr>
              <w:adjustRightInd/>
              <w:snapToGrid/>
              <w:spacing w:line="280" w:lineRule="exact"/>
              <w:ind w:firstLine="0"/>
              <w:rPr>
                <w:rFonts w:hint="eastAsia" w:ascii="仿宋" w:hAnsi="仿宋" w:eastAsia="仿宋" w:cs="仿宋"/>
                <w:kern w:val="2"/>
                <w:sz w:val="28"/>
                <w:szCs w:val="28"/>
                <w:lang w:eastAsia="zh-CN"/>
              </w:rPr>
            </w:pPr>
            <w:r>
              <w:rPr>
                <w:rFonts w:hint="eastAsia" w:ascii="仿宋" w:hAnsi="仿宋" w:eastAsia="仿宋" w:cs="仿宋"/>
                <w:kern w:val="2"/>
                <w:sz w:val="28"/>
                <w:szCs w:val="28"/>
              </w:rPr>
              <w:t>农产品质量安全</w:t>
            </w:r>
            <w:r>
              <w:rPr>
                <w:rFonts w:hint="eastAsia" w:ascii="仿宋" w:hAnsi="仿宋" w:eastAsia="仿宋" w:cs="仿宋"/>
                <w:kern w:val="2"/>
                <w:sz w:val="28"/>
                <w:szCs w:val="28"/>
                <w:lang w:eastAsia="zh-CN"/>
              </w:rPr>
              <w:t>事故</w:t>
            </w:r>
          </w:p>
        </w:tc>
        <w:tc>
          <w:tcPr>
            <w:tcW w:w="4423" w:type="dxa"/>
            <w:noWrap w:val="0"/>
            <w:vAlign w:val="center"/>
          </w:tcPr>
          <w:p>
            <w:pPr>
              <w:adjustRightInd/>
              <w:snapToGrid/>
              <w:spacing w:line="280" w:lineRule="exact"/>
              <w:ind w:firstLine="0"/>
              <w:rPr>
                <w:rFonts w:hint="eastAsia" w:ascii="仿宋" w:hAnsi="仿宋" w:eastAsia="仿宋" w:cs="仿宋"/>
                <w:kern w:val="2"/>
                <w:sz w:val="28"/>
                <w:szCs w:val="28"/>
                <w:lang w:eastAsia="zh-CN"/>
              </w:rPr>
            </w:pPr>
            <w:r>
              <w:rPr>
                <w:rFonts w:hint="eastAsia" w:ascii="仿宋" w:hAnsi="仿宋" w:eastAsia="仿宋" w:cs="仿宋"/>
                <w:kern w:val="2"/>
                <w:sz w:val="28"/>
                <w:szCs w:val="28"/>
              </w:rPr>
              <w:t>发生农产品质量安全</w:t>
            </w:r>
            <w:r>
              <w:rPr>
                <w:rFonts w:hint="eastAsia" w:ascii="仿宋" w:hAnsi="仿宋" w:eastAsia="仿宋" w:cs="仿宋"/>
                <w:kern w:val="2"/>
                <w:sz w:val="28"/>
                <w:szCs w:val="28"/>
                <w:lang w:eastAsia="zh-CN"/>
              </w:rPr>
              <w:t>事故</w:t>
            </w:r>
          </w:p>
        </w:tc>
        <w:tc>
          <w:tcPr>
            <w:tcW w:w="2262" w:type="dxa"/>
            <w:noWrap w:val="0"/>
            <w:vAlign w:val="center"/>
          </w:tcPr>
          <w:p>
            <w:pPr>
              <w:adjustRightInd/>
              <w:snapToGrid/>
              <w:spacing w:line="280" w:lineRule="exact"/>
              <w:ind w:firstLine="0"/>
              <w:rPr>
                <w:rFonts w:hint="eastAsia" w:ascii="仿宋" w:hAnsi="仿宋" w:eastAsia="仿宋" w:cs="仿宋"/>
                <w:kern w:val="2"/>
                <w:sz w:val="28"/>
                <w:szCs w:val="28"/>
              </w:rPr>
            </w:pPr>
            <w:r>
              <w:rPr>
                <w:rFonts w:hint="eastAsia" w:ascii="仿宋" w:hAnsi="仿宋" w:eastAsia="仿宋" w:cs="仿宋"/>
                <w:kern w:val="2"/>
                <w:sz w:val="28"/>
                <w:szCs w:val="28"/>
              </w:rPr>
              <w:t>相关资料</w:t>
            </w:r>
          </w:p>
        </w:tc>
        <w:tc>
          <w:tcPr>
            <w:tcW w:w="1200" w:type="dxa"/>
            <w:noWrap w:val="0"/>
            <w:vAlign w:val="top"/>
          </w:tcPr>
          <w:p>
            <w:pPr>
              <w:adjustRightInd/>
              <w:snapToGrid/>
              <w:spacing w:line="240" w:lineRule="atLeast"/>
              <w:ind w:firstLine="0"/>
              <w:rPr>
                <w:rFonts w:hint="eastAsia" w:ascii="仿宋" w:hAnsi="仿宋" w:eastAsia="仿宋" w:cs="仿宋"/>
                <w:kern w:val="2"/>
                <w:sz w:val="28"/>
                <w:szCs w:val="28"/>
              </w:rPr>
            </w:pPr>
          </w:p>
        </w:tc>
        <w:tc>
          <w:tcPr>
            <w:tcW w:w="1440" w:type="dxa"/>
            <w:noWrap w:val="0"/>
            <w:vAlign w:val="center"/>
          </w:tcPr>
          <w:p>
            <w:pPr>
              <w:adjustRightInd/>
              <w:snapToGrid/>
              <w:spacing w:line="280" w:lineRule="exact"/>
              <w:ind w:firstLine="0"/>
              <w:jc w:val="center"/>
              <w:rPr>
                <w:rFonts w:hint="eastAsia" w:ascii="仿宋" w:hAnsi="仿宋" w:eastAsia="仿宋" w:cs="仿宋"/>
                <w:kern w:val="2"/>
                <w:sz w:val="28"/>
                <w:szCs w:val="28"/>
              </w:rPr>
            </w:pPr>
            <w:r>
              <w:rPr>
                <w:rFonts w:hint="eastAsia" w:ascii="仿宋" w:hAnsi="仿宋" w:eastAsia="仿宋" w:cs="仿宋"/>
                <w:kern w:val="2"/>
                <w:sz w:val="28"/>
                <w:szCs w:val="28"/>
              </w:rPr>
              <w:t>扣5分</w:t>
            </w:r>
          </w:p>
        </w:tc>
        <w:tc>
          <w:tcPr>
            <w:tcW w:w="944" w:type="dxa"/>
            <w:gridSpan w:val="2"/>
            <w:noWrap w:val="0"/>
            <w:vAlign w:val="top"/>
          </w:tcPr>
          <w:p>
            <w:pPr>
              <w:adjustRightInd/>
              <w:snapToGrid/>
              <w:spacing w:line="240" w:lineRule="atLeast"/>
              <w:ind w:firstLine="0"/>
              <w:rPr>
                <w:rFonts w:hint="eastAsia" w:ascii="仿宋" w:hAnsi="仿宋" w:eastAsia="仿宋" w:cs="仿宋"/>
                <w:kern w:val="2"/>
                <w:sz w:val="28"/>
                <w:szCs w:val="28"/>
              </w:rPr>
            </w:pPr>
          </w:p>
        </w:tc>
      </w:tr>
    </w:tbl>
    <w:p>
      <w:pPr>
        <w:adjustRightInd/>
        <w:snapToGrid/>
        <w:spacing w:line="240" w:lineRule="auto"/>
        <w:ind w:firstLine="0"/>
        <w:rPr>
          <w:rFonts w:hint="eastAsia" w:ascii="Calibri" w:hAnsi="Calibri" w:eastAsia="宋体" w:cs="Times New Roman"/>
          <w:kern w:val="2"/>
          <w:sz w:val="21"/>
          <w:szCs w:val="24"/>
          <w:lang w:val="en-US" w:eastAsia="zh-CN"/>
        </w:rPr>
      </w:pPr>
    </w:p>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415DC"/>
    <w:rsid w:val="4744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1"/>
    <w:basedOn w:val="3"/>
    <w:uiPriority w:val="0"/>
    <w:pPr>
      <w:spacing w:after="0"/>
      <w:ind w:firstLine="200" w:firstLineChars="200"/>
    </w:pPr>
    <w:rPr>
      <w:rFonts w:cs="仿宋_GB2312"/>
      <w:szCs w:val="32"/>
      <w:lang w:bidi="ar-SA"/>
    </w:rPr>
  </w:style>
  <w:style w:type="paragraph" w:customStyle="1" w:styleId="3">
    <w:name w:val="Body Text Indent1"/>
    <w:basedOn w:val="1"/>
    <w:uiPriority w:val="0"/>
    <w:pPr>
      <w:ind w:firstLine="195" w:firstLineChars="195"/>
    </w:pPr>
    <w:rPr>
      <w:rFonts w:ascii="Times New Roman" w:hAnsi="Times New Roman" w:eastAsia="仿宋_GB2312" w:cs="Times New Roman"/>
      <w:sz w:val="32"/>
      <w:szCs w:val="24"/>
      <w:lang w:bidi="ar-SA"/>
    </w:rPr>
  </w:style>
  <w:style w:type="paragraph" w:styleId="4">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2021-07-30T01:53:00Z</dcterms:created>
  <dc:creator>飞</dc:creator>
  <cp:lastModifiedBy>飞</cp:lastModifiedBy>
  <dcterms:modified xsi:type="dcterms:W3CDTF">2021-07-30T01:54:05Z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