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rPr>
          <w:rFonts w:hint="eastAsia" w:ascii="黑体" w:hAnsi="黑体" w:eastAsia="黑体"/>
          <w:sz w:val="32"/>
          <w:szCs w:val="32"/>
        </w:rPr>
      </w:pPr>
      <w:r>
        <w:rPr>
          <w:rFonts w:hint="eastAsia" w:ascii="仿宋" w:hAnsi="仿宋" w:eastAsia="仿宋" w:cs="仿宋"/>
          <w:sz w:val="28"/>
          <w:szCs w:val="28"/>
        </w:rPr>
        <w:t>附件1</w:t>
      </w:r>
    </w:p>
    <w:p>
      <w:pPr>
        <w:widowControl/>
        <w:snapToGrid w:val="0"/>
        <w:spacing w:line="360" w:lineRule="auto"/>
        <w:jc w:val="center"/>
        <w:rPr>
          <w:rFonts w:ascii="华文中宋" w:hAnsi="华文中宋" w:eastAsia="华文中宋"/>
          <w:sz w:val="32"/>
          <w:szCs w:val="32"/>
        </w:rPr>
      </w:pPr>
    </w:p>
    <w:p>
      <w:pPr>
        <w:widowControl/>
        <w:snapToGrid w:val="0"/>
        <w:spacing w:line="360" w:lineRule="auto"/>
        <w:jc w:val="center"/>
        <w:rPr>
          <w:rFonts w:ascii="华文中宋" w:hAnsi="华文中宋" w:eastAsia="华文中宋"/>
          <w:sz w:val="40"/>
          <w:szCs w:val="40"/>
        </w:rPr>
      </w:pPr>
      <w:r>
        <w:rPr>
          <w:rFonts w:hint="eastAsia" w:ascii="华文中宋" w:hAnsi="华文中宋" w:eastAsia="华文中宋" w:cs="华文中宋"/>
          <w:sz w:val="40"/>
          <w:szCs w:val="40"/>
        </w:rPr>
        <w:t>农机购置补贴机具核验工作要点（试行）</w:t>
      </w:r>
    </w:p>
    <w:p>
      <w:pPr>
        <w:widowControl/>
        <w:snapToGrid w:val="0"/>
        <w:spacing w:line="360" w:lineRule="auto"/>
        <w:rPr>
          <w:rFonts w:ascii="宋体"/>
          <w:kern w:val="0"/>
          <w:sz w:val="28"/>
          <w:szCs w:val="28"/>
        </w:rPr>
      </w:pPr>
      <w:r>
        <w:rPr>
          <w:rFonts w:hint="eastAsia" w:ascii="仿宋" w:hAnsi="仿宋" w:eastAsia="仿宋" w:cs="仿宋"/>
          <w:kern w:val="0"/>
          <w:sz w:val="32"/>
          <w:szCs w:val="32"/>
        </w:rPr>
        <w:t>　</w:t>
      </w:r>
      <w:r>
        <w:rPr>
          <w:rFonts w:hint="eastAsia" w:ascii="宋体" w:hAnsi="宋体" w:cs="宋体"/>
          <w:kern w:val="0"/>
          <w:sz w:val="32"/>
          <w:szCs w:val="32"/>
        </w:rPr>
        <w:t>　</w:t>
      </w:r>
    </w:p>
    <w:p>
      <w:pPr>
        <w:widowControl/>
        <w:snapToGrid w:val="0"/>
        <w:spacing w:line="360" w:lineRule="auto"/>
        <w:ind w:firstLine="640" w:firstLineChars="200"/>
        <w:rPr>
          <w:rFonts w:ascii="仿宋_GB2312" w:eastAsia="仿宋_GB2312"/>
          <w:kern w:val="0"/>
          <w:sz w:val="32"/>
          <w:szCs w:val="32"/>
        </w:rPr>
      </w:pPr>
      <w:r>
        <w:rPr>
          <w:rFonts w:hint="eastAsia" w:ascii="仿宋_GB2312" w:eastAsia="仿宋_GB2312" w:cs="仿宋_GB2312"/>
          <w:kern w:val="0"/>
          <w:sz w:val="32"/>
          <w:szCs w:val="32"/>
        </w:rPr>
        <w:t>加强农机购置补贴机具核验管理，是确保补贴资金安全和政策效益充分发挥的关键举措。为指导各地做好农机购置补贴机具核验工作，规范核验行为，防范管理风险，提高办补效率，进一步便民利民，根据农业农村部、财政部农机购置补贴政策实施相关规定，制定工作要点如下。</w:t>
      </w:r>
    </w:p>
    <w:p>
      <w:pPr>
        <w:widowControl/>
        <w:snapToGrid w:val="0"/>
        <w:spacing w:line="360" w:lineRule="auto"/>
        <w:ind w:firstLine="640" w:firstLineChars="200"/>
        <w:rPr>
          <w:rFonts w:ascii="黑体" w:hAnsi="黑体" w:eastAsia="黑体"/>
          <w:kern w:val="0"/>
          <w:sz w:val="32"/>
          <w:szCs w:val="32"/>
        </w:rPr>
      </w:pPr>
      <w:r>
        <w:rPr>
          <w:rFonts w:hint="eastAsia" w:ascii="黑体" w:hAnsi="黑体" w:eastAsia="黑体" w:cs="黑体"/>
          <w:kern w:val="0"/>
          <w:sz w:val="32"/>
          <w:szCs w:val="32"/>
        </w:rPr>
        <w:t>一、核验内容</w:t>
      </w:r>
    </w:p>
    <w:p>
      <w:pPr>
        <w:widowControl/>
        <w:snapToGrid w:val="0"/>
        <w:spacing w:line="360" w:lineRule="auto"/>
        <w:ind w:firstLine="640" w:firstLineChars="200"/>
        <w:rPr>
          <w:rFonts w:ascii="仿宋_GB2312" w:eastAsia="仿宋_GB2312"/>
          <w:kern w:val="0"/>
          <w:sz w:val="32"/>
          <w:szCs w:val="32"/>
        </w:rPr>
      </w:pPr>
      <w:r>
        <w:rPr>
          <w:rFonts w:hint="eastAsia" w:ascii="仿宋_GB2312" w:hAnsi="宋体" w:eastAsia="仿宋_GB2312" w:cs="仿宋_GB2312"/>
          <w:kern w:val="0"/>
          <w:sz w:val="32"/>
          <w:szCs w:val="32"/>
        </w:rPr>
        <w:t>补贴机具核验是指县级及以下农机化主管部门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0" w:firstLineChars="200"/>
        <w:rPr>
          <w:rFonts w:ascii="仿宋_GB2312" w:eastAsia="仿宋_GB2312"/>
          <w:kern w:val="0"/>
          <w:sz w:val="32"/>
          <w:szCs w:val="32"/>
        </w:rPr>
      </w:pPr>
      <w:r>
        <w:rPr>
          <w:rFonts w:hint="eastAsia" w:ascii="楷体_GB2312" w:hAnsi="宋体" w:eastAsia="楷体_GB2312" w:cs="楷体_GB2312"/>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0" w:firstLineChars="200"/>
        <w:rPr>
          <w:rFonts w:ascii="仿宋_GB2312" w:eastAsia="仿宋_GB2312"/>
          <w:kern w:val="0"/>
          <w:sz w:val="32"/>
          <w:szCs w:val="32"/>
        </w:rPr>
      </w:pPr>
      <w:r>
        <w:rPr>
          <w:rFonts w:hint="eastAsia" w:ascii="楷体_GB2312" w:hAnsi="宋体" w:eastAsia="楷体_GB2312" w:cs="楷体_GB2312"/>
          <w:kern w:val="0"/>
          <w:sz w:val="32"/>
          <w:szCs w:val="32"/>
        </w:rPr>
        <w:t>（二）购买信息。</w:t>
      </w:r>
      <w:r>
        <w:rPr>
          <w:rFonts w:hint="eastAsia" w:ascii="仿宋_GB2312" w:hAnsi="宋体" w:eastAsia="仿宋_GB2312" w:cs="仿宋_GB2312"/>
          <w:kern w:val="0"/>
          <w:sz w:val="32"/>
          <w:szCs w:val="32"/>
        </w:rPr>
        <w:t>购买补贴机具税控发票等信息；</w:t>
      </w:r>
    </w:p>
    <w:p>
      <w:pPr>
        <w:widowControl/>
        <w:snapToGrid w:val="0"/>
        <w:spacing w:line="360" w:lineRule="auto"/>
        <w:ind w:firstLine="640" w:firstLineChars="200"/>
        <w:rPr>
          <w:rFonts w:ascii="仿宋_GB2312" w:eastAsia="仿宋_GB2312"/>
          <w:kern w:val="0"/>
          <w:sz w:val="32"/>
          <w:szCs w:val="32"/>
        </w:rPr>
      </w:pPr>
      <w:r>
        <w:rPr>
          <w:rFonts w:hint="eastAsia" w:ascii="楷体_GB2312" w:hAnsi="宋体" w:eastAsia="楷体_GB2312" w:cs="楷体_GB2312"/>
          <w:kern w:val="0"/>
          <w:sz w:val="32"/>
          <w:szCs w:val="32"/>
        </w:rPr>
        <w:t>（三）机具信息。</w:t>
      </w:r>
      <w:r>
        <w:rPr>
          <w:rFonts w:hint="eastAsia" w:ascii="仿宋_GB2312" w:hAnsi="宋体" w:eastAsia="仿宋_GB2312"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0" w:firstLineChars="200"/>
        <w:rPr>
          <w:rFonts w:ascii="仿宋_GB2312" w:eastAsia="仿宋_GB2312"/>
          <w:kern w:val="0"/>
          <w:sz w:val="32"/>
          <w:szCs w:val="32"/>
        </w:rPr>
      </w:pPr>
      <w:r>
        <w:rPr>
          <w:rFonts w:hint="eastAsia" w:ascii="楷体_GB2312" w:hAnsi="宋体" w:eastAsia="楷体_GB2312" w:cs="楷体_GB2312"/>
          <w:kern w:val="0"/>
          <w:sz w:val="32"/>
          <w:szCs w:val="32"/>
        </w:rPr>
        <w:t>（四）其他信息。</w:t>
      </w:r>
      <w:r>
        <w:rPr>
          <w:rFonts w:hint="eastAsia" w:ascii="仿宋_GB2312" w:hAnsi="宋体" w:eastAsia="仿宋_GB2312" w:cs="仿宋_GB2312"/>
          <w:kern w:val="0"/>
          <w:sz w:val="32"/>
          <w:szCs w:val="32"/>
        </w:rPr>
        <w:t>购机者银行卡（折）账号、开户名等信息，以及政策实施要求提供的其他必要信息。</w:t>
      </w:r>
    </w:p>
    <w:p>
      <w:pPr>
        <w:widowControl/>
        <w:snapToGrid w:val="0"/>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上述信息的真实性、完整性和有效性由购机者、产销企业和农机安全监理机构分别负责，并承担相应的法律责任。</w:t>
      </w:r>
      <w:r>
        <w:rPr>
          <w:rFonts w:ascii="仿宋_GB2312" w:hAnsi="宋体" w:eastAsia="仿宋_GB2312" w:cs="仿宋_GB2312"/>
          <w:kern w:val="0"/>
          <w:sz w:val="32"/>
          <w:szCs w:val="32"/>
        </w:rPr>
        <w:t xml:space="preserve">   </w:t>
      </w:r>
    </w:p>
    <w:p>
      <w:pPr>
        <w:widowControl/>
        <w:snapToGrid w:val="0"/>
        <w:spacing w:line="360" w:lineRule="auto"/>
        <w:ind w:firstLine="640" w:firstLineChars="200"/>
        <w:rPr>
          <w:rFonts w:ascii="黑体" w:hAnsi="黑体" w:eastAsia="黑体"/>
          <w:kern w:val="0"/>
          <w:sz w:val="32"/>
          <w:szCs w:val="32"/>
        </w:rPr>
      </w:pPr>
      <w:r>
        <w:rPr>
          <w:rFonts w:hint="eastAsia" w:ascii="黑体" w:hAnsi="黑体" w:eastAsia="黑体" w:cs="黑体"/>
          <w:kern w:val="0"/>
          <w:sz w:val="32"/>
          <w:szCs w:val="32"/>
        </w:rPr>
        <w:t>二、核验程序及要求</w:t>
      </w:r>
    </w:p>
    <w:p>
      <w:pPr>
        <w:widowControl/>
        <w:snapToGrid w:val="0"/>
        <w:spacing w:line="360" w:lineRule="auto"/>
        <w:ind w:firstLine="640" w:firstLineChars="200"/>
        <w:rPr>
          <w:rFonts w:ascii="仿宋_GB2312" w:eastAsia="仿宋_GB2312"/>
          <w:kern w:val="0"/>
          <w:sz w:val="32"/>
          <w:szCs w:val="32"/>
        </w:rPr>
      </w:pPr>
      <w:r>
        <w:rPr>
          <w:rFonts w:hint="eastAsia" w:ascii="楷体_GB2312" w:hAnsi="宋体" w:eastAsia="楷体_GB2312" w:cs="楷体_GB2312"/>
          <w:kern w:val="0"/>
          <w:sz w:val="32"/>
          <w:szCs w:val="32"/>
        </w:rPr>
        <w:t>（一）受理申请。</w:t>
      </w:r>
      <w:r>
        <w:rPr>
          <w:rFonts w:hint="eastAsia" w:ascii="仿宋_GB2312" w:hAnsi="宋体" w:eastAsia="仿宋_GB2312" w:cs="仿宋_GB2312"/>
          <w:kern w:val="0"/>
          <w:sz w:val="32"/>
          <w:szCs w:val="32"/>
        </w:rPr>
        <w:t>对购机者自主提出的补贴申请，主管部门应按规定及时受理。鼓励通过手机</w:t>
      </w:r>
      <w:r>
        <w:rPr>
          <w:rFonts w:ascii="仿宋_GB2312" w:hAnsi="宋体" w:eastAsia="仿宋_GB2312" w:cs="仿宋_GB2312"/>
          <w:kern w:val="0"/>
          <w:sz w:val="32"/>
          <w:szCs w:val="32"/>
        </w:rPr>
        <w:t>APP</w:t>
      </w:r>
      <w:r>
        <w:rPr>
          <w:rFonts w:hint="eastAsia" w:ascii="仿宋_GB2312" w:hAnsi="宋体" w:eastAsia="仿宋_GB2312" w:cs="仿宋_GB2312"/>
          <w:kern w:val="0"/>
          <w:sz w:val="32"/>
          <w:szCs w:val="32"/>
        </w:rPr>
        <w:t>、“一站式”服务窗口等便捷高效的方式受理申请。</w:t>
      </w:r>
    </w:p>
    <w:p>
      <w:pPr>
        <w:pStyle w:val="17"/>
        <w:snapToGrid w:val="0"/>
        <w:spacing w:line="360" w:lineRule="auto"/>
        <w:ind w:firstLine="0" w:firstLineChars="0"/>
        <w:rPr>
          <w:rFonts w:ascii="仿宋_GB2312" w:eastAsia="仿宋_GB2312"/>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kern w:val="0"/>
          <w:sz w:val="32"/>
          <w:szCs w:val="32"/>
        </w:rPr>
        <w:t>（二）资料核验。一是购机者及其身份、购机税控发票等资料。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pStyle w:val="17"/>
        <w:snapToGrid w:val="0"/>
        <w:spacing w:line="360" w:lineRule="auto"/>
        <w:ind w:firstLine="0" w:firstLineChars="0"/>
        <w:rPr>
          <w:rFonts w:ascii="仿宋_GB2312" w:eastAsia="仿宋_GB2312"/>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17"/>
        <w:snapToGrid w:val="0"/>
        <w:spacing w:line="360" w:lineRule="auto"/>
        <w:ind w:firstLine="645" w:firstLineChars="0"/>
        <w:rPr>
          <w:rFonts w:hint="eastAsia" w:ascii="仿宋_GB2312" w:hAnsi="宋体" w:eastAsia="仿宋_GB2312" w:cs="仿宋_GB2312"/>
          <w:kern w:val="0"/>
          <w:sz w:val="32"/>
          <w:szCs w:val="32"/>
        </w:rPr>
      </w:pPr>
      <w:r>
        <w:rPr>
          <w:rFonts w:hint="eastAsia" w:ascii="楷体_GB2312" w:hAnsi="宋体" w:eastAsia="楷体_GB2312" w:cs="楷体_GB2312"/>
          <w:kern w:val="0"/>
          <w:sz w:val="32"/>
          <w:szCs w:val="32"/>
        </w:rPr>
        <w:t>（三）机具核验。</w:t>
      </w:r>
      <w:r>
        <w:rPr>
          <w:rFonts w:hint="eastAsia" w:ascii="仿宋_GB2312" w:hAnsi="宋体" w:eastAsia="仿宋_GB2312" w:cs="仿宋_GB2312"/>
          <w:kern w:val="0"/>
          <w:sz w:val="32"/>
          <w:szCs w:val="32"/>
        </w:rPr>
        <w:t>一是重点机具核验。重点机具指</w:t>
      </w:r>
      <w:r>
        <w:rPr>
          <w:rFonts w:hint="eastAsia" w:ascii="仿宋_GB2312" w:eastAsia="仿宋_GB2312"/>
          <w:color w:val="000000"/>
          <w:sz w:val="32"/>
          <w:szCs w:val="32"/>
        </w:rPr>
        <w:t>单机补贴额高于3000元（含）的机具、不常见机具或设施设备类机具，必须现场核验。</w:t>
      </w:r>
      <w:r>
        <w:rPr>
          <w:rFonts w:hint="eastAsia" w:ascii="仿宋_GB2312" w:hAnsi="宋体" w:eastAsia="仿宋_GB2312" w:cs="仿宋_GB2312"/>
          <w:kern w:val="0"/>
          <w:sz w:val="32"/>
          <w:szCs w:val="32"/>
        </w:rPr>
        <w:t>重点核验购机税控发票所显示的机具名称、生产企业、型号、发动机号（无动力装置的不需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二是非重点机具核验。对补贴额较低、风险可控度高的机具可采取补贴资金兑付后按比例抽查核验方式进行，抽核内容同重点机具。</w:t>
      </w:r>
    </w:p>
    <w:p>
      <w:pPr>
        <w:pStyle w:val="17"/>
        <w:snapToGrid w:val="0"/>
        <w:spacing w:line="360" w:lineRule="auto"/>
        <w:ind w:firstLine="645" w:firstLineChars="0"/>
        <w:rPr>
          <w:rFonts w:ascii="仿宋_GB2312" w:eastAsia="仿宋_GB2312"/>
          <w:kern w:val="0"/>
          <w:sz w:val="32"/>
          <w:szCs w:val="32"/>
        </w:rPr>
      </w:pPr>
      <w:r>
        <w:rPr>
          <w:rFonts w:hint="eastAsia" w:ascii="仿宋_GB2312" w:hAnsi="宋体" w:eastAsia="仿宋_GB2312" w:cs="仿宋_GB2312"/>
          <w:kern w:val="0"/>
          <w:sz w:val="32"/>
          <w:szCs w:val="32"/>
        </w:rPr>
        <w:t>鼓励通过进村入户、提前预约等方式开展核验，便利购机者以及设施安装类机具核验。核验结果由核验人员与购机者双方签字确认。实行双人交叉核验或个人核验、</w:t>
      </w:r>
      <w:r>
        <w:rPr>
          <w:rFonts w:hint="eastAsia" w:ascii="仿宋_GB2312" w:hAnsi="宋体" w:eastAsia="仿宋_GB2312" w:cs="仿宋_GB2312"/>
          <w:sz w:val="32"/>
          <w:szCs w:val="32"/>
        </w:rPr>
        <w:t>单位内部集体会审双重审核，探索对补贴机具核验结果实行基层农机化、种植业、畜牧业、渔业、农产品初加工等有关方面共同参加的集体会商。</w:t>
      </w:r>
      <w:r>
        <w:rPr>
          <w:rFonts w:hint="eastAsia" w:ascii="仿宋_GB2312" w:hAnsi="宋体" w:eastAsia="仿宋_GB2312" w:cs="仿宋_GB2312"/>
          <w:kern w:val="0"/>
          <w:sz w:val="32"/>
          <w:szCs w:val="32"/>
        </w:rPr>
        <w:t>加强对单人多台套、短期内大批量、同人连年购置同类机具、区域适应性差的机具购置等异常情形的核验。</w:t>
      </w:r>
    </w:p>
    <w:p>
      <w:pPr>
        <w:pStyle w:val="17"/>
        <w:snapToGrid w:val="0"/>
        <w:spacing w:line="360" w:lineRule="auto"/>
        <w:ind w:firstLine="0" w:firstLineChars="0"/>
        <w:rPr>
          <w:rFonts w:ascii="仿宋_GB2312" w:eastAsia="仿宋_GB2312"/>
          <w:kern w:val="0"/>
          <w:sz w:val="32"/>
          <w:szCs w:val="32"/>
        </w:rPr>
      </w:pP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17"/>
        <w:snapToGrid w:val="0"/>
        <w:spacing w:line="360" w:lineRule="auto"/>
        <w:ind w:firstLine="0" w:firstLineChars="0"/>
        <w:rPr>
          <w:rFonts w:ascii="仿宋_GB2312" w:eastAsia="仿宋_GB2312"/>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kern w:val="0"/>
          <w:sz w:val="32"/>
          <w:szCs w:val="32"/>
        </w:rPr>
        <w:t>（四）复核登记。</w:t>
      </w:r>
      <w:r>
        <w:rPr>
          <w:rFonts w:hint="eastAsia" w:ascii="仿宋_GB2312" w:hAnsi="宋体" w:eastAsia="仿宋_GB2312" w:cs="仿宋_GB2312"/>
          <w:kern w:val="0"/>
          <w:sz w:val="32"/>
          <w:szCs w:val="32"/>
        </w:rPr>
        <w:t>对资料核验、机具核验的程序、方式和签章的规范性进行集体复核，可与集体会商同步进行，通过后登记立册。</w:t>
      </w:r>
    </w:p>
    <w:p>
      <w:pPr>
        <w:pStyle w:val="17"/>
        <w:snapToGrid w:val="0"/>
        <w:spacing w:line="360" w:lineRule="auto"/>
        <w:ind w:firstLine="0" w:firstLineChars="0"/>
        <w:rPr>
          <w:rFonts w:ascii="仿宋_GB2312" w:eastAsia="仿宋_GB2312"/>
          <w:kern w:val="0"/>
          <w:sz w:val="32"/>
          <w:szCs w:val="32"/>
        </w:rPr>
      </w:pPr>
      <w:r>
        <w:rPr>
          <w:rFonts w:ascii="仿宋_GB2312" w:hAnsi="宋体" w:eastAsia="仿宋_GB2312" w:cs="仿宋_GB2312"/>
          <w:kern w:val="0"/>
          <w:sz w:val="32"/>
          <w:szCs w:val="32"/>
        </w:rPr>
        <w:t xml:space="preserve">    </w:t>
      </w:r>
      <w:r>
        <w:rPr>
          <w:rFonts w:hint="eastAsia" w:ascii="楷体" w:hAnsi="楷体" w:eastAsia="楷体" w:cs="楷体"/>
          <w:kern w:val="0"/>
          <w:sz w:val="32"/>
          <w:szCs w:val="32"/>
        </w:rPr>
        <w:t>（五）公示报送。</w:t>
      </w:r>
      <w:r>
        <w:rPr>
          <w:rFonts w:hint="eastAsia" w:ascii="仿宋_GB2312" w:hAnsi="宋体" w:eastAsia="仿宋_GB2312" w:cs="仿宋_GB2312"/>
          <w:kern w:val="0"/>
          <w:sz w:val="32"/>
          <w:szCs w:val="32"/>
        </w:rPr>
        <w:t>对通过复核的补贴申请信息进行为期不少于</w:t>
      </w:r>
      <w:r>
        <w:rPr>
          <w:rFonts w:ascii="仿宋_GB2312" w:hAnsi="宋体" w:eastAsia="仿宋_GB2312" w:cs="仿宋_GB2312"/>
          <w:kern w:val="0"/>
          <w:sz w:val="32"/>
          <w:szCs w:val="32"/>
        </w:rPr>
        <w:t>30</w:t>
      </w:r>
      <w:r>
        <w:rPr>
          <w:rFonts w:hint="eastAsia" w:ascii="仿宋_GB2312" w:hAnsi="宋体" w:eastAsia="仿宋_GB2312" w:cs="仿宋_GB2312"/>
          <w:kern w:val="0"/>
          <w:sz w:val="32"/>
          <w:szCs w:val="32"/>
        </w:rPr>
        <w:t>天的公示，公示无异议后报送同级财政部门。</w:t>
      </w:r>
    </w:p>
    <w:p>
      <w:pPr>
        <w:pStyle w:val="17"/>
        <w:snapToGrid w:val="0"/>
        <w:spacing w:line="360" w:lineRule="auto"/>
        <w:ind w:firstLine="0" w:firstLineChars="0"/>
        <w:rPr>
          <w:rFonts w:ascii="仿宋_GB2312" w:eastAsia="仿宋_GB2312"/>
          <w:kern w:val="0"/>
          <w:sz w:val="32"/>
          <w:szCs w:val="32"/>
        </w:rPr>
      </w:pPr>
      <w:r>
        <w:rPr>
          <w:rFonts w:ascii="仿宋_GB2312" w:hAnsi="宋体" w:eastAsia="仿宋_GB2312" w:cs="仿宋_GB2312"/>
          <w:kern w:val="0"/>
          <w:sz w:val="32"/>
          <w:szCs w:val="32"/>
        </w:rPr>
        <w:t xml:space="preserve">    </w:t>
      </w:r>
      <w:r>
        <w:rPr>
          <w:rFonts w:hint="eastAsia" w:ascii="楷体" w:hAnsi="楷体" w:eastAsia="楷体" w:cs="楷体"/>
          <w:kern w:val="0"/>
          <w:sz w:val="32"/>
          <w:szCs w:val="32"/>
        </w:rPr>
        <w:t>（六）资料处理。</w:t>
      </w:r>
      <w:r>
        <w:rPr>
          <w:rFonts w:hint="eastAsia" w:ascii="仿宋_GB2312" w:hAnsi="宋体" w:eastAsia="仿宋_GB2312" w:cs="仿宋_GB2312"/>
          <w:kern w:val="0"/>
          <w:sz w:val="32"/>
          <w:szCs w:val="32"/>
        </w:rPr>
        <w:t>对财政部门未提出疑义的补贴申请，将其核验资料留存备用备查，留存期限不少于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pPr>
        <w:widowControl/>
        <w:snapToGrid w:val="0"/>
        <w:spacing w:line="360" w:lineRule="auto"/>
        <w:ind w:firstLine="640" w:firstLineChars="200"/>
        <w:rPr>
          <w:rFonts w:ascii="黑体" w:hAnsi="黑体" w:eastAsia="黑体"/>
          <w:kern w:val="0"/>
          <w:sz w:val="32"/>
          <w:szCs w:val="32"/>
        </w:rPr>
      </w:pPr>
      <w:r>
        <w:rPr>
          <w:rFonts w:hint="eastAsia" w:ascii="黑体" w:hAnsi="黑体" w:eastAsia="黑体" w:cs="黑体"/>
          <w:kern w:val="0"/>
          <w:sz w:val="32"/>
          <w:szCs w:val="32"/>
        </w:rPr>
        <w:t>三、监督管理</w:t>
      </w:r>
    </w:p>
    <w:p>
      <w:pPr>
        <w:pStyle w:val="17"/>
        <w:snapToGrid w:val="0"/>
        <w:spacing w:line="360" w:lineRule="auto"/>
        <w:ind w:firstLine="0" w:firstLineChars="0"/>
        <w:rPr>
          <w:rFonts w:ascii="仿宋_GB2312" w:eastAsia="仿宋_GB2312"/>
          <w:kern w:val="0"/>
          <w:sz w:val="32"/>
          <w:szCs w:val="32"/>
        </w:rPr>
      </w:pPr>
      <w:r>
        <w:rPr>
          <w:rFonts w:ascii="宋体" w:hAnsi="宋体" w:cs="宋体"/>
          <w:kern w:val="0"/>
          <w:sz w:val="32"/>
          <w:szCs w:val="32"/>
        </w:rPr>
        <w:t xml:space="preserve">   </w:t>
      </w:r>
      <w:r>
        <w:rPr>
          <w:rFonts w:hint="eastAsia" w:ascii="楷体" w:hAnsi="楷体" w:eastAsia="楷体" w:cs="楷体"/>
          <w:kern w:val="0"/>
          <w:sz w:val="32"/>
          <w:szCs w:val="32"/>
        </w:rPr>
        <w:t xml:space="preserve"> （一）加强核验人员队伍建设。</w:t>
      </w:r>
      <w:r>
        <w:rPr>
          <w:rFonts w:hint="eastAsia" w:ascii="仿宋_GB2312" w:hAnsi="宋体" w:eastAsia="仿宋_GB2312" w:cs="仿宋_GB2312"/>
          <w:kern w:val="0"/>
          <w:sz w:val="32"/>
          <w:szCs w:val="32"/>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pStyle w:val="17"/>
        <w:snapToGrid w:val="0"/>
        <w:spacing w:line="360" w:lineRule="auto"/>
        <w:ind w:firstLine="0" w:firstLineChars="0"/>
        <w:rPr>
          <w:rFonts w:ascii="仿宋_GB2312" w:eastAsia="仿宋_GB2312"/>
          <w:kern w:val="0"/>
          <w:sz w:val="32"/>
          <w:szCs w:val="32"/>
        </w:rPr>
      </w:pPr>
      <w:r>
        <w:rPr>
          <w:rFonts w:ascii="仿宋_GB2312" w:hAnsi="宋体" w:eastAsia="仿宋_GB2312" w:cs="仿宋_GB2312"/>
          <w:kern w:val="0"/>
          <w:sz w:val="32"/>
          <w:szCs w:val="32"/>
        </w:rPr>
        <w:t xml:space="preserve">    </w:t>
      </w:r>
      <w:r>
        <w:rPr>
          <w:rFonts w:hint="eastAsia" w:ascii="楷体" w:hAnsi="楷体" w:eastAsia="楷体" w:cs="楷体"/>
          <w:kern w:val="0"/>
          <w:sz w:val="32"/>
          <w:szCs w:val="32"/>
        </w:rPr>
        <w:t>（二）推行购机承诺践诺。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17"/>
        <w:snapToGrid w:val="0"/>
        <w:spacing w:line="360" w:lineRule="auto"/>
        <w:ind w:firstLine="0" w:firstLineChars="0"/>
        <w:rPr>
          <w:rFonts w:ascii="仿宋_GB2312" w:eastAsia="仿宋_GB2312"/>
          <w:kern w:val="0"/>
          <w:sz w:val="32"/>
          <w:szCs w:val="32"/>
        </w:rPr>
      </w:pPr>
      <w:r>
        <w:rPr>
          <w:rFonts w:ascii="仿宋_GB2312" w:hAnsi="宋体" w:eastAsia="仿宋_GB2312" w:cs="仿宋_GB2312"/>
          <w:kern w:val="0"/>
          <w:sz w:val="32"/>
          <w:szCs w:val="32"/>
        </w:rPr>
        <w:t xml:space="preserve">    </w:t>
      </w:r>
      <w:r>
        <w:rPr>
          <w:rFonts w:hint="eastAsia" w:ascii="楷体" w:hAnsi="楷体" w:eastAsia="楷体" w:cs="楷体"/>
          <w:kern w:val="0"/>
          <w:sz w:val="32"/>
          <w:szCs w:val="32"/>
        </w:rPr>
        <w:t>（三）全面排查违规线索。</w:t>
      </w:r>
      <w:r>
        <w:rPr>
          <w:rFonts w:hint="eastAsia" w:ascii="仿宋_GB2312" w:hAnsi="宋体" w:eastAsia="仿宋_GB2312"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17"/>
        <w:snapToGrid w:val="0"/>
        <w:spacing w:line="360" w:lineRule="auto"/>
        <w:ind w:firstLine="0" w:firstLineChars="0"/>
        <w:rPr>
          <w:rFonts w:ascii="仿宋_GB2312" w:hAnsi="宋体" w:eastAsia="仿宋_GB2312"/>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kern w:val="0"/>
          <w:sz w:val="32"/>
          <w:szCs w:val="32"/>
        </w:rPr>
        <w:t>（四）严格监督管理。</w:t>
      </w:r>
      <w:r>
        <w:rPr>
          <w:rFonts w:hint="eastAsia" w:ascii="仿宋_GB2312" w:hAnsi="宋体" w:eastAsia="仿宋_GB2312" w:cs="仿宋_GB2312"/>
          <w:kern w:val="0"/>
          <w:sz w:val="32"/>
          <w:szCs w:val="32"/>
        </w:rPr>
        <w:t>健全内部控制制度，以机具核验流程为主线，逐项工作、逐个环节查找风险点，制定防控措施。鼓励各地农机化、财政部门探索开展补贴机具第三方独立抽查核验和信息化技术核验。</w:t>
      </w:r>
    </w:p>
    <w:p>
      <w:pPr>
        <w:pStyle w:val="17"/>
        <w:snapToGrid w:val="0"/>
        <w:spacing w:line="360" w:lineRule="auto"/>
        <w:ind w:firstLine="0" w:firstLineChars="0"/>
        <w:rPr>
          <w:rFonts w:ascii="仿宋_GB2312" w:eastAsia="仿宋_GB2312"/>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各市（州）要组织县级农机化主管部门结合实际，参照本要点制定具体的工作规范，经县级农机购置补贴领导小组审核同意，报市级农机化主管部门备案后公布实施。</w:t>
      </w:r>
    </w:p>
    <w:p>
      <w:pPr>
        <w:ind w:right="560" w:firstLine="640" w:firstLineChars="200"/>
        <w:jc w:val="right"/>
        <w:rPr>
          <w:rFonts w:hint="eastAsia" w:ascii="仿宋" w:hAnsi="仿宋" w:eastAsia="仿宋" w:cs="宋体"/>
          <w:kern w:val="0"/>
          <w:sz w:val="32"/>
          <w:szCs w:val="32"/>
          <w:shd w:val="clear" w:color="auto" w:fill="FFFFFF"/>
        </w:rPr>
      </w:pPr>
    </w:p>
    <w:p>
      <w:pPr>
        <w:ind w:right="560"/>
        <w:rPr>
          <w:rFonts w:hint="eastAsia" w:ascii="仿宋" w:hAnsi="仿宋" w:eastAsia="仿宋" w:cs="宋体"/>
          <w:kern w:val="0"/>
          <w:sz w:val="32"/>
          <w:szCs w:val="32"/>
          <w:shd w:val="clear" w:color="auto" w:fill="FFFFFF"/>
        </w:rPr>
        <w:sectPr>
          <w:footerReference r:id="rId3" w:type="default"/>
          <w:pgSz w:w="11906" w:h="16838"/>
          <w:pgMar w:top="1440" w:right="1800" w:bottom="1440" w:left="1800" w:header="851" w:footer="992" w:gutter="0"/>
          <w:pgNumType w:start="1"/>
          <w:cols w:space="720" w:num="1"/>
          <w:docGrid w:type="lines" w:linePitch="312" w:charSpace="0"/>
        </w:sectPr>
      </w:pPr>
    </w:p>
    <w:p>
      <w:pPr>
        <w:ind w:right="560"/>
        <w:rPr>
          <w:rFonts w:hint="eastAsia" w:ascii="仿宋" w:hAnsi="仿宋" w:eastAsia="仿宋" w:cs="宋体"/>
          <w:kern w:val="0"/>
          <w:sz w:val="28"/>
          <w:szCs w:val="28"/>
          <w:shd w:val="clear" w:color="auto" w:fill="FFFFFF"/>
        </w:rPr>
      </w:pPr>
      <w:r>
        <w:rPr>
          <w:rFonts w:hint="eastAsia" w:ascii="仿宋" w:hAnsi="仿宋" w:eastAsia="仿宋" w:cs="宋体"/>
          <w:kern w:val="0"/>
          <w:sz w:val="28"/>
          <w:szCs w:val="28"/>
          <w:shd w:val="clear" w:color="auto" w:fill="FFFFFF"/>
        </w:rPr>
        <w:t>附件2</w:t>
      </w:r>
    </w:p>
    <w:p>
      <w:pPr>
        <w:ind w:right="560"/>
        <w:jc w:val="center"/>
        <w:rPr>
          <w:rFonts w:hint="eastAsia" w:ascii="仿宋" w:hAnsi="仿宋" w:eastAsia="仿宋" w:cs="宋体"/>
          <w:kern w:val="0"/>
          <w:sz w:val="32"/>
          <w:szCs w:val="32"/>
          <w:shd w:val="clear" w:color="auto" w:fill="FFFFFF"/>
        </w:rPr>
      </w:pPr>
      <w:r>
        <w:rPr>
          <w:rFonts w:hint="eastAsia" w:ascii="方正小标宋简体" w:hAnsi="新宋体" w:eastAsia="方正小标宋简体" w:cs="新宋体"/>
          <w:color w:val="000000"/>
          <w:kern w:val="0"/>
          <w:sz w:val="36"/>
          <w:szCs w:val="36"/>
          <w:lang w:bidi="ar"/>
        </w:rPr>
        <w:t>农机购置补贴相关案件情况明细表</w:t>
      </w:r>
    </w:p>
    <w:tbl>
      <w:tblPr>
        <w:tblStyle w:val="13"/>
        <w:tblW w:w="13403" w:type="dxa"/>
        <w:tblInd w:w="142" w:type="dxa"/>
        <w:tblLayout w:type="fixed"/>
        <w:tblCellMar>
          <w:top w:w="0" w:type="dxa"/>
          <w:left w:w="0" w:type="dxa"/>
          <w:bottom w:w="0" w:type="dxa"/>
          <w:right w:w="0" w:type="dxa"/>
        </w:tblCellMar>
      </w:tblPr>
      <w:tblGrid>
        <w:gridCol w:w="709"/>
        <w:gridCol w:w="1106"/>
        <w:gridCol w:w="453"/>
        <w:gridCol w:w="1134"/>
        <w:gridCol w:w="1391"/>
        <w:gridCol w:w="1080"/>
        <w:gridCol w:w="1080"/>
        <w:gridCol w:w="1080"/>
        <w:gridCol w:w="1080"/>
        <w:gridCol w:w="1080"/>
        <w:gridCol w:w="1289"/>
        <w:gridCol w:w="1921"/>
      </w:tblGrid>
      <w:tr>
        <w:tblPrEx>
          <w:tblLayout w:type="fixed"/>
          <w:tblCellMar>
            <w:top w:w="0" w:type="dxa"/>
            <w:left w:w="0" w:type="dxa"/>
            <w:bottom w:w="0" w:type="dxa"/>
            <w:right w:w="0" w:type="dxa"/>
          </w:tblCellMar>
        </w:tblPrEx>
        <w:trPr>
          <w:trHeight w:val="375" w:hRule="atLeast"/>
        </w:trPr>
        <w:tc>
          <w:tcPr>
            <w:tcW w:w="1815" w:type="dxa"/>
            <w:gridSpan w:val="2"/>
            <w:tcBorders>
              <w:top w:val="nil"/>
              <w:left w:val="nil"/>
              <w:bottom w:val="nil"/>
              <w:right w:val="nil"/>
            </w:tcBorders>
            <w:noWrap w:val="0"/>
            <w:vAlign w:val="top"/>
          </w:tcPr>
          <w:p>
            <w:pPr>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单位（公章）：</w:t>
            </w:r>
          </w:p>
        </w:tc>
        <w:tc>
          <w:tcPr>
            <w:tcW w:w="4058" w:type="dxa"/>
            <w:gridSpan w:val="4"/>
            <w:tcBorders>
              <w:top w:val="nil"/>
              <w:left w:val="nil"/>
              <w:bottom w:val="nil"/>
              <w:right w:val="nil"/>
            </w:tcBorders>
            <w:noWrap/>
            <w:tcMar>
              <w:top w:w="15" w:type="dxa"/>
              <w:left w:w="15" w:type="dxa"/>
              <w:right w:w="15" w:type="dxa"/>
            </w:tcMar>
            <w:vAlign w:val="center"/>
          </w:tcPr>
          <w:p>
            <w:pPr>
              <w:rPr>
                <w:rFonts w:hint="eastAsia" w:ascii="宋体" w:hAnsi="宋体" w:cs="宋体"/>
                <w:color w:val="000000"/>
                <w:sz w:val="28"/>
                <w:szCs w:val="28"/>
              </w:rPr>
            </w:pPr>
          </w:p>
        </w:tc>
        <w:tc>
          <w:tcPr>
            <w:tcW w:w="7530"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填报时间：</w:t>
            </w:r>
          </w:p>
        </w:tc>
      </w:tr>
      <w:tr>
        <w:tblPrEx>
          <w:tblLayout w:type="fixed"/>
          <w:tblCellMar>
            <w:top w:w="0" w:type="dxa"/>
            <w:left w:w="0" w:type="dxa"/>
            <w:bottom w:w="0" w:type="dxa"/>
            <w:right w:w="0" w:type="dxa"/>
          </w:tblCellMar>
        </w:tblPrEx>
        <w:trPr>
          <w:trHeight w:val="740" w:hRule="atLeast"/>
        </w:trPr>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序号</w:t>
            </w:r>
          </w:p>
        </w:tc>
        <w:tc>
          <w:tcPr>
            <w:tcW w:w="15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县（区）</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FF0000"/>
                <w:kern w:val="0"/>
                <w:sz w:val="22"/>
                <w:szCs w:val="22"/>
                <w:lang w:bidi="ar"/>
              </w:rPr>
            </w:pPr>
            <w:r>
              <w:rPr>
                <w:rFonts w:hint="eastAsia" w:ascii="宋体" w:hAnsi="宋体" w:cs="宋体"/>
                <w:color w:val="000000"/>
                <w:kern w:val="0"/>
                <w:sz w:val="22"/>
                <w:szCs w:val="22"/>
                <w:lang w:bidi="ar"/>
              </w:rPr>
              <w:t>生产企业</w:t>
            </w:r>
          </w:p>
        </w:tc>
        <w:tc>
          <w:tcPr>
            <w:tcW w:w="13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经销商</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涉案金额</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机具型号</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单台补贴（元）</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台（套）</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总补贴额（元）</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涉及公职人员情况</w:t>
            </w:r>
          </w:p>
        </w:tc>
        <w:tc>
          <w:tcPr>
            <w:tcW w:w="1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纪检（司法）部门处理情况</w:t>
            </w:r>
          </w:p>
        </w:tc>
      </w:tr>
      <w:tr>
        <w:tblPrEx>
          <w:tblLayout w:type="fixed"/>
          <w:tblCellMar>
            <w:top w:w="0" w:type="dxa"/>
            <w:left w:w="0" w:type="dxa"/>
            <w:bottom w:w="0" w:type="dxa"/>
            <w:right w:w="0" w:type="dxa"/>
          </w:tblCellMar>
        </w:tblPrEx>
        <w:trPr>
          <w:trHeight w:val="270" w:hRule="atLeast"/>
        </w:trPr>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2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9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r>
      <w:tr>
        <w:tblPrEx>
          <w:tblLayout w:type="fixed"/>
          <w:tblCellMar>
            <w:top w:w="0" w:type="dxa"/>
            <w:left w:w="0" w:type="dxa"/>
            <w:bottom w:w="0" w:type="dxa"/>
            <w:right w:w="0" w:type="dxa"/>
          </w:tblCellMar>
        </w:tblPrEx>
        <w:trPr>
          <w:trHeight w:val="270" w:hRule="atLeast"/>
        </w:trPr>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2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9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r>
      <w:tr>
        <w:tblPrEx>
          <w:tblLayout w:type="fixed"/>
          <w:tblCellMar>
            <w:top w:w="0" w:type="dxa"/>
            <w:left w:w="0" w:type="dxa"/>
            <w:bottom w:w="0" w:type="dxa"/>
            <w:right w:w="0" w:type="dxa"/>
          </w:tblCellMar>
        </w:tblPrEx>
        <w:trPr>
          <w:trHeight w:val="270" w:hRule="atLeast"/>
        </w:trPr>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2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9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r>
      <w:tr>
        <w:tblPrEx>
          <w:tblLayout w:type="fixed"/>
          <w:tblCellMar>
            <w:top w:w="0" w:type="dxa"/>
            <w:left w:w="0" w:type="dxa"/>
            <w:bottom w:w="0" w:type="dxa"/>
            <w:right w:w="0" w:type="dxa"/>
          </w:tblCellMar>
        </w:tblPrEx>
        <w:trPr>
          <w:trHeight w:val="270" w:hRule="atLeast"/>
        </w:trPr>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2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9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r>
      <w:tr>
        <w:tblPrEx>
          <w:tblLayout w:type="fixed"/>
          <w:tblCellMar>
            <w:top w:w="0" w:type="dxa"/>
            <w:left w:w="0" w:type="dxa"/>
            <w:bottom w:w="0" w:type="dxa"/>
            <w:right w:w="0" w:type="dxa"/>
          </w:tblCellMar>
        </w:tblPrEx>
        <w:trPr>
          <w:trHeight w:val="270" w:hRule="atLeast"/>
        </w:trPr>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2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9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r>
      <w:tr>
        <w:tblPrEx>
          <w:tblLayout w:type="fixed"/>
          <w:tblCellMar>
            <w:top w:w="0" w:type="dxa"/>
            <w:left w:w="0" w:type="dxa"/>
            <w:bottom w:w="0" w:type="dxa"/>
            <w:right w:w="0" w:type="dxa"/>
          </w:tblCellMar>
        </w:tblPrEx>
        <w:trPr>
          <w:trHeight w:val="270" w:hRule="atLeast"/>
        </w:trPr>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2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9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r>
      <w:tr>
        <w:tblPrEx>
          <w:tblLayout w:type="fixed"/>
          <w:tblCellMar>
            <w:top w:w="0" w:type="dxa"/>
            <w:left w:w="0" w:type="dxa"/>
            <w:bottom w:w="0" w:type="dxa"/>
            <w:right w:w="0" w:type="dxa"/>
          </w:tblCellMar>
        </w:tblPrEx>
        <w:trPr>
          <w:trHeight w:val="270" w:hRule="atLeast"/>
        </w:trPr>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2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9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r>
      <w:tr>
        <w:tblPrEx>
          <w:tblLayout w:type="fixed"/>
          <w:tblCellMar>
            <w:top w:w="0" w:type="dxa"/>
            <w:left w:w="0" w:type="dxa"/>
            <w:bottom w:w="0" w:type="dxa"/>
            <w:right w:w="0" w:type="dxa"/>
          </w:tblCellMar>
        </w:tblPrEx>
        <w:trPr>
          <w:trHeight w:val="270" w:hRule="atLeast"/>
        </w:trPr>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合计</w:t>
            </w:r>
          </w:p>
        </w:tc>
        <w:tc>
          <w:tcPr>
            <w:tcW w:w="155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2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c>
          <w:tcPr>
            <w:tcW w:w="19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2"/>
                <w:szCs w:val="22"/>
              </w:rPr>
            </w:pPr>
          </w:p>
        </w:tc>
      </w:tr>
    </w:tbl>
    <w:p>
      <w:pPr>
        <w:ind w:right="560" w:firstLine="640" w:firstLineChars="200"/>
        <w:jc w:val="right"/>
        <w:rPr>
          <w:rFonts w:hint="eastAsia" w:ascii="仿宋" w:hAnsi="仿宋" w:eastAsia="仿宋" w:cs="宋体"/>
          <w:kern w:val="0"/>
          <w:sz w:val="32"/>
          <w:szCs w:val="32"/>
          <w:shd w:val="clear" w:color="auto" w:fill="FFFFFF"/>
        </w:rPr>
      </w:pPr>
    </w:p>
    <w:p>
      <w:pPr>
        <w:ind w:right="560" w:firstLine="640" w:firstLineChars="200"/>
        <w:jc w:val="right"/>
        <w:rPr>
          <w:rFonts w:hint="eastAsia" w:ascii="仿宋" w:hAnsi="仿宋" w:eastAsia="仿宋" w:cs="宋体"/>
          <w:kern w:val="0"/>
          <w:sz w:val="32"/>
          <w:szCs w:val="32"/>
          <w:shd w:val="clear" w:color="auto" w:fill="FFFFFF"/>
        </w:rPr>
      </w:pPr>
    </w:p>
    <w:p>
      <w:pPr>
        <w:ind w:right="560" w:firstLine="640" w:firstLineChars="200"/>
        <w:jc w:val="right"/>
        <w:rPr>
          <w:rFonts w:hint="eastAsia" w:ascii="仿宋" w:hAnsi="仿宋" w:eastAsia="仿宋" w:cs="宋体"/>
          <w:kern w:val="0"/>
          <w:sz w:val="32"/>
          <w:szCs w:val="32"/>
          <w:shd w:val="clear" w:color="auto" w:fill="FFFFFF"/>
        </w:rPr>
      </w:pPr>
    </w:p>
    <w:p>
      <w:bookmarkStart w:id="0" w:name="_GoBack"/>
      <w:bookmarkEnd w:id="0"/>
    </w:p>
    <w:sectPr>
      <w:footerReference r:id="rId4" w:type="default"/>
      <w:pgSz w:w="16838" w:h="11906" w:orient="landscape"/>
      <w:pgMar w:top="1803" w:right="1440" w:bottom="1803" w:left="1440" w:header="851" w:footer="992" w:gutter="0"/>
      <w:pgNumType w:start="1"/>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v:imagedata o:title=""/>
              <o:lock v:ext="edit" aspectratio="f"/>
              <v:textbox inset="0mm,0mm,0mm,0mm" style="mso-fit-shape-to-text:t;">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C5D3C"/>
    <w:multiLevelType w:val="multilevel"/>
    <w:tmpl w:val="57FC5D3C"/>
    <w:lvl w:ilvl="0" w:tentative="0">
      <w:start w:val="1"/>
      <w:numFmt w:val="decimal"/>
      <w:pStyle w:val="15"/>
      <w:lvlText w:val="%1."/>
      <w:lvlJc w:val="left"/>
      <w:pPr>
        <w:ind w:left="432" w:leftChars="0" w:hanging="432" w:firstLineChars="0"/>
      </w:pPr>
      <w:rPr>
        <w:rFonts w:hint="default"/>
      </w:rPr>
    </w:lvl>
    <w:lvl w:ilvl="1" w:tentative="0">
      <w:start w:val="1"/>
      <w:numFmt w:val="decimal"/>
      <w:lvlText w:val="%1.%2."/>
      <w:lvlJc w:val="left"/>
      <w:pPr>
        <w:ind w:left="575" w:leftChars="0" w:hanging="575" w:firstLineChars="0"/>
      </w:pPr>
      <w:rPr>
        <w:rFonts w:hint="default"/>
      </w:rPr>
    </w:lvl>
    <w:lvl w:ilvl="2" w:tentative="0">
      <w:start w:val="1"/>
      <w:numFmt w:val="decimal"/>
      <w:lvlText w:val="%1.%2.%3."/>
      <w:lvlJc w:val="left"/>
      <w:pPr>
        <w:ind w:left="720" w:leftChars="0" w:hanging="720" w:firstLineChars="0"/>
      </w:pPr>
      <w:rPr>
        <w:rFonts w:hint="default"/>
      </w:rPr>
    </w:lvl>
    <w:lvl w:ilvl="3" w:tentative="0">
      <w:start w:val="1"/>
      <w:numFmt w:val="decimal"/>
      <w:lvlText w:val="%1.%2.%3.%4."/>
      <w:lvlJc w:val="left"/>
      <w:pPr>
        <w:ind w:left="864" w:leftChars="0" w:hanging="864" w:firstLineChars="0"/>
      </w:pPr>
      <w:rPr>
        <w:rFonts w:hint="default"/>
      </w:rPr>
    </w:lvl>
    <w:lvl w:ilvl="4" w:tentative="0">
      <w:start w:val="1"/>
      <w:numFmt w:val="decimal"/>
      <w:lvlText w:val="%1.%2.%3.%4.%5."/>
      <w:lvlJc w:val="left"/>
      <w:pPr>
        <w:ind w:left="1008" w:leftChars="0" w:hanging="1008" w:firstLineChars="0"/>
      </w:pPr>
      <w:rPr>
        <w:rFonts w:hint="default"/>
      </w:rPr>
    </w:lvl>
    <w:lvl w:ilvl="5" w:tentative="0">
      <w:start w:val="1"/>
      <w:numFmt w:val="decimal"/>
      <w:lvlText w:val="%1.%2.%3.%4.%5.%6."/>
      <w:lvlJc w:val="left"/>
      <w:pPr>
        <w:ind w:left="1151" w:leftChars="0" w:hanging="1151" w:firstLineChars="0"/>
      </w:pPr>
      <w:rPr>
        <w:rFonts w:hint="default"/>
      </w:rPr>
    </w:lvl>
    <w:lvl w:ilvl="6" w:tentative="0">
      <w:start w:val="1"/>
      <w:numFmt w:val="decimal"/>
      <w:lvlText w:val="%1.%2.%3.%4.%5.%6.%7."/>
      <w:lvlJc w:val="left"/>
      <w:pPr>
        <w:ind w:left="1296" w:leftChars="0" w:hanging="1296" w:firstLineChars="0"/>
      </w:pPr>
      <w:rPr>
        <w:rFonts w:hint="default"/>
      </w:rPr>
    </w:lvl>
    <w:lvl w:ilvl="7" w:tentative="0">
      <w:start w:val="1"/>
      <w:numFmt w:val="decimal"/>
      <w:lvlText w:val="%1.%2.%3.%4.%5.%6.%7.%8."/>
      <w:lvlJc w:val="left"/>
      <w:pPr>
        <w:ind w:left="1440" w:leftChars="0" w:hanging="1440" w:firstLineChars="0"/>
      </w:pPr>
      <w:rPr>
        <w:rFonts w:hint="default"/>
      </w:rPr>
    </w:lvl>
    <w:lvl w:ilvl="8" w:tentative="0">
      <w:start w:val="1"/>
      <w:numFmt w:val="decimal"/>
      <w:lvlText w:val="%1.%2.%3.%4.%5.%6.%7.%8.%9."/>
      <w:lvlJc w:val="left"/>
      <w:pPr>
        <w:ind w:left="1583" w:leftChars="0" w:hanging="1583" w:firstLineChars="0"/>
      </w:pPr>
      <w:rPr>
        <w:rFonts w:hint="default"/>
      </w:rPr>
    </w:lvl>
  </w:abstractNum>
  <w:abstractNum w:abstractNumId="1">
    <w:nsid w:val="57FC5F5E"/>
    <w:multiLevelType w:val="multilevel"/>
    <w:tmpl w:val="57FC5F5E"/>
    <w:lvl w:ilvl="0" w:tentative="0">
      <w:start w:val="1"/>
      <w:numFmt w:val="decimal"/>
      <w:pStyle w:val="16"/>
      <w:lvlText w:val="%1."/>
      <w:lvlJc w:val="left"/>
      <w:pPr>
        <w:ind w:left="432" w:leftChars="0" w:hanging="432" w:firstLineChars="0"/>
      </w:pPr>
      <w:rPr>
        <w:rFonts w:hint="default"/>
      </w:rPr>
    </w:lvl>
    <w:lvl w:ilvl="1" w:tentative="0">
      <w:start w:val="1"/>
      <w:numFmt w:val="decimal"/>
      <w:pStyle w:val="3"/>
      <w:lvlText w:val="%1.%2."/>
      <w:lvlJc w:val="left"/>
      <w:pPr>
        <w:ind w:left="575" w:leftChars="0" w:hanging="575" w:firstLineChars="0"/>
      </w:pPr>
      <w:rPr>
        <w:rFonts w:hint="default"/>
      </w:rPr>
    </w:lvl>
    <w:lvl w:ilvl="2" w:tentative="0">
      <w:start w:val="1"/>
      <w:numFmt w:val="decimal"/>
      <w:pStyle w:val="4"/>
      <w:lvlText w:val="%1.%2.%3."/>
      <w:lvlJc w:val="left"/>
      <w:pPr>
        <w:ind w:left="720" w:leftChars="0" w:hanging="720" w:firstLineChars="0"/>
      </w:pPr>
      <w:rPr>
        <w:rFonts w:hint="default"/>
      </w:rPr>
    </w:lvl>
    <w:lvl w:ilvl="3" w:tentative="0">
      <w:start w:val="1"/>
      <w:numFmt w:val="decimal"/>
      <w:pStyle w:val="5"/>
      <w:lvlText w:val="%1.%2.%3.%4."/>
      <w:lvlJc w:val="left"/>
      <w:pPr>
        <w:ind w:left="864" w:leftChars="0" w:hanging="864" w:firstLineChars="0"/>
      </w:pPr>
      <w:rPr>
        <w:rFonts w:hint="default"/>
      </w:rPr>
    </w:lvl>
    <w:lvl w:ilvl="4" w:tentative="0">
      <w:start w:val="1"/>
      <w:numFmt w:val="decimal"/>
      <w:pStyle w:val="6"/>
      <w:lvlText w:val="%1.%2.%3.%4.%5."/>
      <w:lvlJc w:val="left"/>
      <w:pPr>
        <w:ind w:left="1008" w:leftChars="0" w:hanging="1008" w:firstLineChars="0"/>
      </w:pPr>
      <w:rPr>
        <w:rFonts w:hint="default"/>
      </w:rPr>
    </w:lvl>
    <w:lvl w:ilvl="5" w:tentative="0">
      <w:start w:val="1"/>
      <w:numFmt w:val="decimal"/>
      <w:pStyle w:val="7"/>
      <w:lvlText w:val="%1.%2.%3.%4.%5.%6."/>
      <w:lvlJc w:val="left"/>
      <w:pPr>
        <w:ind w:left="1151" w:leftChars="0" w:hanging="1151" w:firstLineChars="0"/>
      </w:pPr>
      <w:rPr>
        <w:rFonts w:hint="default"/>
      </w:rPr>
    </w:lvl>
    <w:lvl w:ilvl="6" w:tentative="0">
      <w:start w:val="1"/>
      <w:numFmt w:val="decimal"/>
      <w:pStyle w:val="8"/>
      <w:lvlText w:val="%1.%2.%3.%4.%5.%6.%7."/>
      <w:lvlJc w:val="left"/>
      <w:pPr>
        <w:ind w:left="1296" w:leftChars="0" w:hanging="1296" w:firstLineChars="0"/>
      </w:pPr>
      <w:rPr>
        <w:rFonts w:hint="default"/>
      </w:rPr>
    </w:lvl>
    <w:lvl w:ilvl="7" w:tentative="0">
      <w:start w:val="1"/>
      <w:numFmt w:val="decimal"/>
      <w:pStyle w:val="9"/>
      <w:lvlText w:val="%1.%2.%3.%4.%5.%6.%7.%8."/>
      <w:lvlJc w:val="left"/>
      <w:pPr>
        <w:ind w:left="1440" w:leftChars="0" w:hanging="1440" w:firstLineChars="0"/>
      </w:pPr>
      <w:rPr>
        <w:rFonts w:hint="default"/>
      </w:rPr>
    </w:lvl>
    <w:lvl w:ilvl="8" w:tentative="0">
      <w:start w:val="1"/>
      <w:numFmt w:val="decimal"/>
      <w:pStyle w:val="10"/>
      <w:lvlText w:val="%1.%2.%3.%4.%5.%6.%7.%8.%9."/>
      <w:lvlJc w:val="left"/>
      <w:pPr>
        <w:ind w:left="1583" w:leftChars="0" w:hanging="1583"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066AAB"/>
    <w:rsid w:val="185A5BB1"/>
    <w:rsid w:val="55DE5505"/>
    <w:rsid w:val="74066A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4">
    <w:name w:val="heading 3"/>
    <w:basedOn w:val="1"/>
    <w:next w:val="1"/>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5">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4">
    <w:name w:val="Default Paragraph Font"/>
    <w:semiHidden/>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5">
    <w:name w:val="样式5"/>
    <w:basedOn w:val="2"/>
    <w:qFormat/>
    <w:uiPriority w:val="0"/>
    <w:pPr>
      <w:numPr>
        <w:ilvl w:val="0"/>
        <w:numId w:val="2"/>
      </w:numPr>
    </w:pPr>
    <w:rPr>
      <w:rFonts w:eastAsia="黑体" w:asciiTheme="minorAscii" w:hAnsiTheme="minorAscii"/>
      <w:sz w:val="32"/>
    </w:rPr>
  </w:style>
  <w:style w:type="paragraph" w:customStyle="1" w:styleId="16">
    <w:name w:val="样式11"/>
    <w:basedOn w:val="2"/>
    <w:qFormat/>
    <w:uiPriority w:val="0"/>
    <w:pPr>
      <w:numPr>
        <w:ilvl w:val="0"/>
        <w:numId w:val="1"/>
      </w:numPr>
    </w:pPr>
    <w:rPr>
      <w:rFonts w:eastAsia="黑体" w:asciiTheme="minorAscii" w:hAnsiTheme="minorAscii"/>
      <w:sz w:val="32"/>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2019-09-10T07:18:00Z</dcterms:created>
  <dc:creator>Administrator</dc:creator>
  <cp:lastModifiedBy>Administrator</cp:lastModifiedBy>
  <dcterms:modified xsi:type="dcterms:W3CDTF">2019-09-10T07:19:48Z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