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80" w:lineRule="atLeast"/>
        <w:ind w:left="0" w:right="0" w:firstLine="0"/>
        <w:jc w:val="center"/>
        <w:rPr>
          <w:rFonts w:hint="eastAsia" w:ascii="微软雅黑" w:hAnsi="微软雅黑" w:eastAsia="微软雅黑" w:cs="微软雅黑"/>
          <w:i w:val="0"/>
          <w:caps w:val="0"/>
          <w:color w:val="333333"/>
          <w:spacing w:val="0"/>
          <w:sz w:val="16"/>
          <w:szCs w:val="16"/>
        </w:rPr>
      </w:pPr>
      <w:r>
        <w:rPr>
          <w:rFonts w:ascii="黑体" w:hAnsi="宋体" w:eastAsia="黑体" w:cs="黑体"/>
          <w:b/>
          <w:i w:val="0"/>
          <w:caps w:val="0"/>
          <w:color w:val="333333"/>
          <w:spacing w:val="0"/>
          <w:sz w:val="34"/>
          <w:szCs w:val="34"/>
          <w:shd w:val="clear" w:fill="FFFFFF"/>
        </w:rPr>
        <w:t>贵州省限制使用农药定点经营管理规定</w:t>
      </w:r>
    </w:p>
    <w:p>
      <w:pPr>
        <w:spacing w:line="700" w:lineRule="exact"/>
        <w:ind w:firstLine="562" w:firstLineChars="200"/>
        <w:jc w:val="center"/>
        <w:rPr>
          <w:rFonts w:hint="eastAsia" w:ascii="仿宋_GB2312" w:hAnsi="仿宋_GB2312" w:eastAsia="仿宋_GB2312"/>
          <w:sz w:val="32"/>
        </w:rPr>
      </w:pPr>
      <w:r>
        <w:rPr>
          <w:rFonts w:hint="eastAsia" w:ascii="黑体" w:hAnsi="宋体" w:eastAsia="黑体" w:cs="黑体"/>
          <w:b/>
          <w:i w:val="0"/>
          <w:caps w:val="0"/>
          <w:color w:val="333333"/>
          <w:spacing w:val="0"/>
          <w:sz w:val="28"/>
          <w:szCs w:val="28"/>
          <w:shd w:val="clear" w:fill="FFFFFF"/>
        </w:rPr>
        <w:t>（征求意见稿）</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为切实加强限制使用农药的监督管理，保障农产品质量安全和人畜安全，保护农业生产和生态环境，根据《农药管理条例》和《农药经营许可管理办法》等有关规定，制定本规定。</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限制使用农药名录依照国家和农业部相关规定执行。</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限制使用农药经营许可由省级人民政府农业主管部门（以下简称省级农业部门）核发。</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按照“区域控制、市场集中、保障供给、合理布局”的原则，科学合理制定贵州省限制使用农药定点经营布局。</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贵州省限制使用农药定点经营布局按“涉农乡镇不超过1家、县（市、区）级政府所在地不超过2家、市（州）政府所在地及农药批发市场增设”的方法实行总量控制，具体定点经营布局见附件《贵州省限制使用农药定点经营布局》。</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根据农业生产发展需求和农药管理要求，省级农业部门可适时调整限制使用农药定点经营布局。</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限制使用农药经营许可按“自愿申报、严格标准、满额即止”的原则核发。同一经营区域，符合条件但超过限制使用农药经营许可定点经营布局数量限额的，根据受理行政许可申请的先后顺序作出许可决定。</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取得农药经营许可证的农药经营者，经营范围增加限制使用农药的，应当重新申请农药经营许可证，取得新农药经营许可证的，原农药经营许可证由原发证机关依法注销。 　　</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取得限制使用农药经营许可的农药经营者，其分支机构经营限制使用农药的，应当符合《农药经营许可管理办法》第七条的规定，并符合贵州省限制使用农药定点经营布局。由农药经营者提出许可变更申请。</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限制使用农药经营者应当严格执行限制使用农药经营专柜制度，实行专柜摆放、封闭存放、明示标志、专人管理。</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限制使用农药经营者应当实行限制使用农药经营购销台账制度，使用计算机管理系统，详细记录购销单位或个人、时间、数量，住址、联系方式、品种、数量以及使用作物和防治对象等。</w:t>
      </w:r>
    </w:p>
    <w:p>
      <w:pPr>
        <w:spacing w:line="700" w:lineRule="exact"/>
        <w:ind w:firstLine="640" w:firstLineChars="200"/>
        <w:rPr>
          <w:rFonts w:hint="eastAsia" w:ascii="仿宋_GB2312" w:hAnsi="仿宋_GB2312" w:eastAsia="仿宋_GB2312"/>
          <w:sz w:val="32"/>
        </w:rPr>
      </w:pPr>
      <w:r>
        <w:rPr>
          <w:rFonts w:hint="eastAsia" w:ascii="仿宋_GB2312" w:hAnsi="仿宋_GB2312" w:eastAsia="仿宋_GB2312"/>
          <w:sz w:val="32"/>
        </w:rPr>
        <w:t>限制使用农药的经营者应当为农药使用者提供用药指导，并逐步提供统一用药服务。</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未经取得限制使用农药经营许可的依法定点许可的任何单位和个人，不得经营限制使用农药。</w:t>
      </w:r>
    </w:p>
    <w:p>
      <w:pPr>
        <w:spacing w:line="700" w:lineRule="exact"/>
        <w:ind w:firstLine="640" w:firstLineChars="200"/>
        <w:rPr>
          <w:rFonts w:hint="eastAsia" w:ascii="仿宋_GB2312" w:hAnsi="仿宋_GB2312" w:eastAsia="仿宋_GB2312"/>
          <w:sz w:val="32"/>
        </w:rPr>
      </w:pPr>
      <w:r>
        <w:rPr>
          <w:rFonts w:hint="eastAsia" w:ascii="仿宋_GB2312" w:hAnsi="仿宋_GB2312" w:eastAsia="仿宋_GB2312"/>
          <w:sz w:val="32"/>
        </w:rPr>
        <w:t>限制使用农药不得在互联网上经营。</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限制使用农药经营者违反《农药管理条例》和《农药经营许可管理办法》等有关规定，需要吊销农药经营许可证的，市（县、区）级农业部门应当报请省级农业部门依法处理。</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限制使用农药经营许可发生吊销、注销、撤销、撤回情形的，由省级农业部门向社会公告。</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省级农业部门应当加强全省限制使用农药经营的业务指导和监督管理；市（县、区）级农业部门应当加强本行政区域内限制使用农药定点经营的</w:t>
      </w:r>
      <w:bookmarkStart w:id="0" w:name="_GoBack"/>
      <w:bookmarkEnd w:id="0"/>
      <w:r>
        <w:rPr>
          <w:rFonts w:hint="eastAsia" w:ascii="仿宋_GB2312" w:hAnsi="仿宋_GB2312" w:eastAsia="仿宋_GB2312"/>
          <w:sz w:val="32"/>
        </w:rPr>
        <w:t>业务指导、学习培训和日常监督管理。</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本规定由贵州省农业委员会负责解释。</w:t>
      </w:r>
    </w:p>
    <w:p>
      <w:pPr>
        <w:spacing w:line="700" w:lineRule="exact"/>
        <w:ind w:firstLine="643" w:firstLineChars="200"/>
        <w:rPr>
          <w:rFonts w:hint="eastAsia" w:ascii="仿宋_GB2312" w:hAnsi="仿宋_GB2312" w:eastAsia="仿宋_GB2312"/>
          <w:sz w:val="32"/>
        </w:rPr>
      </w:pPr>
      <w:r>
        <w:rPr>
          <w:rFonts w:hint="eastAsia" w:ascii="仿宋_GB2312" w:hAnsi="仿宋_GB2312" w:eastAsia="仿宋_GB2312"/>
          <w:b/>
          <w:bCs/>
          <w:sz w:val="32"/>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本规定自公布之日实施。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84" w:lineRule="atLeast"/>
        <w:ind w:left="0" w:right="0" w:firstLine="48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84" w:lineRule="atLeast"/>
        <w:ind w:left="0" w:right="0" w:firstLine="480"/>
        <w:rPr>
          <w:rFonts w:hint="eastAsia" w:ascii="宋体" w:hAnsi="宋体" w:eastAsia="宋体" w:cs="宋体"/>
          <w:i w:val="0"/>
          <w:caps w:val="0"/>
          <w:color w:val="333333"/>
          <w:spacing w:val="0"/>
          <w:sz w:val="24"/>
          <w:szCs w:val="24"/>
          <w:shd w:val="clear" w:fill="FFFFFF"/>
        </w:rPr>
      </w:pPr>
    </w:p>
    <w:tbl>
      <w:tblPr>
        <w:tblStyle w:val="3"/>
        <w:tblW w:w="7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6"/>
        <w:gridCol w:w="1296"/>
        <w:gridCol w:w="1260"/>
        <w:gridCol w:w="1404"/>
        <w:gridCol w:w="109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332" w:type="dxa"/>
            <w:gridSpan w:val="6"/>
            <w:tcBorders>
              <w:top w:val="nil"/>
              <w:left w:val="nil"/>
              <w:bottom w:val="single" w:color="auto" w:sz="4" w:space="0"/>
              <w:right w:val="nil"/>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b/>
                <w:i w:val="0"/>
                <w:caps w:val="0"/>
                <w:color w:val="000000"/>
                <w:spacing w:val="0"/>
                <w:sz w:val="19"/>
                <w:szCs w:val="19"/>
              </w:rPr>
              <w:t>附件：         贵州省限制使用农药定点经营布局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exact"/>
        </w:trPr>
        <w:tc>
          <w:tcPr>
            <w:tcW w:w="75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pPr>
            <w:r>
              <w:rPr>
                <w:rFonts w:hint="eastAsia" w:ascii="宋体" w:hAnsi="宋体" w:eastAsia="宋体" w:cs="宋体"/>
                <w:b/>
                <w:i w:val="0"/>
                <w:caps w:val="0"/>
                <w:color w:val="000000"/>
                <w:spacing w:val="0"/>
                <w:sz w:val="15"/>
                <w:szCs w:val="15"/>
              </w:rPr>
              <w:t>市（州）</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5"/>
                <w:szCs w:val="15"/>
              </w:rPr>
              <w:t>县（市、区）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5"/>
                <w:szCs w:val="15"/>
              </w:rPr>
              <w:t>县（市、区）级定点数（个）</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5"/>
                <w:szCs w:val="15"/>
              </w:rPr>
              <w:t>乡镇级定点数（个）</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5"/>
                <w:szCs w:val="15"/>
              </w:rPr>
              <w:t>小计（个）</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5"/>
                <w:szCs w:val="15"/>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贵阳市</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云岩区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农药批发市场增设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乌当区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白云区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花溪区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农药批发市场增设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南明区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观山湖区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农药批发市场增设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修文县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开阳县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息烽县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清镇市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44</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78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122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single" w:color="auto" w:sz="4" w:space="0"/>
              <w:right w:val="nil"/>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安顺市</w:t>
            </w: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西秀区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农药批发市场增设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镇宁县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紫云县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关岭县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普定县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平坝区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20</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77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97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nil"/>
              <w:right w:val="nil"/>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六盘水市</w:t>
            </w: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水城县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31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六枝特区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盘州市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钟山区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nil"/>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11</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65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76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restart"/>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遵义市</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红花岗区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正安县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务川县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习水县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湄潭县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播州区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35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赤水市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仁怀市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桐梓县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凤冈县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绥阳县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汇川区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余庆县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道真县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31</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233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264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铜仁市</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碧江区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思南县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德江县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江口县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石阡县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玉屏县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松桃县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印江县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沿河县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万山区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23</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155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178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nil"/>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毕节市</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七星关区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40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大方县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39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黔西县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金沙县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织金县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纳雍县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威宁县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35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37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赫章县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nil"/>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19</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231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250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restart"/>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黔东南州</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凯里市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天柱县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剑河县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黎平县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23</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从江县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麻江县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黄平县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三穗县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岑巩县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锦屏县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台江县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榕江县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雷山县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丹寨县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镇远县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施秉县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single" w:color="000000" w:sz="4" w:space="0"/>
              <w:left w:val="single" w:color="000000" w:sz="4" w:space="0"/>
              <w:bottom w:val="single" w:color="000000"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35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195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230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黔南州</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都匀市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5</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独山县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三都县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平塘县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荔波县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7</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福泉市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瓮安县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贵定县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龙里县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惠水县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10</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长顺县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6</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8</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罗甸县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27</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102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129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黔西南州</w:t>
            </w: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兴义市</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5</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22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27</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兴仁县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11</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13</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望谟县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册亨县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贞丰县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12</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14</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晴隆县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普安县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10</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12</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义龙新区</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9</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11</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安龙县</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2</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i w:val="0"/>
                <w:caps w:val="0"/>
                <w:color w:val="000000"/>
                <w:spacing w:val="0"/>
                <w:sz w:val="14"/>
                <w:szCs w:val="14"/>
              </w:rPr>
              <w:t>14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i w:val="0"/>
                <w:caps w:val="0"/>
                <w:color w:val="000000"/>
                <w:spacing w:val="0"/>
                <w:sz w:val="14"/>
                <w:szCs w:val="14"/>
              </w:rPr>
              <w:t>16</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75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default" w:ascii="sans-serif" w:hAnsi="sans-serif" w:eastAsia="sans-serif" w:cs="sans-serif"/>
                <w:i w:val="0"/>
                <w:caps w:val="0"/>
                <w:color w:val="000000"/>
                <w:spacing w:val="0"/>
                <w:sz w:val="19"/>
                <w:szCs w:val="19"/>
              </w:rPr>
            </w:pPr>
          </w:p>
        </w:tc>
        <w:tc>
          <w:tcPr>
            <w:tcW w:w="12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小计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21</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118</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139</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trPr>
        <w:tc>
          <w:tcPr>
            <w:tcW w:w="2052" w:type="dxa"/>
            <w:gridSpan w:val="2"/>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eastAsia" w:ascii="宋体" w:hAnsi="宋体" w:eastAsia="宋体" w:cs="宋体"/>
                <w:b/>
                <w:i w:val="0"/>
                <w:caps w:val="0"/>
                <w:color w:val="000000"/>
                <w:spacing w:val="0"/>
                <w:sz w:val="14"/>
                <w:szCs w:val="14"/>
              </w:rPr>
              <w:t>合计</w:t>
            </w:r>
          </w:p>
        </w:tc>
        <w:tc>
          <w:tcPr>
            <w:tcW w:w="126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241</w:t>
            </w:r>
          </w:p>
        </w:tc>
        <w:tc>
          <w:tcPr>
            <w:tcW w:w="140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1254</w:t>
            </w:r>
          </w:p>
        </w:tc>
        <w:tc>
          <w:tcPr>
            <w:tcW w:w="1092"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center"/>
            </w:pPr>
            <w:r>
              <w:rPr>
                <w:rFonts w:hint="default" w:ascii="Times New Roman" w:hAnsi="Times New Roman" w:eastAsia="sans-serif" w:cs="Times New Roman"/>
                <w:b/>
                <w:i w:val="0"/>
                <w:caps w:val="0"/>
                <w:color w:val="000000"/>
                <w:spacing w:val="0"/>
                <w:sz w:val="14"/>
                <w:szCs w:val="14"/>
              </w:rPr>
              <w:t>1495</w:t>
            </w:r>
          </w:p>
        </w:tc>
        <w:tc>
          <w:tcPr>
            <w:tcW w:w="1524"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i w:val="0"/>
                <w:caps w:val="0"/>
                <w:color w:val="000000"/>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84" w:lineRule="atLeast"/>
        <w:ind w:left="0" w:right="0" w:firstLine="480"/>
        <w:rPr>
          <w:rFonts w:hint="eastAsia" w:ascii="微软雅黑" w:hAnsi="微软雅黑" w:eastAsia="微软雅黑" w:cs="微软雅黑"/>
          <w:i w:val="0"/>
          <w:caps w:val="0"/>
          <w:color w:val="333333"/>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Tk2Yzg3MzFjMDZhYmUwNDE1ZThmZDkwYmJjMTMifQ=="/>
  </w:docVars>
  <w:rsids>
    <w:rsidRoot w:val="00172A27"/>
    <w:rsid w:val="12BE42E4"/>
    <w:rsid w:val="1B9D528C"/>
    <w:rsid w:val="23E80A88"/>
    <w:rsid w:val="5E280BCC"/>
    <w:rsid w:val="619F4D65"/>
    <w:rsid w:val="79400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2023-08-09T01:41:24Z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DAE866B75F5345D3BBA7CC37996BCF9C_12</vt:lpwstr>
  </property>
</Properties>
</file>