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Chars="0"/>
        <w:jc w:val="both"/>
        <w:textAlignment w:val="auto"/>
        <w:outlineLvl w:val="9"/>
        <w:rPr>
          <w:rFonts w:hint="default" w:ascii="Times New Roman" w:hAnsi="Times New Roman" w:eastAsia="方正小标宋简体" w:cs="Times New Roman"/>
          <w:color w:val="auto"/>
          <w:sz w:val="44"/>
          <w:szCs w:val="44"/>
          <w:highlight w:val="none"/>
          <w:lang w:val="en-US" w:eastAsia="zh-CN"/>
        </w:rPr>
      </w:pPr>
      <w:bookmarkStart w:id="0" w:name="_GoBack"/>
      <w:bookmarkEnd w:id="0"/>
      <w:r>
        <w:rPr>
          <w:rFonts w:hint="eastAsia" w:ascii="黑体" w:hAnsi="黑体" w:eastAsia="黑体" w:cs="黑体"/>
          <w:color w:val="auto"/>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560" w:lineRule="exact"/>
        <w:ind w:leftChars="0"/>
        <w:jc w:val="center"/>
        <w:textAlignment w:val="auto"/>
        <w:outlineLvl w:val="0"/>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Chars="0"/>
        <w:jc w:val="center"/>
        <w:textAlignment w:val="auto"/>
        <w:outlineLvl w:val="0"/>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贵州省农业农村现代化发展基金项目遴选</w:t>
      </w:r>
    </w:p>
    <w:p>
      <w:pPr>
        <w:keepNext w:val="0"/>
        <w:keepLines w:val="0"/>
        <w:pageBreakBefore w:val="0"/>
        <w:widowControl w:val="0"/>
        <w:kinsoku/>
        <w:wordWrap/>
        <w:overflowPunct/>
        <w:topLinePunct w:val="0"/>
        <w:autoSpaceDE/>
        <w:autoSpaceDN/>
        <w:bidi w:val="0"/>
        <w:adjustRightInd w:val="0"/>
        <w:snapToGrid w:val="0"/>
        <w:spacing w:line="560" w:lineRule="exact"/>
        <w:ind w:leftChars="0"/>
        <w:jc w:val="center"/>
        <w:textAlignment w:val="auto"/>
        <w:outlineLvl w:val="0"/>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标准及申报指南</w:t>
      </w:r>
    </w:p>
    <w:p>
      <w:pPr>
        <w:keepNext w:val="0"/>
        <w:keepLines w:val="0"/>
        <w:pageBreakBefore w:val="0"/>
        <w:widowControl w:val="0"/>
        <w:kinsoku/>
        <w:wordWrap/>
        <w:overflowPunct/>
        <w:topLinePunct w:val="0"/>
        <w:autoSpaceDE/>
        <w:autoSpaceDN/>
        <w:bidi w:val="0"/>
        <w:adjustRightInd w:val="0"/>
        <w:snapToGrid w:val="0"/>
        <w:spacing w:line="560" w:lineRule="exact"/>
        <w:ind w:leftChars="0"/>
        <w:jc w:val="center"/>
        <w:textAlignment w:val="auto"/>
        <w:outlineLvl w:val="0"/>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w:t>
      </w:r>
      <w:r>
        <w:rPr>
          <w:rFonts w:hint="eastAsia" w:ascii="Times New Roman" w:hAnsi="Times New Roman" w:eastAsia="方正小标宋简体" w:cs="Times New Roman"/>
          <w:color w:val="auto"/>
          <w:sz w:val="44"/>
          <w:szCs w:val="44"/>
          <w:highlight w:val="none"/>
          <w:lang w:val="en-US" w:eastAsia="zh-CN"/>
        </w:rPr>
        <w:t>试行</w:t>
      </w:r>
      <w:r>
        <w:rPr>
          <w:rFonts w:hint="default" w:ascii="Times New Roman" w:hAnsi="Times New Roman" w:eastAsia="方正小标宋简体" w:cs="Times New Roman"/>
          <w:color w:val="auto"/>
          <w:sz w:val="44"/>
          <w:szCs w:val="44"/>
          <w:highlight w:val="none"/>
          <w:lang w:val="en-US" w:eastAsia="zh-CN"/>
        </w:rPr>
        <w:t>）</w:t>
      </w:r>
    </w:p>
    <w:p>
      <w:pPr>
        <w:keepLines w:val="0"/>
        <w:pageBreakBefore w:val="0"/>
        <w:wordWrap/>
        <w:bidi w:val="0"/>
        <w:spacing w:line="560" w:lineRule="exact"/>
        <w:ind w:leftChars="0"/>
        <w:rPr>
          <w:rFonts w:hint="default" w:ascii="Times New Roman" w:hAnsi="Times New Roman"/>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为</w:t>
      </w:r>
      <w:r>
        <w:rPr>
          <w:rStyle w:val="21"/>
          <w:rFonts w:hint="default" w:ascii="Times New Roman" w:hAnsi="Times New Roman" w:eastAsia="仿宋_GB2312" w:cs="Times New Roman"/>
          <w:b w:val="0"/>
          <w:i w:val="0"/>
          <w:caps w:val="0"/>
          <w:color w:val="auto"/>
          <w:spacing w:val="0"/>
          <w:w w:val="100"/>
          <w:kern w:val="2"/>
          <w:sz w:val="32"/>
          <w:szCs w:val="32"/>
          <w:highlight w:val="none"/>
          <w:lang w:val="en-US" w:eastAsia="zh-CN" w:bidi="ar-SA"/>
        </w:rPr>
        <w:t>贯彻落实省委、省政府重大决策部署，</w:t>
      </w:r>
      <w:r>
        <w:rPr>
          <w:rFonts w:hint="default" w:ascii="Times New Roman" w:hAnsi="Times New Roman" w:eastAsia="仿宋_GB2312" w:cs="Times New Roman"/>
          <w:color w:val="auto"/>
          <w:sz w:val="32"/>
          <w:szCs w:val="32"/>
          <w:highlight w:val="none"/>
          <w:lang w:val="en-US" w:eastAsia="zh-CN"/>
        </w:rPr>
        <w:t>做好贵州省农业农村现代化发展基金（以下简称“农业基金”）项目谋划及申报工作，</w:t>
      </w:r>
      <w:r>
        <w:rPr>
          <w:rFonts w:hint="default" w:ascii="Times New Roman" w:hAnsi="Times New Roman" w:eastAsia="仿宋_GB2312" w:cs="Times New Roman"/>
          <w:b w:val="0"/>
          <w:bCs w:val="0"/>
          <w:color w:val="auto"/>
          <w:kern w:val="2"/>
          <w:sz w:val="32"/>
          <w:szCs w:val="32"/>
          <w:highlight w:val="none"/>
          <w:u w:val="none" w:color="auto"/>
          <w:lang w:val="en-US" w:eastAsia="zh-CN" w:bidi="ar-SA"/>
        </w:rPr>
        <w:t>按照《省人民政府办公厅关于印发省级政府投资基金优化整合实施方案的通知》（黔府办发〔2021〕9号）、《</w:t>
      </w:r>
      <w:r>
        <w:rPr>
          <w:rFonts w:hint="default" w:ascii="Times New Roman" w:hAnsi="Times New Roman" w:eastAsia="仿宋_GB2312" w:cs="Times New Roman"/>
          <w:color w:val="auto"/>
          <w:sz w:val="32"/>
          <w:szCs w:val="32"/>
          <w:highlight w:val="none"/>
        </w:rPr>
        <w:t>省级政府投资基金管委会办公室关于</w:t>
      </w:r>
      <w:r>
        <w:rPr>
          <w:rFonts w:hint="default" w:ascii="Times New Roman" w:hAnsi="Times New Roman" w:eastAsia="仿宋_GB2312" w:cs="Times New Roman"/>
          <w:color w:val="auto"/>
          <w:sz w:val="32"/>
          <w:szCs w:val="32"/>
          <w:highlight w:val="none"/>
          <w:lang w:eastAsia="zh-CN"/>
        </w:rPr>
        <w:t>深化</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放管服</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改革优化完善</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四化</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及生态环保基金运行体制机制的实施意见</w:t>
      </w:r>
      <w:r>
        <w:rPr>
          <w:rFonts w:hint="default" w:ascii="Times New Roman" w:hAnsi="Times New Roman" w:eastAsia="仿宋_GB2312" w:cs="Times New Roman"/>
          <w:b w:val="0"/>
          <w:bCs w:val="0"/>
          <w:color w:val="auto"/>
          <w:kern w:val="2"/>
          <w:sz w:val="32"/>
          <w:szCs w:val="32"/>
          <w:highlight w:val="none"/>
          <w:u w:val="none" w:color="auto"/>
          <w:lang w:val="en-US" w:eastAsia="zh-CN" w:bidi="ar-SA"/>
        </w:rPr>
        <w:t>》（黔基金办〔2022〕2号）等要求，特制定本指南。</w:t>
      </w:r>
    </w:p>
    <w:p>
      <w:pPr>
        <w:keepLines w:val="0"/>
        <w:pageBreakBefore w:val="0"/>
        <w:numPr>
          <w:ilvl w:val="-1"/>
          <w:numId w:val="0"/>
        </w:numPr>
        <w:wordWrap/>
        <w:bidi w:val="0"/>
        <w:adjustRightInd w:val="0"/>
        <w:snapToGrid w:val="0"/>
        <w:spacing w:line="560" w:lineRule="exact"/>
        <w:ind w:left="0" w:leftChars="0" w:firstLine="640" w:firstLineChars="200"/>
        <w:outlineLvl w:val="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一、总体要求</w:t>
      </w:r>
    </w:p>
    <w:p>
      <w:pPr>
        <w:pStyle w:val="15"/>
        <w:keepLines w:val="0"/>
        <w:pageBreakBefore w:val="0"/>
        <w:numPr>
          <w:ilvl w:val="0"/>
          <w:numId w:val="0"/>
        </w:numPr>
        <w:wordWrap/>
        <w:bidi w:val="0"/>
        <w:spacing w:line="560" w:lineRule="exact"/>
        <w:ind w:left="0" w:leftChars="0" w:firstLine="64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32"/>
          <w:szCs w:val="32"/>
          <w:highlight w:val="none"/>
          <w:lang w:val="en-US" w:eastAsia="zh-CN"/>
        </w:rPr>
        <w:t>切实深化“放管服”改革，优化完善“四化”及生态环保基金运行体制机制，围绕</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US" w:eastAsia="zh-CN"/>
        </w:rPr>
        <w:t>四新”主攻“四化”，全面推进乡村振兴，加快推进农业农村现代化。项目谋划坚持支持首位产业、支持精深加工、支持头部企业“三个重点”，遵循不新增政府债务、参股不控股、不干预企业经营决策“三不原则”和市场化原则，引导和鼓励银行等金融机构积极跟贷项目，但不作为基金投资的前置条件，满足基金投放的项目可先行投放，</w:t>
      </w:r>
      <w:r>
        <w:rPr>
          <w:rFonts w:hint="eastAsia" w:ascii="仿宋_GB2312" w:hAnsi="仿宋_GB2312" w:eastAsia="仿宋_GB2312" w:cs="仿宋_GB2312"/>
          <w:color w:val="auto"/>
          <w:highlight w:val="none"/>
          <w:lang w:eastAsia="zh-CN"/>
        </w:rPr>
        <w:t>重点整合谋划一批跨区域、规模大、效益好、引领性强的项目。</w:t>
      </w:r>
    </w:p>
    <w:p>
      <w:pPr>
        <w:keepLines w:val="0"/>
        <w:pageBreakBefore w:val="0"/>
        <w:numPr>
          <w:ilvl w:val="-1"/>
          <w:numId w:val="0"/>
        </w:numPr>
        <w:wordWrap/>
        <w:bidi w:val="0"/>
        <w:adjustRightInd w:val="0"/>
        <w:snapToGrid w:val="0"/>
        <w:spacing w:line="560" w:lineRule="exact"/>
        <w:ind w:left="0" w:leftChars="0" w:firstLine="640" w:firstLineChars="200"/>
        <w:outlineLvl w:val="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二、申报要求</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楷体_GB2312" w:hAnsi="楷体_GB2312" w:eastAsia="楷体_GB2312" w:cs="楷体_GB2312"/>
          <w:color w:val="auto"/>
          <w:highlight w:val="none"/>
          <w:lang w:val="en-US" w:eastAsia="zh-CN"/>
        </w:rPr>
      </w:pPr>
      <w:r>
        <w:rPr>
          <w:rFonts w:hint="eastAsia" w:ascii="楷体_GB2312" w:hAnsi="楷体_GB2312" w:eastAsia="楷体_GB2312" w:cs="楷体_GB2312"/>
          <w:b w:val="0"/>
          <w:bCs w:val="0"/>
          <w:color w:val="auto"/>
          <w:highlight w:val="none"/>
          <w:lang w:val="en-US" w:eastAsia="zh-CN"/>
        </w:rPr>
        <w:t>（一）重点支持领域</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Cs w:val="22"/>
          <w:highlight w:val="none"/>
          <w:lang w:val="en-US" w:eastAsia="zh-CN"/>
        </w:rPr>
        <w:t>重点投向粮食生产和重要农产品供给、现代特色农业、农业生产及流通服务、绿色循环产业、农业科技装备业、现代化智慧农业、特色林业及林下经济、农村人居环境整治</w:t>
      </w:r>
      <w:r>
        <w:rPr>
          <w:rFonts w:hint="eastAsia" w:ascii="仿宋_GB2312" w:hAnsi="仿宋_GB2312" w:eastAsia="仿宋_GB2312" w:cs="仿宋_GB2312"/>
          <w:color w:val="auto"/>
          <w:szCs w:val="22"/>
          <w:highlight w:val="none"/>
          <w:u w:val="none"/>
          <w:lang w:val="en-US" w:eastAsia="zh-CN"/>
        </w:rPr>
        <w:t>、</w:t>
      </w:r>
      <w:r>
        <w:rPr>
          <w:rFonts w:hint="eastAsia" w:ascii="仿宋_GB2312" w:hAnsi="仿宋_GB2312" w:eastAsia="仿宋_GB2312" w:cs="仿宋_GB2312"/>
          <w:color w:val="auto"/>
          <w:sz w:val="32"/>
          <w:szCs w:val="22"/>
          <w:highlight w:val="none"/>
          <w:u w:val="none"/>
          <w:lang w:eastAsia="zh-CN"/>
        </w:rPr>
        <w:t>高标准农田</w:t>
      </w:r>
      <w:r>
        <w:rPr>
          <w:rFonts w:hint="eastAsia" w:ascii="仿宋_GB2312" w:hAnsi="仿宋_GB2312" w:eastAsia="仿宋_GB2312" w:cs="仿宋_GB2312"/>
          <w:color w:val="auto"/>
          <w:sz w:val="32"/>
          <w:szCs w:val="22"/>
          <w:highlight w:val="none"/>
          <w:u w:val="none"/>
          <w:lang w:val="en-US" w:eastAsia="zh-CN"/>
        </w:rPr>
        <w:t>建设、农村饮水安全</w:t>
      </w:r>
      <w:r>
        <w:rPr>
          <w:rFonts w:hint="eastAsia" w:ascii="仿宋_GB2312" w:hAnsi="仿宋_GB2312" w:eastAsia="仿宋_GB2312" w:cs="仿宋_GB2312"/>
          <w:color w:val="auto"/>
          <w:szCs w:val="22"/>
          <w:highlight w:val="none"/>
          <w:lang w:val="en-US" w:eastAsia="zh-CN"/>
        </w:rPr>
        <w:t>工程</w:t>
      </w:r>
      <w:r>
        <w:rPr>
          <w:rFonts w:hint="eastAsia" w:ascii="仿宋_GB2312" w:hAnsi="仿宋_GB2312" w:eastAsia="仿宋_GB2312" w:cs="仿宋_GB2312"/>
          <w:color w:val="auto"/>
          <w:sz w:val="32"/>
          <w:szCs w:val="22"/>
          <w:highlight w:val="none"/>
          <w:u w:val="none"/>
          <w:lang w:eastAsia="zh-CN"/>
        </w:rPr>
        <w:t>等</w:t>
      </w:r>
      <w:r>
        <w:rPr>
          <w:rFonts w:hint="eastAsia" w:ascii="仿宋_GB2312" w:hAnsi="仿宋_GB2312" w:eastAsia="仿宋_GB2312" w:cs="仿宋_GB2312"/>
          <w:color w:val="auto"/>
          <w:szCs w:val="22"/>
          <w:highlight w:val="none"/>
          <w:lang w:val="en-US" w:eastAsia="zh-CN"/>
        </w:rPr>
        <w:t>项目</w:t>
      </w:r>
      <w:r>
        <w:rPr>
          <w:rFonts w:hint="eastAsia" w:ascii="仿宋_GB2312" w:hAnsi="仿宋_GB2312" w:eastAsia="仿宋_GB2312" w:cs="仿宋_GB2312"/>
          <w:color w:val="auto"/>
          <w:highlight w:val="none"/>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楷体_GB2312" w:hAnsi="楷体_GB2312" w:eastAsia="楷体_GB2312" w:cs="楷体_GB2312"/>
          <w:b w:val="0"/>
          <w:bCs w:val="0"/>
          <w:color w:val="auto"/>
          <w:highlight w:val="none"/>
          <w:lang w:val="en-US" w:eastAsia="zh-CN"/>
        </w:rPr>
      </w:pPr>
      <w:r>
        <w:rPr>
          <w:rFonts w:hint="eastAsia" w:ascii="楷体_GB2312" w:hAnsi="楷体_GB2312" w:eastAsia="楷体_GB2312" w:cs="楷体_GB2312"/>
          <w:b w:val="0"/>
          <w:bCs w:val="0"/>
          <w:color w:val="auto"/>
          <w:highlight w:val="none"/>
          <w:lang w:val="en-US" w:eastAsia="zh-CN"/>
        </w:rPr>
        <w:t>（二）项目建设思路</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textAlignment w:val="auto"/>
        <w:rPr>
          <w:rFonts w:hint="eastAsia" w:ascii="仿宋_GB2312" w:hAnsi="仿宋_GB2312" w:eastAsia="仿宋_GB2312" w:cs="仿宋_GB2312"/>
          <w:color w:val="auto"/>
          <w:szCs w:val="22"/>
          <w:highlight w:val="none"/>
          <w:lang w:val="en-US" w:eastAsia="zh-CN"/>
        </w:rPr>
      </w:pPr>
      <w:r>
        <w:rPr>
          <w:rFonts w:hint="default" w:ascii="仿宋_GB2312" w:hAnsi="仿宋_GB2312" w:eastAsia="仿宋_GB2312" w:cs="仿宋_GB2312"/>
          <w:b/>
          <w:bCs/>
          <w:color w:val="auto"/>
          <w:szCs w:val="22"/>
          <w:highlight w:val="none"/>
          <w:lang w:val="en-US" w:eastAsia="zh-CN"/>
        </w:rPr>
        <w:t>一是支持稳定粮油生产和重要农产品供给。</w:t>
      </w:r>
      <w:r>
        <w:rPr>
          <w:rFonts w:hint="eastAsia" w:ascii="仿宋_GB2312" w:hAnsi="仿宋_GB2312" w:eastAsia="仿宋_GB2312" w:cs="仿宋_GB2312"/>
          <w:color w:val="auto"/>
          <w:szCs w:val="22"/>
          <w:highlight w:val="none"/>
          <w:lang w:val="en-US" w:eastAsia="zh-CN"/>
        </w:rPr>
        <w:t>适度发展优质特色水稻，推动酒用高粱、薏苡、苦荞、芸豆、芭蕉芋等特色杂粮提质增效，推进实现稳生猪、增牛羊、扩家禽、兴奶业、促水产、丰种类。</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textAlignment w:val="auto"/>
        <w:rPr>
          <w:rFonts w:hint="eastAsia" w:ascii="仿宋_GB2312" w:hAnsi="仿宋_GB2312" w:eastAsia="仿宋_GB2312" w:cs="仿宋_GB2312"/>
          <w:color w:val="auto"/>
          <w:szCs w:val="22"/>
          <w:highlight w:val="none"/>
          <w:lang w:val="en-US" w:eastAsia="zh-CN"/>
        </w:rPr>
      </w:pPr>
      <w:r>
        <w:rPr>
          <w:rFonts w:hint="default" w:ascii="仿宋_GB2312" w:hAnsi="仿宋_GB2312" w:eastAsia="仿宋_GB2312" w:cs="仿宋_GB2312"/>
          <w:b/>
          <w:bCs/>
          <w:color w:val="auto"/>
          <w:szCs w:val="22"/>
          <w:highlight w:val="none"/>
          <w:lang w:val="en-US" w:eastAsia="zh-CN"/>
        </w:rPr>
        <w:t>二是支持做精做优特色优势产业。</w:t>
      </w:r>
      <w:r>
        <w:rPr>
          <w:rFonts w:hint="eastAsia" w:ascii="仿宋_GB2312" w:hAnsi="仿宋_GB2312" w:eastAsia="仿宋_GB2312" w:cs="仿宋_GB2312"/>
          <w:color w:val="auto"/>
          <w:szCs w:val="22"/>
          <w:highlight w:val="none"/>
          <w:lang w:val="en-US" w:eastAsia="zh-CN"/>
        </w:rPr>
        <w:t>依托农业主导产业，围绕品种培优、品质提升、品牌创建和标准化生产提升，加快全产业链、全价值链建设，着力提升农产品精深加工，支持建设农产品产地冷藏保鲜冷链设施，深入实施品牌强农战略，支持“贵州绿色农产品”整体品牌创建。提升茶叶、食用菌、中药材、水果、辣椒、牛羊、生态渔等“贵字号”品牌的市场知名度，推动贵州山地特色高效农业提质增效。</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textAlignment w:val="auto"/>
        <w:rPr>
          <w:rFonts w:hint="eastAsia" w:ascii="仿宋_GB2312" w:hAnsi="仿宋_GB2312" w:eastAsia="仿宋_GB2312" w:cs="仿宋_GB2312"/>
          <w:color w:val="auto"/>
          <w:szCs w:val="22"/>
          <w:highlight w:val="none"/>
          <w:lang w:val="en-US" w:eastAsia="zh-CN"/>
        </w:rPr>
      </w:pPr>
      <w:r>
        <w:rPr>
          <w:rFonts w:hint="default" w:ascii="仿宋_GB2312" w:hAnsi="仿宋_GB2312" w:eastAsia="仿宋_GB2312" w:cs="仿宋_GB2312"/>
          <w:b/>
          <w:bCs/>
          <w:color w:val="auto"/>
          <w:szCs w:val="22"/>
          <w:highlight w:val="none"/>
          <w:lang w:val="en-US" w:eastAsia="zh-CN"/>
        </w:rPr>
        <w:t>三是支持推进产业融合发展。</w:t>
      </w:r>
      <w:r>
        <w:rPr>
          <w:rFonts w:hint="eastAsia" w:ascii="仿宋_GB2312" w:hAnsi="仿宋_GB2312" w:eastAsia="仿宋_GB2312" w:cs="仿宋_GB2312"/>
          <w:color w:val="auto"/>
          <w:szCs w:val="22"/>
          <w:highlight w:val="none"/>
          <w:lang w:val="en-US" w:eastAsia="zh-CN"/>
        </w:rPr>
        <w:t>依托农业农村特色优势资源，打造农业全产业链，形成集标准化原料基地、规模化加工转化、网络化服务于一体的产业融合发展格局。拓展农业多种功能，适应市场消费升级需求，发展中央厨房、净菜加工、无接触配送等新业态。重点整合谋划一批跨区域、规模大、效益好、引领性强的项目，培育以加工业为核心的“一县一业、多县一群”全产业链，支持打造农业现代化示范区、优势特色产业集群、现代农业产业园、农业产业强镇。</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textAlignment w:val="auto"/>
        <w:rPr>
          <w:rFonts w:hint="eastAsia" w:ascii="仿宋_GB2312" w:hAnsi="仿宋_GB2312" w:eastAsia="仿宋_GB2312" w:cs="仿宋_GB2312"/>
          <w:color w:val="auto"/>
          <w:szCs w:val="22"/>
          <w:highlight w:val="none"/>
          <w:lang w:val="en-US" w:eastAsia="zh-CN"/>
        </w:rPr>
      </w:pPr>
      <w:r>
        <w:rPr>
          <w:rFonts w:hint="default" w:ascii="仿宋_GB2312" w:hAnsi="仿宋_GB2312" w:eastAsia="仿宋_GB2312" w:cs="仿宋_GB2312"/>
          <w:b/>
          <w:bCs/>
          <w:color w:val="auto"/>
          <w:szCs w:val="22"/>
          <w:highlight w:val="none"/>
          <w:lang w:val="en-US" w:eastAsia="zh-CN"/>
        </w:rPr>
        <w:t>四是支持做大做强头部企业。</w:t>
      </w:r>
      <w:r>
        <w:rPr>
          <w:rFonts w:hint="eastAsia" w:ascii="仿宋_GB2312" w:hAnsi="仿宋_GB2312" w:eastAsia="仿宋_GB2312" w:cs="仿宋_GB2312"/>
          <w:color w:val="auto"/>
          <w:szCs w:val="22"/>
          <w:highlight w:val="none"/>
          <w:lang w:val="en-US" w:eastAsia="zh-CN"/>
        </w:rPr>
        <w:t>引导龙头企业与农民合作社、家庭农场合作共建原料基地，培育产业链长、竞争力强、影响力大的农业集团和农业产业化联合体。大力实施“基金入黔”工程，吸引冷链物流等初加工、食品生产等精深加工、营养成分提取等综合利用方面的头部企业，通过投资省外主体返投等方式引进省外企业来黔落户。</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楷体_GB2312" w:hAnsi="楷体_GB2312" w:eastAsia="楷体_GB2312" w:cs="楷体_GB2312"/>
          <w:b w:val="0"/>
          <w:bCs w:val="0"/>
          <w:color w:val="auto"/>
          <w:highlight w:val="none"/>
          <w:lang w:val="en-US" w:eastAsia="zh-CN"/>
        </w:rPr>
      </w:pPr>
      <w:r>
        <w:rPr>
          <w:rFonts w:hint="eastAsia" w:ascii="楷体_GB2312" w:hAnsi="楷体_GB2312" w:eastAsia="楷体_GB2312" w:cs="楷体_GB2312"/>
          <w:b w:val="0"/>
          <w:bCs w:val="0"/>
          <w:color w:val="auto"/>
          <w:highlight w:val="none"/>
          <w:lang w:val="en-US" w:eastAsia="zh-CN"/>
        </w:rPr>
        <w:t>（三）项目申报要求</w:t>
      </w:r>
    </w:p>
    <w:p>
      <w:pPr>
        <w:pStyle w:val="15"/>
        <w:keepNext w:val="0"/>
        <w:keepLines w:val="0"/>
        <w:pageBreakBefore w:val="0"/>
        <w:widowControl w:val="0"/>
        <w:tabs>
          <w:tab w:val="left" w:pos="0"/>
        </w:tabs>
        <w:kinsoku w:val="0"/>
        <w:wordWrap/>
        <w:overflowPunct/>
        <w:topLinePunct/>
        <w:autoSpaceDE w:val="0"/>
        <w:autoSpaceDN w:val="0"/>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val="0"/>
          <w:bCs w:val="0"/>
          <w:color w:val="auto"/>
          <w:szCs w:val="32"/>
          <w:highlight w:val="none"/>
        </w:rPr>
      </w:pPr>
      <w:r>
        <w:rPr>
          <w:rFonts w:hint="default" w:ascii="Times New Roman" w:hAnsi="Times New Roman" w:eastAsia="仿宋_GB2312" w:cs="Times New Roman"/>
          <w:b/>
          <w:bCs/>
          <w:color w:val="auto"/>
          <w:szCs w:val="32"/>
          <w:highlight w:val="none"/>
          <w:lang w:val="en-US" w:eastAsia="zh-CN"/>
        </w:rPr>
        <w:t>1.</w:t>
      </w:r>
      <w:r>
        <w:rPr>
          <w:rFonts w:hint="default" w:ascii="Times New Roman" w:hAnsi="Times New Roman" w:eastAsia="仿宋_GB2312" w:cs="Times New Roman"/>
          <w:b/>
          <w:bCs/>
          <w:color w:val="auto"/>
          <w:szCs w:val="32"/>
          <w:highlight w:val="none"/>
          <w:lang w:eastAsia="zh-CN"/>
        </w:rPr>
        <w:t>项目申报范围</w:t>
      </w:r>
    </w:p>
    <w:p>
      <w:pPr>
        <w:pStyle w:val="15"/>
        <w:keepNext w:val="0"/>
        <w:keepLines w:val="0"/>
        <w:pageBreakBefore w:val="0"/>
        <w:widowControl w:val="0"/>
        <w:tabs>
          <w:tab w:val="left" w:pos="0"/>
        </w:tabs>
        <w:kinsoku w:val="0"/>
        <w:wordWrap/>
        <w:overflowPunct/>
        <w:topLinePunct/>
        <w:autoSpaceDE w:val="0"/>
        <w:autoSpaceDN w:val="0"/>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highlight w:val="none"/>
          <w:u w:val="none"/>
          <w:lang w:val="en-US" w:eastAsia="zh-CN"/>
        </w:rPr>
        <w:t>符合《省人民政府办公厅关于印发省级政府投资基金优化整合实施方案的通知》（黔府办发〔2021〕9号）和</w:t>
      </w:r>
      <w:r>
        <w:rPr>
          <w:rFonts w:hint="default" w:ascii="Times New Roman" w:hAnsi="Times New Roman" w:eastAsia="仿宋_GB2312" w:cs="Times New Roman"/>
          <w:b w:val="0"/>
          <w:bCs w:val="0"/>
          <w:color w:val="auto"/>
          <w:kern w:val="2"/>
          <w:sz w:val="32"/>
          <w:szCs w:val="32"/>
          <w:highlight w:val="none"/>
          <w:u w:val="none" w:color="auto"/>
          <w:lang w:val="en-US" w:eastAsia="zh-CN" w:bidi="ar-SA"/>
        </w:rPr>
        <w:t>《</w:t>
      </w:r>
      <w:r>
        <w:rPr>
          <w:rFonts w:hint="default" w:ascii="Times New Roman" w:hAnsi="Times New Roman" w:eastAsia="仿宋_GB2312" w:cs="Times New Roman"/>
          <w:color w:val="auto"/>
          <w:sz w:val="32"/>
          <w:szCs w:val="32"/>
          <w:highlight w:val="none"/>
        </w:rPr>
        <w:t>省级政府投资基金管委会办公室关于</w:t>
      </w:r>
      <w:r>
        <w:rPr>
          <w:rFonts w:hint="default" w:ascii="Times New Roman" w:hAnsi="Times New Roman" w:eastAsia="仿宋_GB2312" w:cs="Times New Roman"/>
          <w:color w:val="auto"/>
          <w:sz w:val="32"/>
          <w:szCs w:val="32"/>
          <w:highlight w:val="none"/>
          <w:lang w:eastAsia="zh-CN"/>
        </w:rPr>
        <w:t>深化“放管服”改革优化完善“四化”及生态环保基金运行体制机制的实施意见</w:t>
      </w:r>
      <w:r>
        <w:rPr>
          <w:rFonts w:hint="default" w:ascii="Times New Roman" w:hAnsi="Times New Roman" w:eastAsia="仿宋_GB2312" w:cs="Times New Roman"/>
          <w:b w:val="0"/>
          <w:bCs w:val="0"/>
          <w:color w:val="auto"/>
          <w:kern w:val="2"/>
          <w:sz w:val="32"/>
          <w:szCs w:val="32"/>
          <w:highlight w:val="none"/>
          <w:u w:val="none" w:color="auto"/>
          <w:lang w:val="en-US" w:eastAsia="zh-CN" w:bidi="ar-SA"/>
        </w:rPr>
        <w:t>》（黔基金办〔2022〕2号）</w:t>
      </w:r>
      <w:r>
        <w:rPr>
          <w:rFonts w:hint="default" w:ascii="Times New Roman" w:hAnsi="Times New Roman" w:eastAsia="仿宋_GB2312" w:cs="Times New Roman"/>
          <w:color w:val="auto"/>
          <w:highlight w:val="none"/>
          <w:u w:val="none"/>
          <w:lang w:val="en-US" w:eastAsia="zh-CN"/>
        </w:rPr>
        <w:t>规定的投资范围，且未被列入基金负面清单的项目。</w:t>
      </w:r>
    </w:p>
    <w:p>
      <w:pPr>
        <w:pStyle w:val="15"/>
        <w:keepNext w:val="0"/>
        <w:keepLines w:val="0"/>
        <w:pageBreakBefore w:val="0"/>
        <w:widowControl w:val="0"/>
        <w:tabs>
          <w:tab w:val="left" w:pos="0"/>
        </w:tabs>
        <w:kinsoku w:val="0"/>
        <w:wordWrap/>
        <w:overflowPunct/>
        <w:topLinePunct/>
        <w:autoSpaceDE w:val="0"/>
        <w:autoSpaceDN w:val="0"/>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val="0"/>
          <w:bCs w:val="0"/>
          <w:color w:val="auto"/>
          <w:szCs w:val="32"/>
          <w:highlight w:val="none"/>
        </w:rPr>
      </w:pPr>
      <w:r>
        <w:rPr>
          <w:rFonts w:hint="default" w:ascii="Times New Roman" w:hAnsi="Times New Roman" w:eastAsia="仿宋_GB2312" w:cs="Times New Roman"/>
          <w:b/>
          <w:bCs/>
          <w:color w:val="auto"/>
          <w:szCs w:val="32"/>
          <w:highlight w:val="none"/>
          <w:lang w:val="en-US" w:eastAsia="zh-CN"/>
        </w:rPr>
        <w:t>2.</w:t>
      </w:r>
      <w:r>
        <w:rPr>
          <w:rFonts w:hint="default" w:ascii="Times New Roman" w:hAnsi="Times New Roman" w:eastAsia="仿宋_GB2312" w:cs="Times New Roman"/>
          <w:b/>
          <w:bCs/>
          <w:color w:val="auto"/>
          <w:szCs w:val="32"/>
          <w:highlight w:val="none"/>
        </w:rPr>
        <w:t>企业申报条件</w:t>
      </w:r>
    </w:p>
    <w:p>
      <w:pPr>
        <w:pStyle w:val="15"/>
        <w:keepNext w:val="0"/>
        <w:keepLines w:val="0"/>
        <w:pageBreakBefore w:val="0"/>
        <w:tabs>
          <w:tab w:val="left" w:pos="0"/>
        </w:tabs>
        <w:kinsoku w:val="0"/>
        <w:wordWrap/>
        <w:overflowPunct/>
        <w:topLinePunct/>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highlight w:val="none"/>
          <w:u w:val="none"/>
          <w:lang w:val="en-US" w:eastAsia="zh-CN"/>
        </w:rPr>
      </w:pPr>
      <w:r>
        <w:rPr>
          <w:rFonts w:hint="default" w:ascii="Times New Roman" w:hAnsi="Times New Roman" w:eastAsia="仿宋_GB2312" w:cs="Times New Roman"/>
          <w:b w:val="0"/>
          <w:bCs w:val="0"/>
          <w:color w:val="auto"/>
          <w:szCs w:val="22"/>
          <w:highlight w:val="none"/>
          <w:lang w:eastAsia="zh-CN"/>
        </w:rPr>
        <w:t>（</w:t>
      </w:r>
      <w:r>
        <w:rPr>
          <w:rFonts w:hint="default" w:ascii="Times New Roman" w:hAnsi="Times New Roman" w:eastAsia="仿宋_GB2312" w:cs="Times New Roman"/>
          <w:b w:val="0"/>
          <w:bCs w:val="0"/>
          <w:color w:val="auto"/>
          <w:szCs w:val="22"/>
          <w:highlight w:val="none"/>
          <w:lang w:val="en-US" w:eastAsia="zh-CN"/>
        </w:rPr>
        <w:t>1</w:t>
      </w:r>
      <w:r>
        <w:rPr>
          <w:rFonts w:hint="default" w:ascii="Times New Roman" w:hAnsi="Times New Roman" w:eastAsia="仿宋_GB2312" w:cs="Times New Roman"/>
          <w:b w:val="0"/>
          <w:bCs w:val="0"/>
          <w:color w:val="auto"/>
          <w:szCs w:val="22"/>
          <w:highlight w:val="none"/>
          <w:lang w:eastAsia="zh-CN"/>
        </w:rPr>
        <w:t>）</w:t>
      </w:r>
      <w:r>
        <w:rPr>
          <w:rFonts w:hint="default" w:ascii="Times New Roman" w:hAnsi="Times New Roman" w:eastAsia="仿宋_GB2312" w:cs="Times New Roman"/>
          <w:b w:val="0"/>
          <w:bCs w:val="0"/>
          <w:color w:val="auto"/>
          <w:szCs w:val="22"/>
          <w:highlight w:val="none"/>
        </w:rPr>
        <w:t>组织形式：</w:t>
      </w:r>
      <w:r>
        <w:rPr>
          <w:rFonts w:hint="default" w:ascii="Times New Roman" w:hAnsi="Times New Roman" w:eastAsia="仿宋_GB2312" w:cs="Times New Roman"/>
          <w:color w:val="auto"/>
          <w:highlight w:val="none"/>
          <w:u w:val="none"/>
          <w:lang w:val="en-US" w:eastAsia="zh-CN"/>
        </w:rPr>
        <w:t>应为依法设立具有独立法人资格的有限责任公司、股份有限公司或有限合伙企业；原则上不投资上市企业（上市公司定增除外）。</w:t>
      </w:r>
    </w:p>
    <w:p>
      <w:pPr>
        <w:pStyle w:val="15"/>
        <w:keepNext w:val="0"/>
        <w:keepLines w:val="0"/>
        <w:pageBreakBefore w:val="0"/>
        <w:tabs>
          <w:tab w:val="left" w:pos="0"/>
        </w:tabs>
        <w:kinsoku w:val="0"/>
        <w:wordWrap/>
        <w:overflowPunct/>
        <w:topLinePunct/>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highlight w:val="none"/>
          <w:u w:val="none"/>
          <w:lang w:val="en-US" w:eastAsia="zh-CN"/>
        </w:rPr>
      </w:pPr>
      <w:r>
        <w:rPr>
          <w:rFonts w:hint="default" w:ascii="Times New Roman" w:hAnsi="Times New Roman" w:eastAsia="仿宋_GB2312" w:cs="Times New Roman"/>
          <w:b w:val="0"/>
          <w:bCs w:val="0"/>
          <w:color w:val="auto"/>
          <w:szCs w:val="22"/>
          <w:highlight w:val="none"/>
          <w:lang w:val="en-US" w:eastAsia="zh-CN"/>
        </w:rPr>
        <w:t>（2）主营业务：</w:t>
      </w:r>
      <w:r>
        <w:rPr>
          <w:rFonts w:hint="default" w:ascii="Times New Roman" w:hAnsi="Times New Roman" w:eastAsia="仿宋_GB2312" w:cs="Times New Roman"/>
          <w:color w:val="auto"/>
          <w:highlight w:val="none"/>
          <w:u w:val="none"/>
          <w:lang w:val="en-US" w:eastAsia="zh-CN"/>
        </w:rPr>
        <w:t>公司应具有明确的主营业务，相关经营业务不得与《贵州省农业农村现代化发展基金管理暂行办法》中基金投向相违背。</w:t>
      </w:r>
    </w:p>
    <w:p>
      <w:pPr>
        <w:keepNext w:val="0"/>
        <w:keepLines w:val="0"/>
        <w:pageBreakBefore w:val="0"/>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color w:val="auto"/>
          <w:kern w:val="2"/>
          <w:sz w:val="32"/>
          <w:szCs w:val="32"/>
          <w:highlight w:val="none"/>
          <w:lang w:val="en-US" w:eastAsia="zh-CN" w:bidi="zh-CN"/>
        </w:rPr>
      </w:pPr>
      <w:r>
        <w:rPr>
          <w:rFonts w:hint="default" w:ascii="Times New Roman" w:hAnsi="Times New Roman" w:eastAsia="仿宋_GB2312" w:cs="Times New Roman"/>
          <w:b w:val="0"/>
          <w:bCs w:val="0"/>
          <w:color w:val="auto"/>
          <w:kern w:val="2"/>
          <w:sz w:val="32"/>
          <w:szCs w:val="22"/>
          <w:highlight w:val="none"/>
          <w:lang w:val="en-US" w:eastAsia="zh-CN" w:bidi="ar-SA"/>
        </w:rPr>
        <w:t>（3）注册地：</w:t>
      </w:r>
      <w:r>
        <w:rPr>
          <w:rFonts w:hint="default" w:ascii="Times New Roman" w:hAnsi="Times New Roman" w:eastAsia="仿宋_GB2312" w:cs="Times New Roman"/>
          <w:color w:val="auto"/>
          <w:kern w:val="2"/>
          <w:sz w:val="32"/>
          <w:szCs w:val="32"/>
          <w:highlight w:val="none"/>
          <w:lang w:val="en-US" w:eastAsia="zh-CN" w:bidi="zh-CN"/>
        </w:rPr>
        <w:t>贵州省内外的企业，农业</w:t>
      </w:r>
      <w:r>
        <w:rPr>
          <w:rStyle w:val="21"/>
          <w:rFonts w:hint="default" w:ascii="Times New Roman" w:hAnsi="Times New Roman" w:eastAsia="仿宋_GB2312" w:cs="Times New Roman"/>
          <w:b w:val="0"/>
          <w:i w:val="0"/>
          <w:caps w:val="0"/>
          <w:color w:val="auto"/>
          <w:spacing w:val="0"/>
          <w:w w:val="100"/>
          <w:kern w:val="2"/>
          <w:sz w:val="32"/>
          <w:szCs w:val="32"/>
          <w:highlight w:val="none"/>
          <w:lang w:val="en-US" w:eastAsia="zh-CN" w:bidi="ar-SA"/>
        </w:rPr>
        <w:t>基金</w:t>
      </w:r>
      <w:r>
        <w:rPr>
          <w:rFonts w:hint="default" w:ascii="Times New Roman" w:hAnsi="Times New Roman" w:eastAsia="仿宋_GB2312" w:cs="Times New Roman"/>
          <w:color w:val="auto"/>
          <w:kern w:val="2"/>
          <w:sz w:val="32"/>
          <w:szCs w:val="32"/>
          <w:highlight w:val="none"/>
          <w:lang w:val="en-US" w:eastAsia="zh-CN" w:bidi="zh-CN"/>
        </w:rPr>
        <w:t>投资省外企业资金规模原则上不超过基金实缴规模的30</w:t>
      </w:r>
      <w:r>
        <w:rPr>
          <w:rFonts w:hint="default" w:ascii="Times New Roman" w:hAnsi="Times New Roman" w:eastAsia="仿宋_GB2312" w:cs="Times New Roman"/>
          <w:color w:val="auto"/>
          <w:kern w:val="2"/>
          <w:sz w:val="32"/>
          <w:szCs w:val="32"/>
          <w:highlight w:val="none"/>
          <w:lang w:val="en-US" w:eastAsia="zh-CN" w:bidi="zh-CN"/>
        </w:rPr>
        <w:drawing>
          <wp:inline distT="0" distB="0" distL="0" distR="0">
            <wp:extent cx="85090" cy="154940"/>
            <wp:effectExtent l="0" t="0" r="10160" b="16510"/>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a:picLocks noChangeAspect="1"/>
                    </pic:cNvPicPr>
                  </pic:nvPicPr>
                  <pic:blipFill>
                    <a:blip r:embed="rId5" cstate="print"/>
                    <a:stretch>
                      <a:fillRect/>
                    </a:stretch>
                  </pic:blipFill>
                  <pic:spPr>
                    <a:xfrm>
                      <a:off x="0" y="0"/>
                      <a:ext cx="85724" cy="155574"/>
                    </a:xfrm>
                    <a:prstGeom prst="rect">
                      <a:avLst/>
                    </a:prstGeom>
                  </pic:spPr>
                </pic:pic>
              </a:graphicData>
            </a:graphic>
          </wp:inline>
        </w:drawing>
      </w:r>
      <w:r>
        <w:rPr>
          <w:rFonts w:hint="default" w:ascii="Times New Roman" w:hAnsi="Times New Roman" w:eastAsia="仿宋_GB2312" w:cs="Times New Roman"/>
          <w:color w:val="auto"/>
          <w:kern w:val="2"/>
          <w:sz w:val="32"/>
          <w:szCs w:val="32"/>
          <w:highlight w:val="none"/>
          <w:lang w:val="en-US" w:eastAsia="zh-CN" w:bidi="zh-CN"/>
        </w:rPr>
        <w:t>。基金投资省外企业认定标准：被贵州省内企业控股收购的省外企业；企业通过设立子公司的形式将重要业务板块地落户贵州，子公司资产须不低于</w:t>
      </w:r>
      <w:r>
        <w:rPr>
          <w:rFonts w:hint="default" w:ascii="Times New Roman" w:hAnsi="Times New Roman" w:eastAsia="仿宋_GB2312" w:cs="Times New Roman"/>
          <w:color w:val="auto"/>
          <w:kern w:val="2"/>
          <w:sz w:val="32"/>
          <w:szCs w:val="32"/>
          <w:highlight w:val="none"/>
          <w:lang w:val="en-US" w:eastAsia="zh-Hans" w:bidi="zh-CN"/>
        </w:rPr>
        <w:t>农业</w:t>
      </w:r>
      <w:r>
        <w:rPr>
          <w:rFonts w:hint="default" w:ascii="Times New Roman" w:hAnsi="Times New Roman" w:eastAsia="仿宋_GB2312" w:cs="Times New Roman"/>
          <w:color w:val="auto"/>
          <w:kern w:val="2"/>
          <w:sz w:val="32"/>
          <w:szCs w:val="32"/>
          <w:highlight w:val="none"/>
          <w:lang w:val="en-US" w:eastAsia="zh-CN" w:bidi="zh-CN"/>
        </w:rPr>
        <w:t>基金对该企业的对应投资金额中贵州政府出资部分；经农业基金工作协调组办公室审议通过的贵州省农业现代化产业</w:t>
      </w:r>
      <w:r>
        <w:rPr>
          <w:rFonts w:hint="default" w:ascii="Times New Roman" w:hAnsi="Times New Roman" w:eastAsia="仿宋_GB2312" w:cs="Times New Roman"/>
          <w:color w:val="auto"/>
          <w:kern w:val="2"/>
          <w:sz w:val="32"/>
          <w:szCs w:val="32"/>
          <w:highlight w:val="none"/>
          <w:lang w:val="en-US" w:eastAsia="zh-Hans" w:bidi="zh-CN"/>
        </w:rPr>
        <w:t>中</w:t>
      </w:r>
      <w:r>
        <w:rPr>
          <w:rFonts w:hint="default" w:ascii="Times New Roman" w:hAnsi="Times New Roman" w:eastAsia="仿宋_GB2312" w:cs="Times New Roman"/>
          <w:color w:val="auto"/>
          <w:kern w:val="2"/>
          <w:sz w:val="32"/>
          <w:szCs w:val="32"/>
          <w:highlight w:val="none"/>
          <w:lang w:val="en-US" w:eastAsia="zh-CN" w:bidi="zh-CN"/>
        </w:rPr>
        <w:t>具有重要带动作用或发展前景好、盈利能力强的省外项目。</w:t>
      </w:r>
    </w:p>
    <w:p>
      <w:pPr>
        <w:pStyle w:val="15"/>
        <w:keepNext w:val="0"/>
        <w:keepLines w:val="0"/>
        <w:pageBreakBefore w:val="0"/>
        <w:tabs>
          <w:tab w:val="left" w:pos="0"/>
        </w:tabs>
        <w:kinsoku w:val="0"/>
        <w:wordWrap/>
        <w:overflowPunct/>
        <w:topLinePunct/>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b w:val="0"/>
          <w:bCs w:val="0"/>
          <w:color w:val="auto"/>
          <w:szCs w:val="22"/>
          <w:highlight w:val="none"/>
          <w:lang w:val="en-US" w:eastAsia="zh-CN"/>
        </w:rPr>
        <w:t>（4）</w:t>
      </w:r>
      <w:r>
        <w:rPr>
          <w:rFonts w:hint="default" w:ascii="Times New Roman" w:hAnsi="Times New Roman" w:eastAsia="仿宋_GB2312" w:cs="Times New Roman"/>
          <w:b w:val="0"/>
          <w:bCs w:val="0"/>
          <w:color w:val="auto"/>
          <w:szCs w:val="22"/>
          <w:highlight w:val="none"/>
        </w:rPr>
        <w:t>核心团队：</w:t>
      </w:r>
      <w:r>
        <w:rPr>
          <w:rFonts w:hint="default" w:ascii="Times New Roman" w:hAnsi="Times New Roman" w:eastAsia="仿宋_GB2312" w:cs="Times New Roman"/>
          <w:color w:val="auto"/>
          <w:highlight w:val="none"/>
          <w:u w:val="none"/>
          <w:lang w:val="en-US" w:eastAsia="zh-CN"/>
        </w:rPr>
        <w:t>核心团队成员需具有与项目实施相匹配的行业背景与技术能力；至少有3名成员须具备从事相关行业的经验或背景。</w:t>
      </w:r>
    </w:p>
    <w:p>
      <w:pPr>
        <w:pStyle w:val="15"/>
        <w:keepNext w:val="0"/>
        <w:keepLines w:val="0"/>
        <w:pageBreakBefore w:val="0"/>
        <w:tabs>
          <w:tab w:val="left" w:pos="0"/>
        </w:tabs>
        <w:kinsoku w:val="0"/>
        <w:wordWrap/>
        <w:overflowPunct/>
        <w:topLinePunct/>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b w:val="0"/>
          <w:bCs w:val="0"/>
          <w:color w:val="auto"/>
          <w:szCs w:val="22"/>
          <w:highlight w:val="none"/>
          <w:lang w:val="en-US" w:eastAsia="zh-CN"/>
        </w:rPr>
        <w:t>（5）</w:t>
      </w:r>
      <w:r>
        <w:rPr>
          <w:rFonts w:hint="default" w:ascii="Times New Roman" w:hAnsi="Times New Roman" w:eastAsia="仿宋_GB2312" w:cs="Times New Roman"/>
          <w:b w:val="0"/>
          <w:bCs w:val="0"/>
          <w:color w:val="auto"/>
          <w:szCs w:val="22"/>
          <w:highlight w:val="none"/>
        </w:rPr>
        <w:t>规范性：</w:t>
      </w:r>
      <w:r>
        <w:rPr>
          <w:rFonts w:hint="default" w:ascii="Times New Roman" w:hAnsi="Times New Roman" w:eastAsia="仿宋_GB2312" w:cs="Times New Roman"/>
          <w:color w:val="auto"/>
          <w:highlight w:val="none"/>
          <w:u w:val="none"/>
          <w:lang w:val="en-US" w:eastAsia="zh-CN"/>
        </w:rPr>
        <w:t>法人治理结构健全；</w:t>
      </w:r>
      <w:r>
        <w:rPr>
          <w:rFonts w:hint="default" w:ascii="Times New Roman" w:hAnsi="Times New Roman" w:eastAsia="仿宋_GB2312" w:cs="Times New Roman"/>
          <w:color w:val="auto"/>
          <w:spacing w:val="-11"/>
          <w:highlight w:val="none"/>
          <w:u w:val="none"/>
          <w:lang w:val="en-US" w:eastAsia="zh-CN"/>
        </w:rPr>
        <w:t>股权关系清晰，</w:t>
      </w:r>
      <w:r>
        <w:rPr>
          <w:rFonts w:hint="default" w:ascii="Times New Roman" w:hAnsi="Times New Roman" w:eastAsia="仿宋_GB2312" w:cs="Times New Roman"/>
          <w:color w:val="auto"/>
          <w:highlight w:val="none"/>
          <w:u w:val="none"/>
          <w:lang w:val="en-US" w:eastAsia="zh-CN"/>
        </w:rPr>
        <w:t>不存在重大股权纠纷的情况；公司资产权属清晰，权证合规</w:t>
      </w:r>
      <w:r>
        <w:rPr>
          <w:rFonts w:hint="default" w:ascii="Times New Roman" w:hAnsi="Times New Roman" w:eastAsia="仿宋_GB2312" w:cs="Times New Roman"/>
          <w:color w:val="auto"/>
          <w:highlight w:val="none"/>
          <w:u w:val="none"/>
          <w:lang w:eastAsia="zh-CN"/>
        </w:rPr>
        <w:t>；</w:t>
      </w:r>
      <w:r>
        <w:rPr>
          <w:rFonts w:hint="default" w:ascii="Times New Roman" w:hAnsi="Times New Roman" w:eastAsia="仿宋_GB2312" w:cs="Times New Roman"/>
          <w:color w:val="auto"/>
          <w:highlight w:val="none"/>
          <w:u w:val="none"/>
          <w:lang w:val="en-US" w:eastAsia="zh-CN"/>
        </w:rPr>
        <w:t>建立了现代化企业管理制度，包括生产、管理、财务等；特许行业经营项目应具备项目必须的运营资质。</w:t>
      </w:r>
    </w:p>
    <w:p>
      <w:pPr>
        <w:pStyle w:val="15"/>
        <w:keepNext w:val="0"/>
        <w:keepLines w:val="0"/>
        <w:pageBreakBefore w:val="0"/>
        <w:tabs>
          <w:tab w:val="left" w:pos="0"/>
        </w:tabs>
        <w:kinsoku w:val="0"/>
        <w:wordWrap/>
        <w:overflowPunct/>
        <w:topLinePunct/>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b w:val="0"/>
          <w:bCs w:val="0"/>
          <w:color w:val="auto"/>
          <w:szCs w:val="22"/>
          <w:highlight w:val="none"/>
          <w:lang w:val="en-US" w:eastAsia="zh-CN"/>
        </w:rPr>
        <w:t>（6）</w:t>
      </w:r>
      <w:r>
        <w:rPr>
          <w:rFonts w:hint="default" w:ascii="Times New Roman" w:hAnsi="Times New Roman" w:eastAsia="仿宋_GB2312" w:cs="Times New Roman"/>
          <w:b w:val="0"/>
          <w:bCs w:val="0"/>
          <w:color w:val="auto"/>
          <w:szCs w:val="22"/>
          <w:highlight w:val="none"/>
        </w:rPr>
        <w:t>财务指标：</w:t>
      </w:r>
      <w:r>
        <w:rPr>
          <w:rFonts w:hint="default" w:ascii="Times New Roman" w:hAnsi="Times New Roman" w:eastAsia="仿宋_GB2312" w:cs="Times New Roman"/>
          <w:color w:val="auto"/>
          <w:highlight w:val="none"/>
          <w:u w:val="none"/>
          <w:lang w:val="en-US" w:eastAsia="zh-CN"/>
        </w:rPr>
        <w:t>总资产不低于3000万元；净资产不低于1000万元。</w:t>
      </w:r>
    </w:p>
    <w:p>
      <w:pPr>
        <w:pStyle w:val="15"/>
        <w:keepNext w:val="0"/>
        <w:keepLines w:val="0"/>
        <w:pageBreakBefore w:val="0"/>
        <w:tabs>
          <w:tab w:val="left" w:pos="0"/>
        </w:tabs>
        <w:kinsoku w:val="0"/>
        <w:wordWrap/>
        <w:overflowPunct/>
        <w:topLinePunct/>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b w:val="0"/>
          <w:bCs w:val="0"/>
          <w:color w:val="auto"/>
          <w:szCs w:val="22"/>
          <w:highlight w:val="none"/>
          <w:lang w:val="en-US" w:eastAsia="zh-CN"/>
        </w:rPr>
        <w:t>（7）</w:t>
      </w:r>
      <w:r>
        <w:rPr>
          <w:rFonts w:hint="default" w:ascii="Times New Roman" w:hAnsi="Times New Roman" w:eastAsia="仿宋_GB2312" w:cs="Times New Roman"/>
          <w:b w:val="0"/>
          <w:bCs w:val="0"/>
          <w:color w:val="auto"/>
          <w:szCs w:val="22"/>
          <w:highlight w:val="none"/>
        </w:rPr>
        <w:t>技术与研发：</w:t>
      </w:r>
      <w:r>
        <w:rPr>
          <w:rFonts w:hint="default" w:ascii="Times New Roman" w:hAnsi="Times New Roman" w:eastAsia="仿宋_GB2312" w:cs="Times New Roman"/>
          <w:color w:val="auto"/>
          <w:highlight w:val="none"/>
          <w:u w:val="none"/>
          <w:lang w:val="en-US" w:eastAsia="zh-CN"/>
        </w:rPr>
        <w:t>应拥有权属清晰、完整的专利技术及相关知识产权，具有较强的技术研发或创新能力。</w:t>
      </w:r>
    </w:p>
    <w:p>
      <w:pPr>
        <w:pStyle w:val="15"/>
        <w:keepNext w:val="0"/>
        <w:keepLines w:val="0"/>
        <w:pageBreakBefore w:val="0"/>
        <w:tabs>
          <w:tab w:val="left" w:pos="0"/>
        </w:tabs>
        <w:kinsoku w:val="0"/>
        <w:wordWrap/>
        <w:overflowPunct/>
        <w:topLinePunct/>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b w:val="0"/>
          <w:bCs w:val="0"/>
          <w:color w:val="auto"/>
          <w:szCs w:val="22"/>
          <w:highlight w:val="none"/>
          <w:lang w:val="en-US" w:eastAsia="zh-CN"/>
        </w:rPr>
        <w:t>（8）</w:t>
      </w:r>
      <w:r>
        <w:rPr>
          <w:rFonts w:hint="default" w:ascii="Times New Roman" w:hAnsi="Times New Roman" w:eastAsia="仿宋_GB2312" w:cs="Times New Roman"/>
          <w:b w:val="0"/>
          <w:bCs w:val="0"/>
          <w:color w:val="auto"/>
          <w:szCs w:val="22"/>
          <w:highlight w:val="none"/>
        </w:rPr>
        <w:t>诉讼、仲裁与行政处罚：</w:t>
      </w:r>
      <w:r>
        <w:rPr>
          <w:rFonts w:hint="default" w:ascii="Times New Roman" w:hAnsi="Times New Roman" w:eastAsia="仿宋_GB2312" w:cs="Times New Roman"/>
          <w:color w:val="auto"/>
          <w:highlight w:val="none"/>
          <w:u w:val="none"/>
          <w:lang w:val="en-US" w:eastAsia="zh-CN"/>
        </w:rPr>
        <w:t>公司及股东最近五年内不存在犯罪、重大违法违规行为，无尚未了结的将会实质性影响公司经营等情况；企业未列入有关部门发布的负面清单或限批名单，且近3年没有因财政、环保、税务及其他重大违法、违规行为受到县级以上财政部门及相关行政执法、监管部门的处理处罚（是否属于重大违法、违规行为由当地相关执法部门出具认定函）。</w:t>
      </w:r>
    </w:p>
    <w:p>
      <w:pPr>
        <w:pStyle w:val="15"/>
        <w:keepNext w:val="0"/>
        <w:keepLines w:val="0"/>
        <w:pageBreakBefore w:val="0"/>
        <w:tabs>
          <w:tab w:val="left" w:pos="0"/>
        </w:tabs>
        <w:kinsoku w:val="0"/>
        <w:wordWrap/>
        <w:overflowPunct/>
        <w:topLinePunct/>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b w:val="0"/>
          <w:bCs w:val="0"/>
          <w:color w:val="auto"/>
          <w:szCs w:val="22"/>
          <w:highlight w:val="none"/>
          <w:lang w:val="en-US" w:eastAsia="zh-CN"/>
        </w:rPr>
        <w:t>（9）</w:t>
      </w:r>
      <w:r>
        <w:rPr>
          <w:rFonts w:hint="default" w:ascii="Times New Roman" w:hAnsi="Times New Roman" w:eastAsia="仿宋_GB2312" w:cs="Times New Roman"/>
          <w:b w:val="0"/>
          <w:bCs w:val="0"/>
          <w:color w:val="auto"/>
          <w:szCs w:val="22"/>
          <w:highlight w:val="none"/>
        </w:rPr>
        <w:t>信用情况：</w:t>
      </w:r>
      <w:r>
        <w:rPr>
          <w:rFonts w:hint="default" w:ascii="Times New Roman" w:hAnsi="Times New Roman" w:eastAsia="仿宋_GB2312" w:cs="Times New Roman"/>
          <w:color w:val="auto"/>
          <w:highlight w:val="none"/>
          <w:u w:val="none"/>
          <w:lang w:val="en-US" w:eastAsia="zh-CN"/>
        </w:rPr>
        <w:t>公司及股东征信情况良好，不存在被列入失信人员等情况。</w:t>
      </w:r>
    </w:p>
    <w:p>
      <w:pPr>
        <w:pStyle w:val="15"/>
        <w:keepNext w:val="0"/>
        <w:keepLines w:val="0"/>
        <w:pageBreakBefore w:val="0"/>
        <w:tabs>
          <w:tab w:val="left" w:pos="0"/>
        </w:tabs>
        <w:kinsoku w:val="0"/>
        <w:wordWrap/>
        <w:overflowPunct/>
        <w:topLinePunct/>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b w:val="0"/>
          <w:bCs w:val="0"/>
          <w:color w:val="auto"/>
          <w:szCs w:val="22"/>
          <w:highlight w:val="none"/>
          <w:lang w:val="en-US" w:eastAsia="zh-CN"/>
        </w:rPr>
        <w:t>（10）</w:t>
      </w:r>
      <w:r>
        <w:rPr>
          <w:rFonts w:hint="default" w:ascii="Times New Roman" w:hAnsi="Times New Roman" w:eastAsia="仿宋_GB2312" w:cs="Times New Roman"/>
          <w:b w:val="0"/>
          <w:bCs w:val="0"/>
          <w:color w:val="auto"/>
          <w:szCs w:val="22"/>
          <w:highlight w:val="none"/>
        </w:rPr>
        <w:t>市场与商业模式：</w:t>
      </w:r>
      <w:r>
        <w:rPr>
          <w:rFonts w:hint="default" w:ascii="Times New Roman" w:hAnsi="Times New Roman" w:eastAsia="仿宋_GB2312" w:cs="Times New Roman"/>
          <w:color w:val="auto"/>
          <w:highlight w:val="none"/>
          <w:u w:val="none"/>
          <w:lang w:val="en-US" w:eastAsia="zh-CN"/>
        </w:rPr>
        <w:t>产品或服务有明确的目标市场，具有较强的市场竞争力与可持续的经营能力，产品或服务应具有创新且盈利的商业模式。</w:t>
      </w:r>
    </w:p>
    <w:p>
      <w:pPr>
        <w:pStyle w:val="15"/>
        <w:keepNext w:val="0"/>
        <w:keepLines w:val="0"/>
        <w:pageBreakBefore w:val="0"/>
        <w:tabs>
          <w:tab w:val="left" w:pos="0"/>
        </w:tabs>
        <w:kinsoku w:val="0"/>
        <w:wordWrap/>
        <w:overflowPunct/>
        <w:topLinePunct/>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b w:val="0"/>
          <w:bCs w:val="0"/>
          <w:color w:val="auto"/>
          <w:szCs w:val="22"/>
          <w:highlight w:val="none"/>
          <w:lang w:eastAsia="zh-CN"/>
        </w:rPr>
        <w:t>（</w:t>
      </w:r>
      <w:r>
        <w:rPr>
          <w:rFonts w:hint="default" w:ascii="Times New Roman" w:hAnsi="Times New Roman" w:eastAsia="仿宋_GB2312" w:cs="Times New Roman"/>
          <w:b w:val="0"/>
          <w:bCs w:val="0"/>
          <w:color w:val="auto"/>
          <w:szCs w:val="22"/>
          <w:highlight w:val="none"/>
          <w:lang w:val="en-US" w:eastAsia="zh-CN"/>
        </w:rPr>
        <w:t>11</w:t>
      </w:r>
      <w:r>
        <w:rPr>
          <w:rFonts w:hint="default" w:ascii="Times New Roman" w:hAnsi="Times New Roman" w:eastAsia="仿宋_GB2312" w:cs="Times New Roman"/>
          <w:b w:val="0"/>
          <w:bCs w:val="0"/>
          <w:color w:val="auto"/>
          <w:szCs w:val="22"/>
          <w:highlight w:val="none"/>
          <w:lang w:eastAsia="zh-CN"/>
        </w:rPr>
        <w:t>）</w:t>
      </w:r>
      <w:r>
        <w:rPr>
          <w:rFonts w:hint="default" w:ascii="Times New Roman" w:hAnsi="Times New Roman" w:eastAsia="仿宋_GB2312" w:cs="Times New Roman"/>
          <w:b w:val="0"/>
          <w:bCs w:val="0"/>
          <w:color w:val="auto"/>
          <w:szCs w:val="22"/>
          <w:highlight w:val="none"/>
        </w:rPr>
        <w:t>关联交易：</w:t>
      </w:r>
      <w:r>
        <w:rPr>
          <w:rFonts w:hint="default" w:ascii="Times New Roman" w:hAnsi="Times New Roman" w:eastAsia="仿宋_GB2312" w:cs="Times New Roman"/>
          <w:color w:val="auto"/>
          <w:highlight w:val="none"/>
          <w:u w:val="none"/>
          <w:lang w:val="en-US" w:eastAsia="zh-CN"/>
        </w:rPr>
        <w:t>关联交易清晰，价格公允。</w:t>
      </w:r>
    </w:p>
    <w:p>
      <w:pPr>
        <w:pStyle w:val="15"/>
        <w:keepNext w:val="0"/>
        <w:keepLines w:val="0"/>
        <w:pageBreakBefore w:val="0"/>
        <w:numPr>
          <w:ilvl w:val="-1"/>
          <w:numId w:val="0"/>
        </w:numPr>
        <w:tabs>
          <w:tab w:val="left" w:pos="0"/>
        </w:tabs>
        <w:kinsoku w:val="0"/>
        <w:wordWrap/>
        <w:overflowPunct/>
        <w:topLinePunct/>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Cs w:val="22"/>
          <w:highlight w:val="none"/>
        </w:rPr>
      </w:pPr>
      <w:r>
        <w:rPr>
          <w:rFonts w:hint="default" w:ascii="Times New Roman" w:hAnsi="Times New Roman" w:eastAsia="仿宋_GB2312" w:cs="Times New Roman"/>
          <w:b w:val="0"/>
          <w:bCs w:val="0"/>
          <w:color w:val="auto"/>
          <w:szCs w:val="22"/>
          <w:highlight w:val="none"/>
          <w:lang w:eastAsia="zh-CN"/>
        </w:rPr>
        <w:t>（</w:t>
      </w:r>
      <w:r>
        <w:rPr>
          <w:rFonts w:hint="default" w:ascii="Times New Roman" w:hAnsi="Times New Roman" w:eastAsia="仿宋_GB2312" w:cs="Times New Roman"/>
          <w:b w:val="0"/>
          <w:bCs w:val="0"/>
          <w:color w:val="auto"/>
          <w:szCs w:val="22"/>
          <w:highlight w:val="none"/>
          <w:lang w:val="en-US" w:eastAsia="zh-CN"/>
        </w:rPr>
        <w:t>12</w:t>
      </w:r>
      <w:r>
        <w:rPr>
          <w:rFonts w:hint="default" w:ascii="Times New Roman" w:hAnsi="Times New Roman" w:eastAsia="仿宋_GB2312" w:cs="Times New Roman"/>
          <w:b w:val="0"/>
          <w:bCs w:val="0"/>
          <w:color w:val="auto"/>
          <w:szCs w:val="22"/>
          <w:highlight w:val="none"/>
          <w:lang w:eastAsia="zh-CN"/>
        </w:rPr>
        <w:t>）</w:t>
      </w:r>
      <w:r>
        <w:rPr>
          <w:rFonts w:hint="default" w:ascii="Times New Roman" w:hAnsi="Times New Roman" w:eastAsia="仿宋_GB2312" w:cs="Times New Roman"/>
          <w:b w:val="0"/>
          <w:bCs w:val="0"/>
          <w:color w:val="auto"/>
          <w:szCs w:val="22"/>
          <w:highlight w:val="none"/>
        </w:rPr>
        <w:t>劳动用工与社会保险：</w:t>
      </w:r>
      <w:r>
        <w:rPr>
          <w:rFonts w:hint="default" w:ascii="Times New Roman" w:hAnsi="Times New Roman" w:eastAsia="仿宋_GB2312" w:cs="Times New Roman"/>
          <w:color w:val="auto"/>
          <w:highlight w:val="none"/>
          <w:u w:val="none"/>
          <w:lang w:val="en-US" w:eastAsia="zh-CN"/>
        </w:rPr>
        <w:t>项目实施主体应按法律规定与员工签订劳动合同，并缴纳社会保险。</w:t>
      </w:r>
    </w:p>
    <w:p>
      <w:pPr>
        <w:pStyle w:val="15"/>
        <w:keepNext w:val="0"/>
        <w:keepLines w:val="0"/>
        <w:pageBreakBefore w:val="0"/>
        <w:widowControl/>
        <w:numPr>
          <w:ilvl w:val="-1"/>
          <w:numId w:val="0"/>
        </w:numPr>
        <w:tabs>
          <w:tab w:val="left" w:pos="0"/>
        </w:tabs>
        <w:kinsoku w:val="0"/>
        <w:wordWrap/>
        <w:overflowPunct/>
        <w:topLinePunct/>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highlight w:val="none"/>
          <w:u w:val="none"/>
          <w:lang w:val="en-US" w:eastAsia="zh-CN"/>
        </w:rPr>
      </w:pPr>
      <w:r>
        <w:rPr>
          <w:rFonts w:hint="default" w:ascii="Times New Roman" w:hAnsi="Times New Roman" w:eastAsia="仿宋_GB2312" w:cs="Times New Roman"/>
          <w:b w:val="0"/>
          <w:bCs w:val="0"/>
          <w:color w:val="auto"/>
          <w:szCs w:val="22"/>
          <w:highlight w:val="none"/>
          <w:lang w:eastAsia="zh-CN"/>
        </w:rPr>
        <w:t>（</w:t>
      </w:r>
      <w:r>
        <w:rPr>
          <w:rFonts w:hint="default" w:ascii="Times New Roman" w:hAnsi="Times New Roman" w:eastAsia="仿宋_GB2312" w:cs="Times New Roman"/>
          <w:b w:val="0"/>
          <w:bCs w:val="0"/>
          <w:color w:val="auto"/>
          <w:szCs w:val="22"/>
          <w:highlight w:val="none"/>
          <w:lang w:val="en-US" w:eastAsia="zh-CN"/>
        </w:rPr>
        <w:t>13</w:t>
      </w:r>
      <w:r>
        <w:rPr>
          <w:rFonts w:hint="default" w:ascii="Times New Roman" w:hAnsi="Times New Roman" w:eastAsia="仿宋_GB2312" w:cs="Times New Roman"/>
          <w:b w:val="0"/>
          <w:bCs w:val="0"/>
          <w:color w:val="auto"/>
          <w:szCs w:val="22"/>
          <w:highlight w:val="none"/>
          <w:lang w:eastAsia="zh-CN"/>
        </w:rPr>
        <w:t>）</w:t>
      </w:r>
      <w:r>
        <w:rPr>
          <w:rFonts w:hint="default" w:ascii="Times New Roman" w:hAnsi="Times New Roman" w:eastAsia="仿宋_GB2312" w:cs="Times New Roman"/>
          <w:b w:val="0"/>
          <w:bCs w:val="0"/>
          <w:color w:val="auto"/>
          <w:szCs w:val="22"/>
          <w:highlight w:val="none"/>
        </w:rPr>
        <w:t>新设立的SPV公司：</w:t>
      </w:r>
      <w:r>
        <w:rPr>
          <w:rFonts w:hint="default" w:ascii="Times New Roman" w:hAnsi="Times New Roman" w:eastAsia="仿宋_GB2312" w:cs="Times New Roman"/>
          <w:color w:val="auto"/>
          <w:highlight w:val="none"/>
          <w:u w:val="none"/>
          <w:lang w:val="en-US" w:eastAsia="zh-CN"/>
        </w:rPr>
        <w:t>应为经工商行政管理机关或主管机关核准登记的设立在贵州的公司；公司注册资本原则上不低于1000万元，需实缴到位；具备为农业基金的投资本金实现保值增值，并提</w:t>
      </w:r>
      <w:r>
        <w:rPr>
          <w:rFonts w:hint="default" w:ascii="Times New Roman" w:hAnsi="Times New Roman" w:eastAsia="仿宋_GB2312" w:cs="Times New Roman"/>
          <w:b w:val="0"/>
          <w:bCs w:val="0"/>
          <w:color w:val="auto"/>
          <w:highlight w:val="none"/>
          <w:u w:val="none"/>
          <w:lang w:val="en-US" w:eastAsia="zh-CN"/>
        </w:rPr>
        <w:t>供良</w:t>
      </w:r>
      <w:r>
        <w:rPr>
          <w:rFonts w:hint="default" w:ascii="Times New Roman" w:hAnsi="Times New Roman" w:eastAsia="仿宋_GB2312" w:cs="Times New Roman"/>
          <w:color w:val="auto"/>
          <w:highlight w:val="none"/>
          <w:u w:val="none"/>
          <w:lang w:val="en-US" w:eastAsia="zh-CN"/>
        </w:rPr>
        <w:t>好退出通道保障的基本条件。</w:t>
      </w:r>
    </w:p>
    <w:p>
      <w:pPr>
        <w:pStyle w:val="15"/>
        <w:keepNext w:val="0"/>
        <w:keepLines w:val="0"/>
        <w:pageBreakBefore w:val="0"/>
        <w:widowControl/>
        <w:tabs>
          <w:tab w:val="left" w:pos="0"/>
        </w:tabs>
        <w:kinsoku w:val="0"/>
        <w:wordWrap/>
        <w:overflowPunct/>
        <w:topLinePunct/>
        <w:autoSpaceDE w:val="0"/>
        <w:autoSpaceDN w:val="0"/>
        <w:bidi w:val="0"/>
        <w:adjustRightInd w:val="0"/>
        <w:snapToGrid w:val="0"/>
        <w:spacing w:line="560" w:lineRule="exact"/>
        <w:ind w:left="0" w:leftChars="0" w:firstLine="643" w:firstLineChars="200"/>
        <w:jc w:val="left"/>
        <w:textAlignment w:val="auto"/>
        <w:outlineLvl w:val="9"/>
        <w:rPr>
          <w:rFonts w:hint="default" w:ascii="Times New Roman" w:hAnsi="Times New Roman" w:eastAsia="仿宋_GB2312" w:cs="Times New Roman"/>
          <w:b/>
          <w:bCs/>
          <w:color w:val="auto"/>
          <w:szCs w:val="32"/>
          <w:highlight w:val="none"/>
        </w:rPr>
      </w:pPr>
      <w:r>
        <w:rPr>
          <w:rFonts w:hint="default" w:ascii="Times New Roman" w:hAnsi="Times New Roman" w:eastAsia="仿宋_GB2312" w:cs="Times New Roman"/>
          <w:b/>
          <w:bCs/>
          <w:color w:val="auto"/>
          <w:szCs w:val="32"/>
          <w:highlight w:val="none"/>
          <w:lang w:val="en-US" w:eastAsia="zh-CN"/>
        </w:rPr>
        <w:t>3.</w:t>
      </w:r>
      <w:r>
        <w:rPr>
          <w:rFonts w:hint="default" w:ascii="Times New Roman" w:hAnsi="Times New Roman" w:eastAsia="仿宋_GB2312" w:cs="Times New Roman"/>
          <w:b/>
          <w:bCs/>
          <w:color w:val="auto"/>
          <w:szCs w:val="32"/>
          <w:highlight w:val="none"/>
        </w:rPr>
        <w:t>项目申报条件</w:t>
      </w:r>
    </w:p>
    <w:p>
      <w:pPr>
        <w:pStyle w:val="15"/>
        <w:keepNext w:val="0"/>
        <w:keepLines w:val="0"/>
        <w:pageBreakBefore w:val="0"/>
        <w:widowControl/>
        <w:numPr>
          <w:ilvl w:val="0"/>
          <w:numId w:val="0"/>
        </w:numPr>
        <w:tabs>
          <w:tab w:val="left" w:pos="0"/>
        </w:tabs>
        <w:kinsoku w:val="0"/>
        <w:wordWrap/>
        <w:overflowPunct/>
        <w:topLinePunct/>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Cs w:val="22"/>
          <w:highlight w:val="none"/>
        </w:rPr>
      </w:pPr>
      <w:r>
        <w:rPr>
          <w:rFonts w:hint="default" w:ascii="Times New Roman" w:hAnsi="Times New Roman" w:eastAsia="仿宋_GB2312" w:cs="Times New Roman"/>
          <w:b w:val="0"/>
          <w:bCs w:val="0"/>
          <w:color w:val="auto"/>
          <w:szCs w:val="22"/>
          <w:highlight w:val="none"/>
          <w:lang w:eastAsia="zh-CN"/>
        </w:rPr>
        <w:t>（</w:t>
      </w:r>
      <w:r>
        <w:rPr>
          <w:rFonts w:hint="default" w:ascii="Times New Roman" w:hAnsi="Times New Roman" w:eastAsia="仿宋_GB2312" w:cs="Times New Roman"/>
          <w:b w:val="0"/>
          <w:bCs w:val="0"/>
          <w:color w:val="auto"/>
          <w:szCs w:val="22"/>
          <w:highlight w:val="none"/>
          <w:lang w:val="en-US" w:eastAsia="zh-CN"/>
        </w:rPr>
        <w:t>1</w:t>
      </w:r>
      <w:r>
        <w:rPr>
          <w:rFonts w:hint="default" w:ascii="Times New Roman" w:hAnsi="Times New Roman" w:eastAsia="仿宋_GB2312" w:cs="Times New Roman"/>
          <w:b w:val="0"/>
          <w:bCs w:val="0"/>
          <w:color w:val="auto"/>
          <w:szCs w:val="22"/>
          <w:highlight w:val="none"/>
          <w:lang w:eastAsia="zh-CN"/>
        </w:rPr>
        <w:t>）</w:t>
      </w:r>
      <w:r>
        <w:rPr>
          <w:rFonts w:hint="default" w:ascii="Times New Roman" w:hAnsi="Times New Roman" w:eastAsia="仿宋_GB2312" w:cs="Times New Roman"/>
          <w:b w:val="0"/>
          <w:bCs w:val="0"/>
          <w:color w:val="auto"/>
          <w:szCs w:val="22"/>
          <w:highlight w:val="none"/>
        </w:rPr>
        <w:t>产业政策：</w:t>
      </w:r>
      <w:r>
        <w:rPr>
          <w:rFonts w:hint="default" w:ascii="Times New Roman" w:hAnsi="Times New Roman" w:eastAsia="仿宋_GB2312" w:cs="Times New Roman"/>
          <w:b w:val="0"/>
          <w:bCs w:val="0"/>
          <w:color w:val="auto"/>
          <w:szCs w:val="22"/>
          <w:highlight w:val="none"/>
          <w:lang w:val="en-US" w:eastAsia="zh-CN"/>
        </w:rPr>
        <w:t>产业</w:t>
      </w:r>
      <w:r>
        <w:rPr>
          <w:rFonts w:hint="default" w:ascii="Times New Roman" w:hAnsi="Times New Roman" w:eastAsia="仿宋_GB2312" w:cs="Times New Roman"/>
          <w:color w:val="auto"/>
          <w:highlight w:val="none"/>
          <w:u w:val="none"/>
          <w:lang w:val="en-US" w:eastAsia="zh-CN"/>
        </w:rPr>
        <w:t>项目应具有明确的主营业务或主导产品、清晰的商业模式，符合国家及我省产业政策导向。</w:t>
      </w:r>
    </w:p>
    <w:p>
      <w:pPr>
        <w:pStyle w:val="15"/>
        <w:keepNext w:val="0"/>
        <w:keepLines w:val="0"/>
        <w:pageBreakBefore w:val="0"/>
        <w:widowControl/>
        <w:numPr>
          <w:ilvl w:val="0"/>
          <w:numId w:val="0"/>
        </w:numPr>
        <w:tabs>
          <w:tab w:val="left" w:pos="0"/>
        </w:tabs>
        <w:kinsoku w:val="0"/>
        <w:wordWrap/>
        <w:overflowPunct/>
        <w:topLinePunct/>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Cs w:val="22"/>
          <w:highlight w:val="none"/>
        </w:rPr>
      </w:pPr>
      <w:r>
        <w:rPr>
          <w:rFonts w:hint="default" w:ascii="Times New Roman" w:hAnsi="Times New Roman" w:eastAsia="仿宋_GB2312" w:cs="Times New Roman"/>
          <w:b w:val="0"/>
          <w:bCs w:val="0"/>
          <w:color w:val="auto"/>
          <w:szCs w:val="22"/>
          <w:highlight w:val="none"/>
          <w:lang w:eastAsia="zh-CN"/>
        </w:rPr>
        <w:t>（</w:t>
      </w:r>
      <w:r>
        <w:rPr>
          <w:rFonts w:hint="default" w:ascii="Times New Roman" w:hAnsi="Times New Roman" w:eastAsia="仿宋_GB2312" w:cs="Times New Roman"/>
          <w:b w:val="0"/>
          <w:bCs w:val="0"/>
          <w:color w:val="auto"/>
          <w:szCs w:val="22"/>
          <w:highlight w:val="none"/>
          <w:lang w:val="en-US" w:eastAsia="zh-CN"/>
        </w:rPr>
        <w:t>2</w:t>
      </w:r>
      <w:r>
        <w:rPr>
          <w:rFonts w:hint="default" w:ascii="Times New Roman" w:hAnsi="Times New Roman" w:eastAsia="仿宋_GB2312" w:cs="Times New Roman"/>
          <w:b w:val="0"/>
          <w:bCs w:val="0"/>
          <w:color w:val="auto"/>
          <w:szCs w:val="22"/>
          <w:highlight w:val="none"/>
          <w:lang w:eastAsia="zh-CN"/>
        </w:rPr>
        <w:t>）</w:t>
      </w:r>
      <w:r>
        <w:rPr>
          <w:rFonts w:hint="default" w:ascii="Times New Roman" w:hAnsi="Times New Roman" w:eastAsia="仿宋_GB2312" w:cs="Times New Roman"/>
          <w:b w:val="0"/>
          <w:bCs w:val="0"/>
          <w:color w:val="auto"/>
          <w:szCs w:val="22"/>
          <w:highlight w:val="none"/>
        </w:rPr>
        <w:t>项目规划：</w:t>
      </w:r>
      <w:r>
        <w:rPr>
          <w:rFonts w:hint="default" w:ascii="Times New Roman" w:hAnsi="Times New Roman" w:eastAsia="仿宋_GB2312" w:cs="Times New Roman"/>
          <w:color w:val="auto"/>
          <w:highlight w:val="none"/>
          <w:u w:val="none"/>
          <w:lang w:val="en-US" w:eastAsia="zh-CN"/>
        </w:rPr>
        <w:t>项目需具有清晰的发展规划与实施计划，有完整的商业计划书或可行性研究报告。</w:t>
      </w:r>
    </w:p>
    <w:p>
      <w:pPr>
        <w:pStyle w:val="15"/>
        <w:keepNext w:val="0"/>
        <w:keepLines w:val="0"/>
        <w:pageBreakBefore w:val="0"/>
        <w:widowControl/>
        <w:numPr>
          <w:ilvl w:val="0"/>
          <w:numId w:val="0"/>
        </w:numPr>
        <w:tabs>
          <w:tab w:val="left" w:pos="0"/>
        </w:tabs>
        <w:kinsoku w:val="0"/>
        <w:wordWrap/>
        <w:overflowPunct/>
        <w:topLinePunct/>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b w:val="0"/>
          <w:bCs w:val="0"/>
          <w:color w:val="auto"/>
          <w:szCs w:val="22"/>
          <w:highlight w:val="none"/>
          <w:lang w:eastAsia="zh-CN"/>
        </w:rPr>
        <w:t>（</w:t>
      </w:r>
      <w:r>
        <w:rPr>
          <w:rFonts w:hint="default" w:ascii="Times New Roman" w:hAnsi="Times New Roman" w:eastAsia="仿宋_GB2312" w:cs="Times New Roman"/>
          <w:b w:val="0"/>
          <w:bCs w:val="0"/>
          <w:color w:val="auto"/>
          <w:szCs w:val="22"/>
          <w:highlight w:val="none"/>
          <w:lang w:val="en-US" w:eastAsia="zh-CN"/>
        </w:rPr>
        <w:t>3</w:t>
      </w:r>
      <w:r>
        <w:rPr>
          <w:rFonts w:hint="default" w:ascii="Times New Roman" w:hAnsi="Times New Roman" w:eastAsia="仿宋_GB2312" w:cs="Times New Roman"/>
          <w:b w:val="0"/>
          <w:bCs w:val="0"/>
          <w:color w:val="auto"/>
          <w:szCs w:val="22"/>
          <w:highlight w:val="none"/>
          <w:lang w:eastAsia="zh-CN"/>
        </w:rPr>
        <w:t>）</w:t>
      </w:r>
      <w:r>
        <w:rPr>
          <w:rFonts w:hint="default" w:ascii="Times New Roman" w:hAnsi="Times New Roman" w:eastAsia="仿宋_GB2312" w:cs="Times New Roman"/>
          <w:b w:val="0"/>
          <w:bCs w:val="0"/>
          <w:color w:val="auto"/>
          <w:szCs w:val="22"/>
          <w:highlight w:val="none"/>
        </w:rPr>
        <w:t>项目</w:t>
      </w:r>
      <w:r>
        <w:rPr>
          <w:rFonts w:hint="default" w:ascii="Times New Roman" w:hAnsi="Times New Roman" w:eastAsia="仿宋_GB2312" w:cs="Times New Roman"/>
          <w:b w:val="0"/>
          <w:bCs w:val="0"/>
          <w:color w:val="auto"/>
          <w:szCs w:val="22"/>
          <w:highlight w:val="none"/>
          <w:lang w:val="en-US" w:eastAsia="zh-Hans"/>
        </w:rPr>
        <w:t>条件</w:t>
      </w:r>
      <w:r>
        <w:rPr>
          <w:rFonts w:hint="default" w:ascii="Times New Roman" w:hAnsi="Times New Roman" w:eastAsia="仿宋_GB2312" w:cs="Times New Roman"/>
          <w:b w:val="0"/>
          <w:bCs w:val="0"/>
          <w:color w:val="auto"/>
          <w:szCs w:val="22"/>
          <w:highlight w:val="none"/>
        </w:rPr>
        <w:t>：</w:t>
      </w:r>
      <w:r>
        <w:rPr>
          <w:rFonts w:hint="default" w:ascii="Times New Roman" w:hAnsi="Times New Roman" w:eastAsia="仿宋_GB2312" w:cs="Times New Roman"/>
          <w:color w:val="auto"/>
          <w:highlight w:val="none"/>
          <w:u w:val="none"/>
          <w:lang w:val="en-US" w:eastAsia="zh-CN"/>
        </w:rPr>
        <w:t>项目应具备开工建设的必要条件。</w:t>
      </w:r>
    </w:p>
    <w:p>
      <w:pPr>
        <w:pStyle w:val="15"/>
        <w:keepNext w:val="0"/>
        <w:keepLines w:val="0"/>
        <w:pageBreakBefore w:val="0"/>
        <w:tabs>
          <w:tab w:val="left" w:pos="0"/>
        </w:tabs>
        <w:kinsoku w:val="0"/>
        <w:wordWrap/>
        <w:overflowPunct/>
        <w:topLinePunct/>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b w:val="0"/>
          <w:bCs w:val="0"/>
          <w:color w:val="auto"/>
          <w:szCs w:val="32"/>
          <w:highlight w:val="none"/>
          <w:lang w:eastAsia="zh-CN"/>
        </w:rPr>
        <w:t>（</w:t>
      </w:r>
      <w:r>
        <w:rPr>
          <w:rFonts w:hint="default" w:ascii="Times New Roman" w:hAnsi="Times New Roman" w:eastAsia="仿宋_GB2312" w:cs="Times New Roman"/>
          <w:b w:val="0"/>
          <w:bCs w:val="0"/>
          <w:color w:val="auto"/>
          <w:szCs w:val="32"/>
          <w:highlight w:val="none"/>
          <w:lang w:val="en-US" w:eastAsia="zh-CN"/>
        </w:rPr>
        <w:t>4</w:t>
      </w:r>
      <w:r>
        <w:rPr>
          <w:rFonts w:hint="default" w:ascii="Times New Roman" w:hAnsi="Times New Roman" w:eastAsia="仿宋_GB2312" w:cs="Times New Roman"/>
          <w:b w:val="0"/>
          <w:bCs w:val="0"/>
          <w:color w:val="auto"/>
          <w:szCs w:val="32"/>
          <w:highlight w:val="none"/>
          <w:lang w:eastAsia="zh-CN"/>
        </w:rPr>
        <w:t>）投资</w:t>
      </w:r>
      <w:r>
        <w:rPr>
          <w:rFonts w:hint="default" w:ascii="Times New Roman" w:hAnsi="Times New Roman" w:eastAsia="仿宋_GB2312" w:cs="Times New Roman"/>
          <w:b w:val="0"/>
          <w:bCs w:val="0"/>
          <w:color w:val="auto"/>
          <w:szCs w:val="32"/>
          <w:highlight w:val="none"/>
        </w:rPr>
        <w:t>计划：</w:t>
      </w:r>
      <w:r>
        <w:rPr>
          <w:rFonts w:hint="default" w:ascii="Times New Roman" w:hAnsi="Times New Roman" w:eastAsia="仿宋_GB2312" w:cs="Times New Roman"/>
          <w:color w:val="auto"/>
          <w:highlight w:val="none"/>
          <w:u w:val="none"/>
          <w:lang w:val="en-US" w:eastAsia="zh-CN"/>
        </w:rPr>
        <w:t>项目资金需求与使用计划合理可行，前期工作到位，资金来源明确，筹措方式可行；项目自筹资金原则不低于项目总投</w:t>
      </w:r>
      <w:r>
        <w:rPr>
          <w:rFonts w:hint="default" w:ascii="Times New Roman" w:hAnsi="Times New Roman" w:eastAsia="仿宋_GB2312" w:cs="Times New Roman"/>
          <w:color w:val="auto"/>
          <w:highlight w:val="none"/>
          <w:u w:val="none"/>
          <w:lang w:val="en-US" w:eastAsia="zh-Hans"/>
        </w:rPr>
        <w:t>的</w:t>
      </w:r>
      <w:r>
        <w:rPr>
          <w:rFonts w:hint="default" w:ascii="Times New Roman" w:hAnsi="Times New Roman" w:eastAsia="仿宋_GB2312" w:cs="Times New Roman"/>
          <w:color w:val="auto"/>
          <w:highlight w:val="none"/>
          <w:u w:val="none"/>
          <w:lang w:val="en-US" w:eastAsia="zh-CN"/>
        </w:rPr>
        <w:t>15%。</w:t>
      </w:r>
    </w:p>
    <w:p>
      <w:pPr>
        <w:pStyle w:val="15"/>
        <w:keepNext w:val="0"/>
        <w:keepLines w:val="0"/>
        <w:pageBreakBefore w:val="0"/>
        <w:tabs>
          <w:tab w:val="left" w:pos="0"/>
        </w:tabs>
        <w:kinsoku w:val="0"/>
        <w:wordWrap/>
        <w:overflowPunct/>
        <w:topLinePunct/>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b w:val="0"/>
          <w:bCs w:val="0"/>
          <w:color w:val="auto"/>
          <w:szCs w:val="32"/>
          <w:highlight w:val="none"/>
          <w:lang w:eastAsia="zh-CN"/>
        </w:rPr>
        <w:t>（</w:t>
      </w:r>
      <w:r>
        <w:rPr>
          <w:rFonts w:hint="default" w:ascii="Times New Roman" w:hAnsi="Times New Roman" w:eastAsia="仿宋_GB2312" w:cs="Times New Roman"/>
          <w:b w:val="0"/>
          <w:bCs w:val="0"/>
          <w:color w:val="auto"/>
          <w:szCs w:val="32"/>
          <w:highlight w:val="none"/>
          <w:lang w:val="en-US" w:eastAsia="zh-CN"/>
        </w:rPr>
        <w:t>5</w:t>
      </w:r>
      <w:r>
        <w:rPr>
          <w:rFonts w:hint="default" w:ascii="Times New Roman" w:hAnsi="Times New Roman" w:eastAsia="仿宋_GB2312" w:cs="Times New Roman"/>
          <w:b w:val="0"/>
          <w:bCs w:val="0"/>
          <w:color w:val="auto"/>
          <w:szCs w:val="32"/>
          <w:highlight w:val="none"/>
          <w:lang w:eastAsia="zh-CN"/>
        </w:rPr>
        <w:t>）</w:t>
      </w:r>
      <w:r>
        <w:rPr>
          <w:rFonts w:hint="default" w:ascii="Times New Roman" w:hAnsi="Times New Roman" w:eastAsia="仿宋_GB2312" w:cs="Times New Roman"/>
          <w:b w:val="0"/>
          <w:bCs w:val="0"/>
          <w:color w:val="auto"/>
          <w:szCs w:val="32"/>
          <w:highlight w:val="none"/>
        </w:rPr>
        <w:t>项目收益：</w:t>
      </w:r>
      <w:r>
        <w:rPr>
          <w:rFonts w:hint="default" w:ascii="Times New Roman" w:hAnsi="Times New Roman" w:eastAsia="仿宋_GB2312" w:cs="Times New Roman"/>
          <w:color w:val="auto"/>
          <w:highlight w:val="none"/>
          <w:u w:val="none"/>
          <w:lang w:val="en-US" w:eastAsia="zh-CN"/>
        </w:rPr>
        <w:t>具备产业化条件和市场化属性，具有可持续的现金流及稳定的项目收益，</w:t>
      </w:r>
      <w:r>
        <w:rPr>
          <w:rFonts w:hint="default" w:ascii="Times New Roman" w:hAnsi="Times New Roman" w:eastAsia="仿宋_GB2312" w:cs="Times New Roman"/>
          <w:color w:val="auto"/>
          <w:highlight w:val="none"/>
          <w:u w:val="none"/>
          <w:lang w:val="en-US" w:eastAsia="zh-Hans"/>
        </w:rPr>
        <w:t>主</w:t>
      </w:r>
      <w:r>
        <w:rPr>
          <w:rFonts w:hint="default" w:ascii="Times New Roman" w:hAnsi="Times New Roman" w:eastAsia="仿宋_GB2312" w:cs="Times New Roman"/>
          <w:color w:val="auto"/>
          <w:highlight w:val="none"/>
        </w:rPr>
        <w:t>要经营指标原则上应保持在行业合理范围内</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项目净现值NPV&gt;0；</w:t>
      </w:r>
      <w:r>
        <w:rPr>
          <w:rFonts w:hint="default" w:ascii="Times New Roman" w:hAnsi="Times New Roman" w:eastAsia="仿宋_GB2312" w:cs="Times New Roman"/>
          <w:color w:val="auto"/>
          <w:highlight w:val="none"/>
          <w:lang w:val="en-US" w:eastAsia="zh-Hans"/>
        </w:rPr>
        <w:t>项目内部</w:t>
      </w:r>
      <w:r>
        <w:rPr>
          <w:rFonts w:hint="default" w:ascii="Times New Roman" w:hAnsi="Times New Roman" w:eastAsia="仿宋_GB2312" w:cs="Times New Roman"/>
          <w:color w:val="auto"/>
          <w:highlight w:val="none"/>
        </w:rPr>
        <w:t>收益率原则上需大于4.6%/年；项目的静态投资回收期不得高于</w:t>
      </w:r>
      <w:r>
        <w:rPr>
          <w:rFonts w:hint="default" w:ascii="Times New Roman" w:hAnsi="Times New Roman" w:eastAsia="仿宋_GB2312" w:cs="Times New Roman"/>
          <w:color w:val="auto"/>
          <w:highlight w:val="none"/>
          <w:lang w:val="en-US" w:eastAsia="zh-Hans"/>
        </w:rPr>
        <w:t>农业</w:t>
      </w:r>
      <w:r>
        <w:rPr>
          <w:rFonts w:hint="default" w:ascii="Times New Roman" w:hAnsi="Times New Roman" w:eastAsia="仿宋_GB2312" w:cs="Times New Roman"/>
          <w:color w:val="auto"/>
          <w:highlight w:val="none"/>
        </w:rPr>
        <w:t>基金的投资期。</w:t>
      </w:r>
    </w:p>
    <w:p>
      <w:pPr>
        <w:spacing w:line="560" w:lineRule="exact"/>
        <w:ind w:firstLine="640" w:firstLineChars="200"/>
        <w:rPr>
          <w:rFonts w:hint="default" w:ascii="Times New Roman" w:hAnsi="Times New Roman" w:eastAsia="仿宋_GB2312" w:cs="Times New Roman"/>
          <w:color w:val="auto"/>
          <w:sz w:val="32"/>
          <w:szCs w:val="22"/>
          <w:highlight w:val="none"/>
          <w:u w:val="none"/>
          <w:lang w:eastAsia="zh-Hans"/>
        </w:rPr>
      </w:pPr>
      <w:r>
        <w:rPr>
          <w:rFonts w:hint="default" w:ascii="Times New Roman" w:hAnsi="Times New Roman" w:eastAsia="仿宋_GB2312" w:cs="Times New Roman"/>
          <w:b w:val="0"/>
          <w:bCs w:val="0"/>
          <w:color w:val="auto"/>
          <w:sz w:val="32"/>
          <w:szCs w:val="32"/>
          <w:highlight w:val="none"/>
          <w:u w:val="none"/>
          <w:lang w:val="en-US" w:eastAsia="zh-CN"/>
        </w:rPr>
        <w:t>（6）</w:t>
      </w:r>
      <w:r>
        <w:rPr>
          <w:rFonts w:hint="default" w:ascii="Times New Roman" w:hAnsi="Times New Roman" w:eastAsia="仿宋_GB2312" w:cs="Times New Roman"/>
          <w:b w:val="0"/>
          <w:bCs w:val="0"/>
          <w:color w:val="auto"/>
          <w:sz w:val="32"/>
          <w:szCs w:val="32"/>
          <w:highlight w:val="none"/>
          <w:u w:val="none"/>
          <w:lang w:val="en-US"/>
        </w:rPr>
        <w:t>社会效益：</w:t>
      </w:r>
      <w:r>
        <w:rPr>
          <w:rFonts w:hint="default" w:ascii="Times New Roman" w:hAnsi="Times New Roman" w:eastAsia="仿宋_GB2312" w:cs="Times New Roman"/>
          <w:color w:val="auto"/>
          <w:sz w:val="32"/>
          <w:szCs w:val="22"/>
          <w:highlight w:val="none"/>
          <w:u w:val="none"/>
          <w:lang w:val="en-US"/>
        </w:rPr>
        <w:t>项目实施有助于</w:t>
      </w:r>
      <w:r>
        <w:rPr>
          <w:rFonts w:hint="default" w:ascii="Times New Roman" w:hAnsi="Times New Roman" w:eastAsia="仿宋_GB2312" w:cs="Times New Roman"/>
          <w:color w:val="auto"/>
          <w:sz w:val="32"/>
          <w:szCs w:val="22"/>
          <w:highlight w:val="none"/>
          <w:u w:val="none"/>
          <w:lang w:val="en-US" w:eastAsia="zh-CN"/>
        </w:rPr>
        <w:t>地方</w:t>
      </w:r>
      <w:r>
        <w:rPr>
          <w:rFonts w:hint="default" w:ascii="Times New Roman" w:hAnsi="Times New Roman" w:eastAsia="仿宋_GB2312" w:cs="Times New Roman"/>
          <w:color w:val="auto"/>
          <w:sz w:val="32"/>
          <w:szCs w:val="22"/>
          <w:highlight w:val="none"/>
          <w:u w:val="none"/>
          <w:lang w:val="en-US"/>
        </w:rPr>
        <w:t>经济</w:t>
      </w:r>
      <w:r>
        <w:rPr>
          <w:rFonts w:hint="default" w:ascii="Times New Roman" w:hAnsi="Times New Roman" w:eastAsia="仿宋_GB2312" w:cs="Times New Roman"/>
          <w:color w:val="auto"/>
          <w:sz w:val="32"/>
          <w:szCs w:val="22"/>
          <w:highlight w:val="none"/>
          <w:u w:val="none"/>
          <w:lang w:val="en-US" w:eastAsia="zh-CN"/>
        </w:rPr>
        <w:t>社会</w:t>
      </w:r>
      <w:r>
        <w:rPr>
          <w:rFonts w:hint="default" w:ascii="Times New Roman" w:hAnsi="Times New Roman" w:eastAsia="仿宋_GB2312" w:cs="Times New Roman"/>
          <w:color w:val="auto"/>
          <w:sz w:val="32"/>
          <w:szCs w:val="22"/>
          <w:highlight w:val="none"/>
          <w:u w:val="none"/>
          <w:lang w:val="en-US"/>
        </w:rPr>
        <w:t>持续健康发展，</w:t>
      </w:r>
      <w:r>
        <w:rPr>
          <w:rFonts w:hint="default" w:ascii="Times New Roman" w:hAnsi="Times New Roman" w:eastAsia="仿宋_GB2312" w:cs="Times New Roman"/>
          <w:color w:val="auto"/>
          <w:sz w:val="32"/>
          <w:szCs w:val="22"/>
          <w:highlight w:val="none"/>
          <w:u w:val="none"/>
          <w:lang w:val="en-US" w:eastAsia="zh-CN"/>
        </w:rPr>
        <w:t>有效</w:t>
      </w:r>
      <w:r>
        <w:rPr>
          <w:rFonts w:hint="eastAsia" w:ascii="Times New Roman" w:hAnsi="Times New Roman" w:eastAsia="仿宋_GB2312" w:cs="Times New Roman"/>
          <w:color w:val="auto"/>
          <w:sz w:val="32"/>
          <w:szCs w:val="22"/>
          <w:highlight w:val="none"/>
          <w:u w:val="none"/>
          <w:lang w:val="en-US" w:eastAsia="zh-CN"/>
        </w:rPr>
        <w:t>巩固拓展脱贫攻坚成果同乡村振兴有效衔接</w:t>
      </w:r>
      <w:r>
        <w:rPr>
          <w:rFonts w:hint="default" w:ascii="Times New Roman" w:hAnsi="Times New Roman" w:eastAsia="仿宋_GB2312" w:cs="Times New Roman"/>
          <w:color w:val="auto"/>
          <w:sz w:val="32"/>
          <w:szCs w:val="22"/>
          <w:highlight w:val="none"/>
          <w:u w:val="none"/>
          <w:lang w:eastAsia="zh-Hans"/>
        </w:rPr>
        <w:t>，投入运营后</w:t>
      </w:r>
      <w:r>
        <w:rPr>
          <w:rFonts w:hint="default" w:ascii="Times New Roman" w:hAnsi="Times New Roman" w:eastAsia="仿宋_GB2312" w:cs="Times New Roman"/>
          <w:color w:val="auto"/>
          <w:sz w:val="32"/>
          <w:szCs w:val="22"/>
          <w:highlight w:val="none"/>
          <w:u w:val="none"/>
          <w:lang w:eastAsia="zh-CN"/>
        </w:rPr>
        <w:t>可</w:t>
      </w:r>
      <w:r>
        <w:rPr>
          <w:rFonts w:hint="default" w:ascii="Times New Roman" w:hAnsi="Times New Roman" w:eastAsia="仿宋_GB2312" w:cs="Times New Roman"/>
          <w:color w:val="auto"/>
          <w:sz w:val="32"/>
          <w:szCs w:val="22"/>
          <w:highlight w:val="none"/>
          <w:u w:val="none"/>
          <w:lang w:eastAsia="zh-Hans"/>
        </w:rPr>
        <w:t>新增带动就业</w:t>
      </w:r>
      <w:r>
        <w:rPr>
          <w:rFonts w:hint="default" w:ascii="Times New Roman" w:hAnsi="Times New Roman" w:eastAsia="仿宋_GB2312" w:cs="Times New Roman"/>
          <w:color w:val="auto"/>
          <w:sz w:val="32"/>
          <w:szCs w:val="22"/>
          <w:highlight w:val="none"/>
          <w:u w:val="none"/>
          <w:lang w:eastAsia="zh-CN"/>
        </w:rPr>
        <w:t>、促进</w:t>
      </w:r>
      <w:r>
        <w:rPr>
          <w:rFonts w:hint="default" w:ascii="Times New Roman" w:hAnsi="Times New Roman" w:eastAsia="仿宋_GB2312" w:cs="Times New Roman"/>
          <w:color w:val="auto"/>
          <w:sz w:val="32"/>
          <w:szCs w:val="22"/>
          <w:highlight w:val="none"/>
          <w:u w:val="none"/>
          <w:lang w:val="en-US" w:eastAsia="zh-Hans"/>
        </w:rPr>
        <w:t>农户增收</w:t>
      </w:r>
      <w:r>
        <w:rPr>
          <w:rFonts w:hint="default" w:ascii="Times New Roman" w:hAnsi="Times New Roman" w:eastAsia="仿宋_GB2312" w:cs="Times New Roman"/>
          <w:color w:val="auto"/>
          <w:sz w:val="32"/>
          <w:szCs w:val="22"/>
          <w:highlight w:val="none"/>
          <w:u w:val="none"/>
          <w:lang w:eastAsia="zh-Hans"/>
        </w:rPr>
        <w:t>。</w:t>
      </w:r>
    </w:p>
    <w:p>
      <w:pPr>
        <w:pStyle w:val="2"/>
        <w:spacing w:line="560" w:lineRule="exact"/>
        <w:rPr>
          <w:rFonts w:hint="default" w:ascii="Times New Roman" w:hAnsi="Times New Roman" w:eastAsia="仿宋_GB2312" w:cs="Times New Roman"/>
          <w:color w:val="auto"/>
          <w:sz w:val="32"/>
          <w:szCs w:val="2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（7）</w:t>
      </w:r>
      <w:r>
        <w:rPr>
          <w:rFonts w:hint="default" w:ascii="Times New Roman" w:hAnsi="Times New Roman" w:eastAsia="仿宋_GB2312" w:cs="Times New Roman"/>
          <w:b w:val="0"/>
          <w:bCs w:val="0"/>
          <w:color w:val="auto"/>
          <w:sz w:val="32"/>
          <w:szCs w:val="32"/>
          <w:highlight w:val="none"/>
          <w:u w:val="none"/>
          <w:lang w:val="en-US"/>
        </w:rPr>
        <w:t>生态性：</w:t>
      </w:r>
      <w:r>
        <w:rPr>
          <w:rFonts w:hint="default" w:ascii="Times New Roman" w:hAnsi="Times New Roman" w:eastAsia="仿宋_GB2312" w:cs="Times New Roman"/>
          <w:color w:val="auto"/>
          <w:sz w:val="32"/>
          <w:szCs w:val="22"/>
          <w:highlight w:val="none"/>
          <w:u w:val="none"/>
          <w:lang w:val="en-US"/>
        </w:rPr>
        <w:t>项目建设具有良好的生态性，不会对生态环境产生不可逆影响；项目建设不涉及生态红线，符合国土空间开发规划。</w:t>
      </w:r>
    </w:p>
    <w:p>
      <w:pPr>
        <w:pStyle w:val="15"/>
        <w:keepNext w:val="0"/>
        <w:keepLines w:val="0"/>
        <w:pageBreakBefore w:val="0"/>
        <w:widowControl w:val="0"/>
        <w:tabs>
          <w:tab w:val="left" w:pos="0"/>
        </w:tabs>
        <w:kinsoku w:val="0"/>
        <w:wordWrap/>
        <w:overflowPunct/>
        <w:topLinePunct/>
        <w:autoSpaceDE w:val="0"/>
        <w:autoSpaceDN w:val="0"/>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b w:val="0"/>
          <w:bCs w:val="0"/>
          <w:color w:val="auto"/>
          <w:szCs w:val="32"/>
          <w:highlight w:val="none"/>
        </w:rPr>
      </w:pPr>
      <w:r>
        <w:rPr>
          <w:rFonts w:hint="default" w:ascii="Times New Roman" w:hAnsi="Times New Roman" w:eastAsia="仿宋_GB2312" w:cs="Times New Roman"/>
          <w:b w:val="0"/>
          <w:bCs w:val="0"/>
          <w:color w:val="auto"/>
          <w:szCs w:val="32"/>
          <w:highlight w:val="none"/>
          <w:lang w:val="en-US" w:eastAsia="zh-CN"/>
        </w:rPr>
        <w:t>4.</w:t>
      </w:r>
      <w:r>
        <w:rPr>
          <w:rFonts w:hint="default" w:ascii="Times New Roman" w:hAnsi="Times New Roman" w:eastAsia="仿宋_GB2312" w:cs="Times New Roman"/>
          <w:b w:val="0"/>
          <w:bCs w:val="0"/>
          <w:color w:val="auto"/>
          <w:szCs w:val="32"/>
          <w:highlight w:val="none"/>
        </w:rPr>
        <w:t>投资要素</w:t>
      </w:r>
    </w:p>
    <w:p>
      <w:pPr>
        <w:pStyle w:val="15"/>
        <w:keepNext w:val="0"/>
        <w:keepLines w:val="0"/>
        <w:pageBreakBefore w:val="0"/>
        <w:tabs>
          <w:tab w:val="left" w:pos="0"/>
        </w:tabs>
        <w:kinsoku w:val="0"/>
        <w:wordWrap/>
        <w:overflowPunct/>
        <w:topLinePunct/>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szCs w:val="22"/>
          <w:highlight w:val="none"/>
        </w:rPr>
      </w:pPr>
      <w:r>
        <w:rPr>
          <w:rFonts w:hint="default" w:ascii="Times New Roman" w:hAnsi="Times New Roman" w:eastAsia="仿宋_GB2312" w:cs="Times New Roman"/>
          <w:b w:val="0"/>
          <w:bCs w:val="0"/>
          <w:color w:val="auto"/>
          <w:szCs w:val="32"/>
          <w:highlight w:val="none"/>
          <w:lang w:eastAsia="zh-CN"/>
        </w:rPr>
        <w:t>（</w:t>
      </w:r>
      <w:r>
        <w:rPr>
          <w:rFonts w:hint="default" w:ascii="Times New Roman" w:hAnsi="Times New Roman" w:eastAsia="仿宋_GB2312" w:cs="Times New Roman"/>
          <w:b w:val="0"/>
          <w:bCs w:val="0"/>
          <w:color w:val="auto"/>
          <w:szCs w:val="32"/>
          <w:highlight w:val="none"/>
          <w:lang w:val="en-US" w:eastAsia="zh-CN"/>
        </w:rPr>
        <w:t>1</w:t>
      </w:r>
      <w:r>
        <w:rPr>
          <w:rFonts w:hint="default" w:ascii="Times New Roman" w:hAnsi="Times New Roman" w:eastAsia="仿宋_GB2312" w:cs="Times New Roman"/>
          <w:b w:val="0"/>
          <w:bCs w:val="0"/>
          <w:color w:val="auto"/>
          <w:szCs w:val="32"/>
          <w:highlight w:val="none"/>
          <w:lang w:eastAsia="zh-CN"/>
        </w:rPr>
        <w:t>）</w:t>
      </w:r>
      <w:r>
        <w:rPr>
          <w:rFonts w:hint="default" w:ascii="Times New Roman" w:hAnsi="Times New Roman" w:eastAsia="仿宋_GB2312" w:cs="Times New Roman"/>
          <w:b w:val="0"/>
          <w:bCs w:val="0"/>
          <w:color w:val="auto"/>
          <w:szCs w:val="22"/>
          <w:highlight w:val="none"/>
        </w:rPr>
        <w:t>投资主体：</w:t>
      </w:r>
      <w:r>
        <w:rPr>
          <w:rFonts w:hint="default" w:ascii="Times New Roman" w:hAnsi="Times New Roman" w:eastAsia="仿宋_GB2312" w:cs="Times New Roman"/>
          <w:b w:val="0"/>
          <w:bCs w:val="0"/>
          <w:color w:val="auto"/>
          <w:highlight w:val="none"/>
          <w:u w:val="none"/>
          <w:lang w:val="en-US" w:eastAsia="zh-CN"/>
        </w:rPr>
        <w:t>原则上与申报主体保持一致。</w:t>
      </w:r>
    </w:p>
    <w:p>
      <w:pPr>
        <w:pStyle w:val="15"/>
        <w:keepNext w:val="0"/>
        <w:keepLines w:val="0"/>
        <w:pageBreakBefore w:val="0"/>
        <w:tabs>
          <w:tab w:val="left" w:pos="0"/>
        </w:tabs>
        <w:kinsoku w:val="0"/>
        <w:wordWrap/>
        <w:overflowPunct/>
        <w:topLinePunct/>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szCs w:val="22"/>
          <w:highlight w:val="none"/>
        </w:rPr>
      </w:pPr>
      <w:r>
        <w:rPr>
          <w:rFonts w:hint="default" w:ascii="Times New Roman" w:hAnsi="Times New Roman" w:eastAsia="仿宋_GB2312" w:cs="Times New Roman"/>
          <w:b w:val="0"/>
          <w:bCs w:val="0"/>
          <w:color w:val="auto"/>
          <w:szCs w:val="22"/>
          <w:highlight w:val="none"/>
          <w:lang w:eastAsia="zh-CN"/>
        </w:rPr>
        <w:t>（</w:t>
      </w:r>
      <w:r>
        <w:rPr>
          <w:rFonts w:hint="default" w:ascii="Times New Roman" w:hAnsi="Times New Roman" w:eastAsia="仿宋_GB2312" w:cs="Times New Roman"/>
          <w:b w:val="0"/>
          <w:bCs w:val="0"/>
          <w:color w:val="auto"/>
          <w:szCs w:val="22"/>
          <w:highlight w:val="none"/>
          <w:lang w:val="en-US" w:eastAsia="zh-CN"/>
        </w:rPr>
        <w:t>2</w:t>
      </w:r>
      <w:r>
        <w:rPr>
          <w:rFonts w:hint="default" w:ascii="Times New Roman" w:hAnsi="Times New Roman" w:eastAsia="仿宋_GB2312" w:cs="Times New Roman"/>
          <w:b w:val="0"/>
          <w:bCs w:val="0"/>
          <w:color w:val="auto"/>
          <w:szCs w:val="22"/>
          <w:highlight w:val="none"/>
          <w:lang w:eastAsia="zh-CN"/>
        </w:rPr>
        <w:t>）</w:t>
      </w:r>
      <w:r>
        <w:rPr>
          <w:rFonts w:hint="default" w:ascii="Times New Roman" w:hAnsi="Times New Roman" w:eastAsia="仿宋_GB2312" w:cs="Times New Roman"/>
          <w:b w:val="0"/>
          <w:bCs w:val="0"/>
          <w:color w:val="auto"/>
          <w:szCs w:val="22"/>
          <w:highlight w:val="none"/>
        </w:rPr>
        <w:t>投资模式：</w:t>
      </w:r>
      <w:r>
        <w:rPr>
          <w:rFonts w:hint="default" w:ascii="Times New Roman" w:hAnsi="Times New Roman" w:eastAsia="仿宋_GB2312" w:cs="Times New Roman"/>
          <w:b w:val="0"/>
          <w:bCs w:val="0"/>
          <w:color w:val="auto"/>
          <w:highlight w:val="none"/>
          <w:u w:val="none"/>
          <w:lang w:val="en-US" w:eastAsia="zh-CN"/>
        </w:rPr>
        <w:t>主要以股权投资方式进行投资。</w:t>
      </w:r>
    </w:p>
    <w:p>
      <w:pPr>
        <w:pStyle w:val="15"/>
        <w:keepNext w:val="0"/>
        <w:keepLines w:val="0"/>
        <w:pageBreakBefore w:val="0"/>
        <w:tabs>
          <w:tab w:val="left" w:pos="0"/>
        </w:tabs>
        <w:kinsoku w:val="0"/>
        <w:wordWrap/>
        <w:overflowPunct/>
        <w:topLinePunct/>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szCs w:val="22"/>
          <w:highlight w:val="none"/>
        </w:rPr>
      </w:pPr>
      <w:r>
        <w:rPr>
          <w:rFonts w:hint="default" w:ascii="Times New Roman" w:hAnsi="Times New Roman" w:eastAsia="仿宋_GB2312" w:cs="Times New Roman"/>
          <w:b w:val="0"/>
          <w:bCs w:val="0"/>
          <w:color w:val="auto"/>
          <w:szCs w:val="22"/>
          <w:highlight w:val="none"/>
          <w:lang w:eastAsia="zh-CN"/>
        </w:rPr>
        <w:t>（</w:t>
      </w:r>
      <w:r>
        <w:rPr>
          <w:rFonts w:hint="default" w:ascii="Times New Roman" w:hAnsi="Times New Roman" w:eastAsia="仿宋_GB2312" w:cs="Times New Roman"/>
          <w:b w:val="0"/>
          <w:bCs w:val="0"/>
          <w:color w:val="auto"/>
          <w:szCs w:val="22"/>
          <w:highlight w:val="none"/>
          <w:lang w:val="en-US" w:eastAsia="zh-CN"/>
        </w:rPr>
        <w:t>3</w:t>
      </w:r>
      <w:r>
        <w:rPr>
          <w:rFonts w:hint="default" w:ascii="Times New Roman" w:hAnsi="Times New Roman" w:eastAsia="仿宋_GB2312" w:cs="Times New Roman"/>
          <w:b w:val="0"/>
          <w:bCs w:val="0"/>
          <w:color w:val="auto"/>
          <w:szCs w:val="22"/>
          <w:highlight w:val="none"/>
          <w:lang w:eastAsia="zh-CN"/>
        </w:rPr>
        <w:t>）</w:t>
      </w:r>
      <w:r>
        <w:rPr>
          <w:rFonts w:hint="default" w:ascii="Times New Roman" w:hAnsi="Times New Roman" w:eastAsia="仿宋_GB2312" w:cs="Times New Roman"/>
          <w:b w:val="0"/>
          <w:bCs w:val="0"/>
          <w:color w:val="auto"/>
          <w:szCs w:val="22"/>
          <w:highlight w:val="none"/>
        </w:rPr>
        <w:t>投资方式：</w:t>
      </w:r>
      <w:r>
        <w:rPr>
          <w:rFonts w:hint="default" w:ascii="Times New Roman" w:hAnsi="Times New Roman" w:eastAsia="仿宋_GB2312" w:cs="Times New Roman"/>
          <w:b w:val="0"/>
          <w:bCs w:val="0"/>
          <w:color w:val="auto"/>
          <w:highlight w:val="none"/>
          <w:u w:val="none"/>
          <w:lang w:val="en-US" w:eastAsia="zh-CN"/>
        </w:rPr>
        <w:t>增资扩股/股权转让。</w:t>
      </w:r>
    </w:p>
    <w:p>
      <w:pPr>
        <w:pStyle w:val="15"/>
        <w:keepNext w:val="0"/>
        <w:keepLines w:val="0"/>
        <w:pageBreakBefore w:val="0"/>
        <w:tabs>
          <w:tab w:val="left" w:pos="0"/>
        </w:tabs>
        <w:kinsoku w:val="0"/>
        <w:wordWrap/>
        <w:overflowPunct/>
        <w:topLinePunct/>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szCs w:val="32"/>
          <w:highlight w:val="none"/>
        </w:rPr>
      </w:pPr>
      <w:r>
        <w:rPr>
          <w:rFonts w:hint="default" w:ascii="Times New Roman" w:hAnsi="Times New Roman" w:eastAsia="仿宋_GB2312" w:cs="Times New Roman"/>
          <w:b w:val="0"/>
          <w:bCs w:val="0"/>
          <w:color w:val="auto"/>
          <w:szCs w:val="22"/>
          <w:highlight w:val="none"/>
          <w:lang w:eastAsia="zh-CN"/>
        </w:rPr>
        <w:t>（</w:t>
      </w:r>
      <w:r>
        <w:rPr>
          <w:rFonts w:hint="default" w:ascii="Times New Roman" w:hAnsi="Times New Roman" w:eastAsia="仿宋_GB2312" w:cs="Times New Roman"/>
          <w:b w:val="0"/>
          <w:bCs w:val="0"/>
          <w:color w:val="auto"/>
          <w:szCs w:val="22"/>
          <w:highlight w:val="none"/>
          <w:lang w:val="en-US" w:eastAsia="zh-CN"/>
        </w:rPr>
        <w:t>4</w:t>
      </w:r>
      <w:r>
        <w:rPr>
          <w:rFonts w:hint="default" w:ascii="Times New Roman" w:hAnsi="Times New Roman" w:eastAsia="仿宋_GB2312" w:cs="Times New Roman"/>
          <w:b w:val="0"/>
          <w:bCs w:val="0"/>
          <w:color w:val="auto"/>
          <w:szCs w:val="22"/>
          <w:highlight w:val="none"/>
          <w:lang w:eastAsia="zh-CN"/>
        </w:rPr>
        <w:t>）</w:t>
      </w:r>
      <w:r>
        <w:rPr>
          <w:rFonts w:hint="default" w:ascii="Times New Roman" w:hAnsi="Times New Roman" w:eastAsia="仿宋_GB2312" w:cs="Times New Roman"/>
          <w:b w:val="0"/>
          <w:bCs w:val="0"/>
          <w:color w:val="auto"/>
          <w:szCs w:val="22"/>
          <w:highlight w:val="none"/>
        </w:rPr>
        <w:t>投资限额：</w:t>
      </w:r>
      <w:r>
        <w:rPr>
          <w:rFonts w:hint="default" w:ascii="Times New Roman" w:hAnsi="Times New Roman" w:eastAsia="仿宋_GB2312" w:cs="Times New Roman"/>
          <w:b w:val="0"/>
          <w:bCs w:val="0"/>
          <w:color w:val="auto"/>
          <w:highlight w:val="none"/>
          <w:u w:val="none"/>
          <w:lang w:val="en-US" w:eastAsia="zh-CN"/>
        </w:rPr>
        <w:t>基金原则上对受资企业股权投资不控股、不作第一大股东；基金单个项目的投资比例，不超过基金设立规模的30%。</w:t>
      </w:r>
    </w:p>
    <w:p>
      <w:pPr>
        <w:pStyle w:val="15"/>
        <w:keepNext w:val="0"/>
        <w:keepLines w:val="0"/>
        <w:pageBreakBefore w:val="0"/>
        <w:tabs>
          <w:tab w:val="left" w:pos="0"/>
        </w:tabs>
        <w:kinsoku w:val="0"/>
        <w:wordWrap/>
        <w:overflowPunct/>
        <w:topLinePunct/>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szCs w:val="32"/>
          <w:highlight w:val="none"/>
        </w:rPr>
      </w:pPr>
      <w:r>
        <w:rPr>
          <w:rFonts w:hint="default" w:ascii="Times New Roman" w:hAnsi="Times New Roman" w:eastAsia="仿宋_GB2312" w:cs="Times New Roman"/>
          <w:b w:val="0"/>
          <w:bCs w:val="0"/>
          <w:color w:val="auto"/>
          <w:szCs w:val="32"/>
          <w:highlight w:val="none"/>
          <w:lang w:val="en-US" w:eastAsia="zh-CN"/>
        </w:rPr>
        <w:t>5.</w:t>
      </w:r>
      <w:r>
        <w:rPr>
          <w:rFonts w:hint="default" w:ascii="Times New Roman" w:hAnsi="Times New Roman" w:eastAsia="仿宋_GB2312" w:cs="Times New Roman"/>
          <w:b w:val="0"/>
          <w:bCs w:val="0"/>
          <w:color w:val="auto"/>
          <w:szCs w:val="32"/>
          <w:highlight w:val="none"/>
        </w:rPr>
        <w:t>估值方式：</w:t>
      </w:r>
      <w:r>
        <w:rPr>
          <w:rFonts w:hint="default" w:ascii="Times New Roman" w:hAnsi="Times New Roman" w:eastAsia="仿宋_GB2312" w:cs="Times New Roman"/>
          <w:b w:val="0"/>
          <w:bCs w:val="0"/>
          <w:color w:val="auto"/>
          <w:highlight w:val="none"/>
          <w:u w:val="none"/>
          <w:lang w:val="en-US" w:eastAsia="zh-CN"/>
        </w:rPr>
        <w:t>原则上国有企业、国有控股企业以投资决议明确的投资基准日的审计报告或国资主管部门审核确定的净资产为基准，确定基金持股比例；国有控股企业对投资前公司估值有异议的</w:t>
      </w:r>
      <w:r>
        <w:rPr>
          <w:rFonts w:hint="default" w:ascii="Times New Roman" w:hAnsi="Times New Roman" w:eastAsia="仿宋_GB2312" w:cs="Times New Roman"/>
          <w:b w:val="0"/>
          <w:bCs w:val="0"/>
          <w:color w:val="auto"/>
          <w:highlight w:val="none"/>
          <w:u w:val="none"/>
          <w:lang w:eastAsia="zh-CN"/>
        </w:rPr>
        <w:t>，</w:t>
      </w:r>
      <w:r>
        <w:rPr>
          <w:rFonts w:hint="default" w:ascii="Times New Roman" w:hAnsi="Times New Roman" w:eastAsia="仿宋_GB2312" w:cs="Times New Roman"/>
          <w:b w:val="0"/>
          <w:bCs w:val="0"/>
          <w:color w:val="auto"/>
          <w:highlight w:val="none"/>
          <w:u w:val="none"/>
          <w:lang w:val="en-US" w:eastAsia="zh-CN"/>
        </w:rPr>
        <w:t>以及被投企业为民营企业的，聘请具有资质的评估机构进行评估。</w:t>
      </w:r>
    </w:p>
    <w:p>
      <w:pPr>
        <w:pStyle w:val="15"/>
        <w:keepNext w:val="0"/>
        <w:keepLines w:val="0"/>
        <w:pageBreakBefore w:val="0"/>
        <w:tabs>
          <w:tab w:val="left" w:pos="0"/>
        </w:tabs>
        <w:kinsoku w:val="0"/>
        <w:wordWrap/>
        <w:overflowPunct/>
        <w:topLinePunct/>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szCs w:val="32"/>
          <w:highlight w:val="none"/>
        </w:rPr>
      </w:pPr>
      <w:r>
        <w:rPr>
          <w:rFonts w:hint="default" w:ascii="Times New Roman" w:hAnsi="Times New Roman" w:eastAsia="仿宋_GB2312" w:cs="Times New Roman"/>
          <w:b w:val="0"/>
          <w:bCs w:val="0"/>
          <w:color w:val="auto"/>
          <w:szCs w:val="32"/>
          <w:highlight w:val="none"/>
        </w:rPr>
        <w:t>6.投资期限：</w:t>
      </w:r>
      <w:r>
        <w:rPr>
          <w:rFonts w:hint="default" w:ascii="Times New Roman" w:hAnsi="Times New Roman" w:eastAsia="仿宋_GB2312" w:cs="Times New Roman"/>
          <w:b w:val="0"/>
          <w:bCs w:val="0"/>
          <w:color w:val="auto"/>
          <w:highlight w:val="none"/>
          <w:u w:val="none"/>
          <w:lang w:val="en-US" w:eastAsia="zh-CN"/>
        </w:rPr>
        <w:t>原则上不超过基金存续期限。</w:t>
      </w:r>
    </w:p>
    <w:p>
      <w:pPr>
        <w:pStyle w:val="15"/>
        <w:keepNext w:val="0"/>
        <w:keepLines w:val="0"/>
        <w:pageBreakBefore w:val="0"/>
        <w:tabs>
          <w:tab w:val="left" w:pos="0"/>
        </w:tabs>
        <w:kinsoku w:val="0"/>
        <w:wordWrap/>
        <w:overflowPunct/>
        <w:topLinePunct/>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szCs w:val="32"/>
          <w:highlight w:val="none"/>
        </w:rPr>
      </w:pPr>
      <w:r>
        <w:rPr>
          <w:rFonts w:hint="default" w:ascii="Times New Roman" w:hAnsi="Times New Roman" w:eastAsia="仿宋_GB2312" w:cs="Times New Roman"/>
          <w:b w:val="0"/>
          <w:bCs w:val="0"/>
          <w:color w:val="auto"/>
          <w:szCs w:val="32"/>
          <w:highlight w:val="none"/>
        </w:rPr>
        <w:t>7.投资款拨付：</w:t>
      </w:r>
      <w:r>
        <w:rPr>
          <w:rFonts w:hint="default" w:ascii="Times New Roman" w:hAnsi="Times New Roman" w:eastAsia="仿宋_GB2312" w:cs="Times New Roman"/>
          <w:b w:val="0"/>
          <w:bCs w:val="0"/>
          <w:color w:val="auto"/>
          <w:highlight w:val="none"/>
          <w:u w:val="none"/>
          <w:lang w:val="en-US" w:eastAsia="zh-CN"/>
        </w:rPr>
        <w:t>原则上基金拨款应落实投决会要求的条件后方可拨付。</w:t>
      </w:r>
    </w:p>
    <w:p>
      <w:pPr>
        <w:pStyle w:val="15"/>
        <w:keepNext w:val="0"/>
        <w:keepLines w:val="0"/>
        <w:pageBreakBefore w:val="0"/>
        <w:tabs>
          <w:tab w:val="left" w:pos="0"/>
        </w:tabs>
        <w:kinsoku w:val="0"/>
        <w:wordWrap/>
        <w:overflowPunct/>
        <w:topLinePunct/>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szCs w:val="32"/>
          <w:highlight w:val="none"/>
        </w:rPr>
      </w:pPr>
      <w:r>
        <w:rPr>
          <w:rFonts w:hint="default" w:ascii="Times New Roman" w:hAnsi="Times New Roman" w:eastAsia="仿宋_GB2312" w:cs="Times New Roman"/>
          <w:b w:val="0"/>
          <w:bCs w:val="0"/>
          <w:color w:val="auto"/>
          <w:szCs w:val="32"/>
          <w:highlight w:val="none"/>
        </w:rPr>
        <w:t>8.投后管理：</w:t>
      </w:r>
      <w:r>
        <w:rPr>
          <w:rFonts w:hint="default" w:ascii="Times New Roman" w:hAnsi="Times New Roman" w:eastAsia="仿宋_GB2312" w:cs="Times New Roman"/>
          <w:b w:val="0"/>
          <w:bCs w:val="0"/>
          <w:color w:val="auto"/>
          <w:highlight w:val="none"/>
          <w:u w:val="none"/>
          <w:lang w:val="en-US" w:eastAsia="zh-CN"/>
        </w:rPr>
        <w:t>原则上基金享有向受资企业委派董事、监事或其他高级管理人员的权利，根据项目实际情况确</w:t>
      </w:r>
      <w:r>
        <w:rPr>
          <w:rFonts w:hint="default" w:ascii="Times New Roman" w:hAnsi="Times New Roman" w:eastAsia="仿宋_GB2312" w:cs="Times New Roman"/>
          <w:b w:val="0"/>
          <w:bCs w:val="0"/>
          <w:color w:val="auto"/>
          <w:spacing w:val="-6"/>
          <w:highlight w:val="none"/>
          <w:u w:val="none"/>
          <w:lang w:val="en-US" w:eastAsia="zh-CN"/>
        </w:rPr>
        <w:t>定是否委派。</w:t>
      </w:r>
    </w:p>
    <w:p>
      <w:pPr>
        <w:pStyle w:val="15"/>
        <w:keepNext w:val="0"/>
        <w:keepLines w:val="0"/>
        <w:pageBreakBefore w:val="0"/>
        <w:tabs>
          <w:tab w:val="left" w:pos="0"/>
        </w:tabs>
        <w:kinsoku w:val="0"/>
        <w:wordWrap/>
        <w:overflowPunct/>
        <w:topLinePunct/>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szCs w:val="32"/>
          <w:highlight w:val="none"/>
        </w:rPr>
      </w:pPr>
      <w:r>
        <w:rPr>
          <w:rFonts w:hint="default" w:ascii="Times New Roman" w:hAnsi="Times New Roman" w:eastAsia="仿宋_GB2312" w:cs="Times New Roman"/>
          <w:b w:val="0"/>
          <w:bCs w:val="0"/>
          <w:color w:val="auto"/>
          <w:szCs w:val="32"/>
          <w:highlight w:val="none"/>
        </w:rPr>
        <w:t>9.投资回报：</w:t>
      </w:r>
      <w:r>
        <w:rPr>
          <w:rFonts w:hint="default" w:ascii="Times New Roman" w:hAnsi="Times New Roman" w:eastAsia="仿宋_GB2312" w:cs="Times New Roman"/>
          <w:b w:val="0"/>
          <w:bCs w:val="0"/>
          <w:color w:val="auto"/>
          <w:highlight w:val="none"/>
          <w:u w:val="none"/>
          <w:lang w:val="en-US" w:eastAsia="zh-CN"/>
        </w:rPr>
        <w:t>根据项目情况可选择同股同权、优先分红、业绩对赌等方式获取投资回报。</w:t>
      </w:r>
    </w:p>
    <w:p>
      <w:pPr>
        <w:pStyle w:val="15"/>
        <w:keepNext w:val="0"/>
        <w:keepLines w:val="0"/>
        <w:pageBreakBefore w:val="0"/>
        <w:tabs>
          <w:tab w:val="left" w:pos="0"/>
        </w:tabs>
        <w:kinsoku w:val="0"/>
        <w:wordWrap/>
        <w:overflowPunct/>
        <w:topLinePunct/>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highlight w:val="none"/>
          <w:u w:val="none"/>
          <w:lang w:val="en-US" w:eastAsia="zh-CN"/>
        </w:rPr>
      </w:pPr>
      <w:r>
        <w:rPr>
          <w:rFonts w:hint="default" w:ascii="Times New Roman" w:hAnsi="Times New Roman" w:eastAsia="仿宋_GB2312" w:cs="Times New Roman"/>
          <w:b w:val="0"/>
          <w:bCs w:val="0"/>
          <w:color w:val="auto"/>
          <w:szCs w:val="32"/>
          <w:highlight w:val="none"/>
        </w:rPr>
        <w:t>10.退出机制：</w:t>
      </w:r>
      <w:r>
        <w:rPr>
          <w:rFonts w:hint="default" w:ascii="Times New Roman" w:hAnsi="Times New Roman" w:eastAsia="仿宋_GB2312" w:cs="Times New Roman"/>
          <w:b w:val="0"/>
          <w:bCs w:val="0"/>
          <w:color w:val="auto"/>
          <w:highlight w:val="none"/>
          <w:u w:val="none"/>
          <w:lang w:val="en-US" w:eastAsia="zh-CN"/>
        </w:rPr>
        <w:t>可通过上市退出、回购退出、向第三方转让退出、清算退出等机制，但原则上不能新增地方债务，相关交易条款必须合法合规。</w:t>
      </w:r>
    </w:p>
    <w:p>
      <w:pPr>
        <w:keepLines w:val="0"/>
        <w:pageBreakBefore w:val="0"/>
        <w:numPr>
          <w:ilvl w:val="-1"/>
          <w:numId w:val="0"/>
        </w:numPr>
        <w:wordWrap/>
        <w:bidi w:val="0"/>
        <w:adjustRightInd w:val="0"/>
        <w:snapToGrid w:val="0"/>
        <w:spacing w:line="560" w:lineRule="exact"/>
        <w:ind w:left="0" w:leftChars="0" w:firstLine="640" w:firstLineChars="200"/>
        <w:outlineLvl w:val="0"/>
        <w:rPr>
          <w:rFonts w:hint="default" w:ascii="Times New Roman" w:hAnsi="Times New Roman" w:cs="Times New Roman"/>
          <w:b w:val="0"/>
          <w:bCs w:val="0"/>
          <w:color w:val="auto"/>
          <w:sz w:val="32"/>
          <w:szCs w:val="32"/>
          <w:highlight w:val="none"/>
          <w:shd w:val="clear" w:color="auto" w:fill="FFFFFF"/>
          <w:lang w:val="en-US" w:eastAsia="zh-CN"/>
        </w:rPr>
      </w:pPr>
      <w:r>
        <w:rPr>
          <w:rFonts w:hint="default" w:ascii="Times New Roman" w:hAnsi="Times New Roman" w:eastAsia="黑体" w:cs="Times New Roman"/>
          <w:color w:val="auto"/>
          <w:sz w:val="32"/>
          <w:szCs w:val="32"/>
          <w:highlight w:val="none"/>
          <w:lang w:val="en-US" w:eastAsia="zh-CN"/>
        </w:rPr>
        <w:t>三、投资负面清单</w:t>
      </w:r>
    </w:p>
    <w:p>
      <w:pPr>
        <w:pStyle w:val="15"/>
        <w:keepNext w:val="0"/>
        <w:keepLines w:val="0"/>
        <w:pageBreakBefore w:val="0"/>
        <w:widowControl w:val="0"/>
        <w:kinsoku w:val="0"/>
        <w:wordWrap/>
        <w:overflowPunct/>
        <w:topLinePunct/>
        <w:autoSpaceDE w:val="0"/>
        <w:autoSpaceDN w:val="0"/>
        <w:bidi w:val="0"/>
        <w:adjustRightInd/>
        <w:snapToGrid/>
        <w:spacing w:line="560" w:lineRule="exact"/>
        <w:ind w:left="0" w:leftChars="0" w:firstLine="960" w:firstLineChars="300"/>
        <w:jc w:val="both"/>
        <w:textAlignment w:val="auto"/>
        <w:outlineLvl w:val="9"/>
        <w:rPr>
          <w:rFonts w:hint="default" w:ascii="Times New Roman" w:hAnsi="Times New Roman" w:cs="Times New Roman"/>
          <w:b w:val="0"/>
          <w:bCs w:val="0"/>
          <w:color w:val="auto"/>
          <w:sz w:val="32"/>
          <w:szCs w:val="32"/>
          <w:highlight w:val="none"/>
          <w:shd w:val="clear" w:color="auto" w:fill="FFFFFF"/>
          <w:lang w:val="en-US" w:eastAsia="zh-CN"/>
        </w:rPr>
      </w:pPr>
      <w:r>
        <w:rPr>
          <w:rFonts w:hint="default" w:ascii="Times New Roman" w:hAnsi="Times New Roman" w:cs="Times New Roman"/>
          <w:b w:val="0"/>
          <w:bCs w:val="0"/>
          <w:color w:val="auto"/>
          <w:sz w:val="32"/>
          <w:szCs w:val="32"/>
          <w:highlight w:val="none"/>
          <w:shd w:val="clear" w:color="auto" w:fill="FFFFFF"/>
          <w:lang w:val="en-US" w:eastAsia="zh-CN"/>
        </w:rPr>
        <w:t>贵州省农业农村现代化基金项目投资负面清单</w:t>
      </w:r>
    </w:p>
    <w:tbl>
      <w:tblPr>
        <w:tblStyle w:val="12"/>
        <w:tblpPr w:leftFromText="180" w:rightFromText="180" w:vertAnchor="text" w:horzAnchor="page" w:tblpX="1154" w:tblpY="146"/>
        <w:tblOverlap w:val="never"/>
        <w:tblW w:w="56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941"/>
        <w:gridCol w:w="8004"/>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460"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产业</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类别</w:t>
            </w:r>
          </w:p>
        </w:tc>
        <w:tc>
          <w:tcPr>
            <w:tcW w:w="3916"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内              容</w:t>
            </w:r>
          </w:p>
        </w:tc>
        <w:tc>
          <w:tcPr>
            <w:tcW w:w="379"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both"/>
              <w:textAlignment w:val="center"/>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trPr>
        <w:tc>
          <w:tcPr>
            <w:tcW w:w="243"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p>
        </w:tc>
        <w:tc>
          <w:tcPr>
            <w:tcW w:w="460"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食用菌                 产业</w:t>
            </w:r>
          </w:p>
        </w:tc>
        <w:tc>
          <w:tcPr>
            <w:tcW w:w="3916" w:type="pct"/>
            <w:vAlign w:val="center"/>
          </w:tcPr>
          <w:p>
            <w:pPr>
              <w:keepNext/>
              <w:keepLines w:val="0"/>
              <w:pageBreakBefore w:val="0"/>
              <w:widowControl/>
              <w:numPr>
                <w:ilvl w:val="-1"/>
                <w:numId w:val="0"/>
              </w:numPr>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both"/>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1.</w:t>
            </w:r>
            <w:r>
              <w:rPr>
                <w:rFonts w:hint="default" w:ascii="Times New Roman" w:hAnsi="Times New Roman" w:eastAsia="仿宋_GB2312" w:cs="Times New Roman"/>
                <w:color w:val="auto"/>
                <w:sz w:val="24"/>
                <w:szCs w:val="24"/>
                <w:highlight w:val="none"/>
              </w:rPr>
              <w:t xml:space="preserve">经省食用菌专班明确因“黔菌贷”逾期影响“黔菌贷”金融创新工作的企业；                   </w:t>
            </w:r>
          </w:p>
          <w:p>
            <w:pPr>
              <w:keepNext/>
              <w:keepLines w:val="0"/>
              <w:pageBreakBefore w:val="0"/>
              <w:widowControl/>
              <w:numPr>
                <w:ilvl w:val="-1"/>
                <w:numId w:val="0"/>
              </w:numPr>
              <w:suppressLineNumbers w:val="0"/>
              <w:kinsoku/>
              <w:wordWrap/>
              <w:overflowPunct/>
              <w:topLinePunct/>
              <w:autoSpaceDE/>
              <w:autoSpaceDN/>
              <w:bidi w:val="0"/>
              <w:adjustRightInd/>
              <w:snapToGrid/>
              <w:spacing w:before="0" w:beforeAutospacing="0" w:after="0" w:afterAutospacing="0" w:line="360" w:lineRule="exact"/>
              <w:ind w:left="0" w:leftChars="0" w:right="0" w:rightChars="0" w:firstLine="0" w:firstLineChars="0"/>
              <w:jc w:val="both"/>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rPr>
              <w:t xml:space="preserve">“黔菌”省级公共品牌授权使用企业，未按规范使用，造成不良影响的企业；                       </w:t>
            </w:r>
          </w:p>
          <w:p>
            <w:pPr>
              <w:keepNext/>
              <w:keepLines w:val="0"/>
              <w:pageBreakBefore w:val="0"/>
              <w:widowControl/>
              <w:numPr>
                <w:ilvl w:val="-1"/>
                <w:numId w:val="0"/>
              </w:numPr>
              <w:suppressLineNumbers w:val="0"/>
              <w:kinsoku/>
              <w:wordWrap/>
              <w:overflowPunct/>
              <w:topLinePunct/>
              <w:autoSpaceDE/>
              <w:autoSpaceDN/>
              <w:bidi w:val="0"/>
              <w:adjustRightInd/>
              <w:snapToGrid/>
              <w:spacing w:before="0" w:beforeAutospacing="0" w:after="0" w:afterAutospacing="0" w:line="360" w:lineRule="exact"/>
              <w:ind w:left="0" w:leftChars="0" w:right="0" w:rightChars="0"/>
              <w:jc w:val="both"/>
              <w:textAlignment w:val="center"/>
              <w:outlineLvl w:val="9"/>
              <w:rPr>
                <w:rFonts w:hint="eastAsia"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3.未完成省市县食用菌产业主管部门安排的相关项目及任务，造成不良影响，市县不予支持的企业</w:t>
            </w:r>
            <w:r>
              <w:rPr>
                <w:rFonts w:hint="eastAsia" w:ascii="Times New Roman" w:hAnsi="Times New Roman" w:eastAsia="仿宋_GB2312" w:cs="Times New Roman"/>
                <w:color w:val="auto"/>
                <w:sz w:val="24"/>
                <w:szCs w:val="24"/>
                <w:highlight w:val="none"/>
                <w:lang w:eastAsia="zh-CN"/>
              </w:rPr>
              <w:t>；</w:t>
            </w:r>
          </w:p>
          <w:p>
            <w:pPr>
              <w:keepNext/>
              <w:keepLines w:val="0"/>
              <w:pageBreakBefore w:val="0"/>
              <w:widowControl/>
              <w:numPr>
                <w:ilvl w:val="-1"/>
                <w:numId w:val="0"/>
              </w:numPr>
              <w:suppressLineNumbers w:val="0"/>
              <w:kinsoku/>
              <w:wordWrap/>
              <w:overflowPunct/>
              <w:topLinePunct/>
              <w:autoSpaceDE/>
              <w:autoSpaceDN/>
              <w:bidi w:val="0"/>
              <w:adjustRightInd/>
              <w:snapToGrid/>
              <w:spacing w:before="0" w:beforeAutospacing="0" w:after="0" w:afterAutospacing="0" w:line="360" w:lineRule="exact"/>
              <w:ind w:left="0" w:leftChars="0" w:right="0" w:rightChars="0"/>
              <w:jc w:val="both"/>
              <w:textAlignment w:val="center"/>
              <w:outlineLvl w:val="9"/>
              <w:rPr>
                <w:rFonts w:hint="eastAsia"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4.在产业发展过程中技术服务不到位或对食用菌产品不按合同进行回收，致使合作社、菇农利益收到损害的企</w:t>
            </w:r>
            <w:r>
              <w:rPr>
                <w:rFonts w:hint="default" w:ascii="Times New Roman" w:hAnsi="Times New Roman" w:eastAsia="仿宋_GB2312" w:cs="Times New Roman"/>
                <w:color w:val="auto"/>
                <w:sz w:val="24"/>
                <w:szCs w:val="24"/>
                <w:highlight w:val="none"/>
                <w:lang w:eastAsia="zh-CN"/>
              </w:rPr>
              <w:t>业</w:t>
            </w:r>
            <w:r>
              <w:rPr>
                <w:rFonts w:hint="eastAsia" w:ascii="Times New Roman" w:hAnsi="Times New Roman" w:eastAsia="仿宋_GB2312" w:cs="Times New Roman"/>
                <w:color w:val="auto"/>
                <w:sz w:val="24"/>
                <w:szCs w:val="24"/>
                <w:highlight w:val="none"/>
                <w:lang w:eastAsia="zh-CN"/>
              </w:rPr>
              <w:t>；</w:t>
            </w:r>
          </w:p>
          <w:p>
            <w:pPr>
              <w:keepNext/>
              <w:keepLines w:val="0"/>
              <w:pageBreakBefore w:val="0"/>
              <w:widowControl/>
              <w:numPr>
                <w:ilvl w:val="-1"/>
                <w:numId w:val="0"/>
              </w:numPr>
              <w:suppressLineNumbers w:val="0"/>
              <w:kinsoku/>
              <w:wordWrap/>
              <w:overflowPunct/>
              <w:topLinePunct/>
              <w:autoSpaceDE/>
              <w:autoSpaceDN/>
              <w:bidi w:val="0"/>
              <w:adjustRightInd/>
              <w:snapToGrid/>
              <w:spacing w:before="0" w:beforeAutospacing="0" w:after="0" w:afterAutospacing="0" w:line="360" w:lineRule="exact"/>
              <w:ind w:left="0" w:leftChars="0" w:right="0" w:rightChars="0"/>
              <w:jc w:val="both"/>
              <w:textAlignment w:val="center"/>
              <w:outlineLvl w:val="9"/>
              <w:rPr>
                <w:rFonts w:hint="eastAsia"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5.对外提供菌棒等物资出现大量质量问题，省食用菌专班收到经营主体投诉或县（区）不良反映的企业</w:t>
            </w:r>
            <w:r>
              <w:rPr>
                <w:rFonts w:hint="eastAsia" w:ascii="Times New Roman" w:hAnsi="Times New Roman" w:eastAsia="仿宋_GB2312" w:cs="Times New Roman"/>
                <w:color w:val="auto"/>
                <w:sz w:val="24"/>
                <w:szCs w:val="24"/>
                <w:highlight w:val="none"/>
                <w:lang w:eastAsia="zh-CN"/>
              </w:rPr>
              <w:t>；</w:t>
            </w:r>
          </w:p>
          <w:p>
            <w:pPr>
              <w:keepNext/>
              <w:keepLines w:val="0"/>
              <w:pageBreakBefore w:val="0"/>
              <w:widowControl/>
              <w:numPr>
                <w:ilvl w:val="-1"/>
                <w:numId w:val="0"/>
              </w:numPr>
              <w:suppressLineNumbers w:val="0"/>
              <w:kinsoku/>
              <w:wordWrap/>
              <w:overflowPunct/>
              <w:topLinePunct/>
              <w:autoSpaceDE/>
              <w:autoSpaceDN/>
              <w:bidi w:val="0"/>
              <w:adjustRightInd/>
              <w:snapToGrid/>
              <w:spacing w:before="0" w:beforeAutospacing="0" w:after="0" w:afterAutospacing="0" w:line="360" w:lineRule="exact"/>
              <w:ind w:left="0" w:leftChars="0" w:right="0" w:rightChars="0"/>
              <w:jc w:val="both"/>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6.市县反映其他不良情况的企业。</w:t>
            </w:r>
          </w:p>
        </w:tc>
        <w:tc>
          <w:tcPr>
            <w:tcW w:w="379"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243"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w:t>
            </w:r>
          </w:p>
        </w:tc>
        <w:tc>
          <w:tcPr>
            <w:tcW w:w="460"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生猪                                产业</w:t>
            </w:r>
          </w:p>
        </w:tc>
        <w:tc>
          <w:tcPr>
            <w:tcW w:w="3916" w:type="pct"/>
            <w:vAlign w:val="center"/>
          </w:tcPr>
          <w:p>
            <w:pPr>
              <w:keepNext/>
              <w:keepLines w:val="0"/>
              <w:pageBreakBefore w:val="0"/>
              <w:widowControl/>
              <w:numPr>
                <w:ilvl w:val="0"/>
                <w:numId w:val="1"/>
              </w:numPr>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both"/>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项目用地不符合相关法律法规及规划要求，无土地备案手续和环评手续的企业；</w:t>
            </w:r>
          </w:p>
          <w:p>
            <w:pPr>
              <w:keepNext/>
              <w:keepLines w:val="0"/>
              <w:pageBreakBefore w:val="0"/>
              <w:widowControl/>
              <w:numPr>
                <w:ilvl w:val="-1"/>
                <w:numId w:val="0"/>
              </w:numPr>
              <w:suppressLineNumbers w:val="0"/>
              <w:kinsoku/>
              <w:wordWrap/>
              <w:overflowPunct/>
              <w:topLinePunct/>
              <w:autoSpaceDE/>
              <w:autoSpaceDN/>
              <w:bidi w:val="0"/>
              <w:adjustRightInd/>
              <w:snapToGrid/>
              <w:spacing w:before="0" w:beforeAutospacing="0" w:after="0" w:afterAutospacing="0" w:line="360" w:lineRule="exact"/>
              <w:ind w:left="0" w:leftChars="0" w:right="0" w:rightChars="0"/>
              <w:jc w:val="both"/>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rPr>
              <w:t>无《动物防疫合格证》企业；</w:t>
            </w:r>
          </w:p>
          <w:p>
            <w:pPr>
              <w:keepNext/>
              <w:keepLines w:val="0"/>
              <w:pageBreakBefore w:val="0"/>
              <w:widowControl/>
              <w:numPr>
                <w:ilvl w:val="-1"/>
                <w:numId w:val="0"/>
              </w:numPr>
              <w:suppressLineNumbers w:val="0"/>
              <w:kinsoku/>
              <w:wordWrap/>
              <w:overflowPunct/>
              <w:topLinePunct/>
              <w:autoSpaceDE/>
              <w:autoSpaceDN/>
              <w:bidi w:val="0"/>
              <w:adjustRightInd/>
              <w:snapToGrid/>
              <w:spacing w:before="0" w:beforeAutospacing="0" w:after="0" w:afterAutospacing="0" w:line="360" w:lineRule="exact"/>
              <w:ind w:left="0" w:leftChars="0" w:right="0" w:rightChars="0"/>
              <w:jc w:val="both"/>
              <w:textAlignment w:val="center"/>
              <w:outlineLvl w:val="9"/>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rPr>
              <w:t>近两年发生重大动物疫病或产品质量安全事件（如使用“瘦肉精”）的企业</w:t>
            </w:r>
            <w:r>
              <w:rPr>
                <w:rFonts w:hint="default" w:ascii="Times New Roman" w:hAnsi="Times New Roman" w:eastAsia="仿宋_GB2312" w:cs="Times New Roman"/>
                <w:color w:val="auto"/>
                <w:sz w:val="24"/>
                <w:szCs w:val="24"/>
                <w:highlight w:val="none"/>
                <w:lang w:eastAsia="zh-CN"/>
              </w:rPr>
              <w:t>；</w:t>
            </w:r>
          </w:p>
          <w:p>
            <w:pPr>
              <w:keepNext/>
              <w:keepLines w:val="0"/>
              <w:pageBreakBefore w:val="0"/>
              <w:widowControl/>
              <w:numPr>
                <w:ilvl w:val="-1"/>
                <w:numId w:val="0"/>
              </w:numPr>
              <w:suppressLineNumbers w:val="0"/>
              <w:kinsoku/>
              <w:wordWrap/>
              <w:overflowPunct/>
              <w:topLinePunct/>
              <w:autoSpaceDE/>
              <w:autoSpaceDN/>
              <w:bidi w:val="0"/>
              <w:adjustRightInd/>
              <w:snapToGrid/>
              <w:spacing w:before="0" w:beforeAutospacing="0" w:after="0" w:afterAutospacing="0" w:line="360" w:lineRule="exact"/>
              <w:ind w:left="0" w:leftChars="0" w:right="0" w:rightChars="0"/>
              <w:jc w:val="both"/>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4.改扩建种猪场，没有取得《种畜禽生产经营许可证》的企业。</w:t>
            </w:r>
          </w:p>
        </w:tc>
        <w:tc>
          <w:tcPr>
            <w:tcW w:w="379"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243"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3</w:t>
            </w:r>
          </w:p>
        </w:tc>
        <w:tc>
          <w:tcPr>
            <w:tcW w:w="460"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水果                               产业</w:t>
            </w:r>
          </w:p>
        </w:tc>
        <w:tc>
          <w:tcPr>
            <w:tcW w:w="3916"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left"/>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1.不利于生态环境保护的开荒性水果开发项目；                                </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 2.在果园地上从事工业和房地产开发项目；                                                          3.对珍稀濒危野生资源掠夺式开发项目；                                                                    4.对造成严重环境污染的水果加工项目。</w:t>
            </w:r>
          </w:p>
        </w:tc>
        <w:tc>
          <w:tcPr>
            <w:tcW w:w="379"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trPr>
        <w:tc>
          <w:tcPr>
            <w:tcW w:w="243"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4</w:t>
            </w:r>
          </w:p>
        </w:tc>
        <w:tc>
          <w:tcPr>
            <w:tcW w:w="460"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蔬菜                            产业</w:t>
            </w:r>
          </w:p>
        </w:tc>
        <w:tc>
          <w:tcPr>
            <w:tcW w:w="3916" w:type="pct"/>
            <w:vAlign w:val="center"/>
          </w:tcPr>
          <w:p>
            <w:pPr>
              <w:keepNext/>
              <w:keepLines w:val="0"/>
              <w:pageBreakBefore w:val="0"/>
              <w:widowControl/>
              <w:numPr>
                <w:ilvl w:val="0"/>
                <w:numId w:val="2"/>
              </w:numPr>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left"/>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基地面积达不到500亩或年种植达不到面积1000亩，不具备完善的分拣、包装、冷藏设施的企业；                                       2.租用土地与农户有租金纠纷的企业；                                                               3.近年因使用禁限用农药和违规使用除草剂，被行政单位处罚的企业；                                </w:t>
            </w:r>
          </w:p>
          <w:p>
            <w:pPr>
              <w:keepNext/>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360" w:lineRule="exact"/>
              <w:ind w:left="0" w:leftChars="0" w:right="0" w:rightChars="0"/>
              <w:jc w:val="left"/>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4.农业基金申报前获得农业项目补助资金建设的设施、设备不得作为企业资产入股分红。</w:t>
            </w:r>
          </w:p>
        </w:tc>
        <w:tc>
          <w:tcPr>
            <w:tcW w:w="379"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243"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5</w:t>
            </w:r>
          </w:p>
        </w:tc>
        <w:tc>
          <w:tcPr>
            <w:tcW w:w="460"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辣椒                               产业</w:t>
            </w:r>
          </w:p>
        </w:tc>
        <w:tc>
          <w:tcPr>
            <w:tcW w:w="3916" w:type="pct"/>
            <w:vAlign w:val="center"/>
          </w:tcPr>
          <w:p>
            <w:pPr>
              <w:keepNext/>
              <w:keepLines w:val="0"/>
              <w:pageBreakBefore w:val="0"/>
              <w:widowControl/>
              <w:numPr>
                <w:ilvl w:val="0"/>
                <w:numId w:val="3"/>
              </w:numPr>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left"/>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企业存在重大偿债风险，影响企业持续经营的担保、诉讼及仲裁等重大事项；                </w:t>
            </w:r>
          </w:p>
          <w:p>
            <w:pPr>
              <w:keepNext/>
              <w:keepLines w:val="0"/>
              <w:pageBreakBefore w:val="0"/>
              <w:widowControl/>
              <w:numPr>
                <w:ilvl w:val="0"/>
                <w:numId w:val="3"/>
              </w:numPr>
              <w:suppressLineNumbers w:val="0"/>
              <w:kinsoku/>
              <w:wordWrap/>
              <w:overflowPunct/>
              <w:topLinePunct/>
              <w:autoSpaceDE/>
              <w:autoSpaceDN/>
              <w:bidi w:val="0"/>
              <w:adjustRightInd/>
              <w:snapToGrid/>
              <w:spacing w:before="0" w:beforeAutospacing="0" w:after="0" w:afterAutospacing="0" w:line="36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加工类企业无环保许可证、无生产许可证、无排污许可证等手续的；                                 </w:t>
            </w:r>
          </w:p>
          <w:p>
            <w:pPr>
              <w:keepNext/>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360" w:lineRule="exact"/>
              <w:ind w:left="0" w:leftChars="0" w:right="0" w:rightChars="0"/>
              <w:jc w:val="left"/>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3.企业近3年因食品安全、环保、财务及其他违法、违规行为受到县级以上财政部门及相关行政执法、监管部门的处理处罚的。</w:t>
            </w:r>
          </w:p>
        </w:tc>
        <w:tc>
          <w:tcPr>
            <w:tcW w:w="379"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6</w:t>
            </w:r>
          </w:p>
        </w:tc>
        <w:tc>
          <w:tcPr>
            <w:tcW w:w="460"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both"/>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生态家禽产业</w:t>
            </w:r>
          </w:p>
        </w:tc>
        <w:tc>
          <w:tcPr>
            <w:tcW w:w="3916"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left"/>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被查出使用违禁药品、添加剂等严重质量安全问题的企业，一律纳入负面清单管理，不得申报。</w:t>
            </w:r>
          </w:p>
        </w:tc>
        <w:tc>
          <w:tcPr>
            <w:tcW w:w="379"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43"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7</w:t>
            </w:r>
          </w:p>
        </w:tc>
        <w:tc>
          <w:tcPr>
            <w:tcW w:w="460"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茶产业</w:t>
            </w:r>
          </w:p>
        </w:tc>
        <w:tc>
          <w:tcPr>
            <w:tcW w:w="3916"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left"/>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近年来企业存在安全生产事故、质量安全事故的企业不得申报。</w:t>
            </w:r>
          </w:p>
        </w:tc>
        <w:tc>
          <w:tcPr>
            <w:tcW w:w="379"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2" w:hRule="atLeast"/>
        </w:trPr>
        <w:tc>
          <w:tcPr>
            <w:tcW w:w="243"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8</w:t>
            </w:r>
          </w:p>
        </w:tc>
        <w:tc>
          <w:tcPr>
            <w:tcW w:w="460"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刺梨                                       产业</w:t>
            </w:r>
          </w:p>
        </w:tc>
        <w:tc>
          <w:tcPr>
            <w:tcW w:w="3916"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left"/>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1.出现安全生产、环保、食品质量安全等问题，被相关部门处理的企业不得申报；市（州）、县及相关部门反映其他不良情况，经省刺梨产业工作专班核实的企业；                                 2.刺梨加工企业未发挥加工带动引领作用，不按合同收购刺梨鲜果，致使合作社、刺梨种植农户利益受到损害的企业；                                                                           3.“刺梨产业贷”逾期，导致刺梨产业金融创新工作受到影响的企业；                                                                  4.“贵州刺梨”公共品牌授权使用企业，未按规范使用，造成不良影响的企业。</w:t>
            </w:r>
          </w:p>
        </w:tc>
        <w:tc>
          <w:tcPr>
            <w:tcW w:w="379"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9</w:t>
            </w:r>
          </w:p>
        </w:tc>
        <w:tc>
          <w:tcPr>
            <w:tcW w:w="460"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高标准             农田</w:t>
            </w:r>
          </w:p>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建设</w:t>
            </w:r>
          </w:p>
        </w:tc>
        <w:tc>
          <w:tcPr>
            <w:tcW w:w="3916" w:type="pct"/>
            <w:vAlign w:val="center"/>
          </w:tcPr>
          <w:p>
            <w:pPr>
              <w:keepNext/>
              <w:keepLines w:val="0"/>
              <w:pageBreakBefore w:val="0"/>
              <w:widowControl/>
              <w:numPr>
                <w:ilvl w:val="0"/>
                <w:numId w:val="4"/>
              </w:numPr>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left"/>
              <w:textAlignment w:val="center"/>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t xml:space="preserve">高标准农田建设限制区域。包括水资源贫乏区域，水土流失易发区、沙化区等生态脆弱区域，历史遗留的挖损、塌陷、压占等造成土地严重损毁且难以恢复的区域，土壤轻度污染的区域，易受自然灾害损毁的区域，沿海滩涂、内陆滩涂等区域。在前述区域开展高标准农田建设需提供国土、水利、环保等部门论证同意的证明材料。                 </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 </w:t>
            </w:r>
            <w:r>
              <w:rPr>
                <w:rFonts w:hint="default" w:ascii="Times New Roman" w:hAnsi="Times New Roman" w:eastAsia="仿宋_GB2312" w:cs="Times New Roman"/>
                <w:color w:val="auto"/>
                <w:sz w:val="24"/>
                <w:szCs w:val="24"/>
                <w:highlight w:val="none"/>
                <w:lang w:val="en-US" w:eastAsia="zh-CN"/>
              </w:rPr>
              <w:t xml:space="preserve">          </w:t>
            </w:r>
          </w:p>
          <w:p>
            <w:pPr>
              <w:keepNext/>
              <w:keepLines w:val="0"/>
              <w:pageBreakBefore w:val="0"/>
              <w:widowControl/>
              <w:numPr>
                <w:ilvl w:val="0"/>
                <w:numId w:val="4"/>
              </w:numPr>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left"/>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高标准农田建设禁止区域。包括地面坡度大于25°的区域，土壤污染严重的区域，自然保护区的核心区和缓冲区，退耕还林区、退耕还草区，河流、湖泊、水库水面及其保护范围等区域。</w:t>
            </w:r>
          </w:p>
        </w:tc>
        <w:tc>
          <w:tcPr>
            <w:tcW w:w="379"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10</w:t>
            </w:r>
          </w:p>
        </w:tc>
        <w:tc>
          <w:tcPr>
            <w:tcW w:w="460"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牛羊                                     产业</w:t>
            </w:r>
          </w:p>
        </w:tc>
        <w:tc>
          <w:tcPr>
            <w:tcW w:w="3916"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left"/>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1.环保不合格企业不得作为实施（申报）主体。                                   2.兽药、饲料监测不合格企业不得作为实施（申报）主体。</w:t>
            </w:r>
          </w:p>
        </w:tc>
        <w:tc>
          <w:tcPr>
            <w:tcW w:w="379"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11</w:t>
            </w:r>
          </w:p>
        </w:tc>
        <w:tc>
          <w:tcPr>
            <w:tcW w:w="460"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生态林业产业</w:t>
            </w:r>
          </w:p>
        </w:tc>
        <w:tc>
          <w:tcPr>
            <w:tcW w:w="3916"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left"/>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禁止在永久基本农田、自然保护地核心区和缓冲区、国家公益林区域内实施。申报以上项目需提供国土、林业等相关部门的证明材料。</w:t>
            </w:r>
          </w:p>
        </w:tc>
        <w:tc>
          <w:tcPr>
            <w:tcW w:w="379"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12</w:t>
            </w:r>
          </w:p>
        </w:tc>
        <w:tc>
          <w:tcPr>
            <w:tcW w:w="460"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生态渔业产业</w:t>
            </w:r>
          </w:p>
        </w:tc>
        <w:tc>
          <w:tcPr>
            <w:tcW w:w="3916" w:type="pct"/>
            <w:vAlign w:val="center"/>
          </w:tcPr>
          <w:p>
            <w:pPr>
              <w:keepNext/>
              <w:keepLines w:val="0"/>
              <w:pageBreakBefore w:val="0"/>
              <w:widowControl/>
              <w:numPr>
                <w:ilvl w:val="0"/>
                <w:numId w:val="5"/>
              </w:numPr>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left"/>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申报主体无合法合规的用地手续，无养殖证（稻田养殖除外）的企业不得申报；                    </w:t>
            </w:r>
          </w:p>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left"/>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2.从事苗种生产无水产苗种生产许可证（自育自用除外）的企业不得申报。</w:t>
            </w:r>
          </w:p>
        </w:tc>
        <w:tc>
          <w:tcPr>
            <w:tcW w:w="379"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13</w:t>
            </w:r>
          </w:p>
        </w:tc>
        <w:tc>
          <w:tcPr>
            <w:tcW w:w="460"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中药材</w:t>
            </w:r>
          </w:p>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产业</w:t>
            </w:r>
          </w:p>
        </w:tc>
        <w:tc>
          <w:tcPr>
            <w:tcW w:w="3916"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left"/>
              <w:textAlignment w:val="center"/>
              <w:outlineLvl w:val="9"/>
              <w:rPr>
                <w:rFonts w:hint="default" w:ascii="Times New Roman" w:hAnsi="Times New Roman" w:eastAsia="仿宋_GB2312"/>
                <w:color w:val="auto"/>
                <w:sz w:val="24"/>
                <w:szCs w:val="24"/>
                <w:highlight w:val="none"/>
                <w:lang w:val="en-US" w:eastAsia="zh-CN"/>
              </w:rPr>
            </w:pPr>
            <w:r>
              <w:rPr>
                <w:rFonts w:hint="default" w:ascii="Times New Roman" w:hAnsi="Times New Roman" w:eastAsia="仿宋_GB2312"/>
                <w:color w:val="auto"/>
                <w:sz w:val="24"/>
                <w:szCs w:val="24"/>
                <w:highlight w:val="none"/>
                <w:lang w:val="en-US" w:eastAsia="zh-CN"/>
              </w:rPr>
              <w:t>1.近3年被查出使用禁用农药、激素和化学品等质量安全事故的企业；</w:t>
            </w:r>
          </w:p>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right="0" w:firstLine="0" w:firstLineChars="0"/>
              <w:jc w:val="left"/>
              <w:textAlignment w:val="center"/>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2.未完成省农村产业革命中药材产业发展项目的企业；</w:t>
            </w:r>
          </w:p>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right="0" w:firstLine="0" w:firstLineChars="0"/>
              <w:jc w:val="left"/>
              <w:textAlignment w:val="center"/>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3.近3年存在安全生产事故的企业。</w:t>
            </w:r>
          </w:p>
        </w:tc>
        <w:tc>
          <w:tcPr>
            <w:tcW w:w="379" w:type="pct"/>
            <w:vAlign w:val="center"/>
          </w:tcPr>
          <w:p>
            <w:pPr>
              <w:keepNext/>
              <w:keepLines w:val="0"/>
              <w:pageBreakBefore w:val="0"/>
              <w:widowControl/>
              <w:suppressLineNumbers w:val="0"/>
              <w:kinsoku/>
              <w:wordWrap/>
              <w:overflowPunct/>
              <w:topLinePunct/>
              <w:autoSpaceDE/>
              <w:autoSpaceDN/>
              <w:bidi w:val="0"/>
              <w:adjustRightInd/>
              <w:snapToGrid/>
              <w:spacing w:before="0" w:beforeAutospacing="0" w:after="0" w:afterAutospacing="0" w:line="360" w:lineRule="exact"/>
              <w:ind w:left="0" w:leftChars="0" w:right="0" w:firstLine="0" w:firstLineChars="0"/>
              <w:jc w:val="center"/>
              <w:textAlignment w:val="center"/>
              <w:outlineLvl w:val="9"/>
              <w:rPr>
                <w:rFonts w:hint="default" w:ascii="Times New Roman" w:hAnsi="Times New Roman" w:eastAsia="仿宋_GB2312" w:cs="Times New Roman"/>
                <w:color w:val="auto"/>
                <w:sz w:val="24"/>
                <w:szCs w:val="24"/>
                <w:highlight w:val="none"/>
              </w:rPr>
            </w:pPr>
          </w:p>
        </w:tc>
      </w:tr>
    </w:tbl>
    <w:p>
      <w:pPr>
        <w:keepLines w:val="0"/>
        <w:pageBreakBefore w:val="0"/>
        <w:numPr>
          <w:ilvl w:val="-1"/>
          <w:numId w:val="0"/>
        </w:numPr>
        <w:wordWrap/>
        <w:bidi w:val="0"/>
        <w:adjustRightInd w:val="0"/>
        <w:snapToGrid w:val="0"/>
        <w:spacing w:line="560" w:lineRule="exact"/>
        <w:ind w:left="0" w:leftChars="0" w:firstLine="640" w:firstLineChars="200"/>
        <w:outlineLvl w:val="0"/>
        <w:rPr>
          <w:rFonts w:hint="default" w:ascii="Times New Roman" w:hAnsi="Times New Roman" w:eastAsia="黑体" w:cs="Times New Roman"/>
          <w:color w:val="auto"/>
          <w:sz w:val="32"/>
          <w:szCs w:val="32"/>
          <w:highlight w:val="none"/>
          <w:lang w:val="en-US" w:eastAsia="zh-CN"/>
        </w:rPr>
      </w:pPr>
    </w:p>
    <w:p>
      <w:pPr>
        <w:keepLines w:val="0"/>
        <w:pageBreakBefore w:val="0"/>
        <w:numPr>
          <w:ilvl w:val="-1"/>
          <w:numId w:val="0"/>
        </w:numPr>
        <w:wordWrap/>
        <w:bidi w:val="0"/>
        <w:adjustRightInd w:val="0"/>
        <w:snapToGrid w:val="0"/>
        <w:spacing w:line="560" w:lineRule="exact"/>
        <w:ind w:left="0" w:leftChars="0" w:firstLine="640" w:firstLineChars="200"/>
        <w:outlineLvl w:val="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四、优先支持的企业（项目）</w:t>
      </w:r>
    </w:p>
    <w:p>
      <w:pPr>
        <w:pStyle w:val="15"/>
        <w:keepLines w:val="0"/>
        <w:pageBreakBefore w:val="0"/>
        <w:widowControl w:val="0"/>
        <w:numPr>
          <w:ilvl w:val="-1"/>
          <w:numId w:val="0"/>
        </w:numPr>
        <w:wordWrap/>
        <w:topLinePunct w:val="0"/>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Hans"/>
        </w:rPr>
        <w:t>涉及</w:t>
      </w:r>
      <w:r>
        <w:rPr>
          <w:rFonts w:hint="default" w:ascii="Times New Roman" w:hAnsi="Times New Roman" w:eastAsia="仿宋_GB2312" w:cs="Times New Roman"/>
          <w:color w:val="auto"/>
          <w:sz w:val="32"/>
          <w:szCs w:val="32"/>
          <w:highlight w:val="none"/>
          <w:lang w:eastAsia="zh-CN"/>
        </w:rPr>
        <w:t>国家粮油安全、种</w:t>
      </w:r>
      <w:r>
        <w:rPr>
          <w:rFonts w:hint="default" w:ascii="Times New Roman" w:hAnsi="Times New Roman" w:eastAsia="仿宋_GB2312" w:cs="Times New Roman"/>
          <w:color w:val="auto"/>
          <w:sz w:val="32"/>
          <w:szCs w:val="32"/>
          <w:highlight w:val="none"/>
          <w:lang w:val="en-US" w:eastAsia="zh-Hans"/>
        </w:rPr>
        <w:t>源</w:t>
      </w:r>
      <w:r>
        <w:rPr>
          <w:rFonts w:hint="default" w:ascii="Times New Roman" w:hAnsi="Times New Roman" w:eastAsia="仿宋_GB2312" w:cs="Times New Roman"/>
          <w:color w:val="auto"/>
          <w:sz w:val="32"/>
          <w:szCs w:val="32"/>
          <w:highlight w:val="none"/>
          <w:lang w:eastAsia="zh-CN"/>
        </w:rPr>
        <w:t>安全、</w:t>
      </w:r>
      <w:r>
        <w:rPr>
          <w:rFonts w:hint="default" w:ascii="Times New Roman" w:hAnsi="Times New Roman" w:eastAsia="仿宋_GB2312" w:cs="Times New Roman"/>
          <w:color w:val="auto"/>
          <w:sz w:val="32"/>
          <w:szCs w:val="32"/>
          <w:highlight w:val="none"/>
          <w:lang w:val="en-US" w:eastAsia="zh-Hans"/>
        </w:rPr>
        <w:t>农产品供给保障的企业</w:t>
      </w:r>
      <w:r>
        <w:rPr>
          <w:rFonts w:hint="default" w:ascii="Times New Roman" w:hAnsi="Times New Roman" w:eastAsia="仿宋_GB2312" w:cs="Times New Roman"/>
          <w:color w:val="auto"/>
          <w:sz w:val="32"/>
          <w:szCs w:val="32"/>
          <w:highlight w:val="none"/>
          <w:lang w:eastAsia="zh-Hans"/>
        </w:rPr>
        <w:t>（</w:t>
      </w:r>
      <w:r>
        <w:rPr>
          <w:rFonts w:hint="default" w:ascii="Times New Roman" w:hAnsi="Times New Roman" w:eastAsia="仿宋_GB2312" w:cs="Times New Roman"/>
          <w:color w:val="auto"/>
          <w:sz w:val="32"/>
          <w:szCs w:val="32"/>
          <w:highlight w:val="none"/>
          <w:lang w:val="en-US" w:eastAsia="zh-Hans"/>
        </w:rPr>
        <w:t>项目</w:t>
      </w:r>
      <w:r>
        <w:rPr>
          <w:rFonts w:hint="default" w:ascii="Times New Roman" w:hAnsi="Times New Roman" w:eastAsia="仿宋_GB2312" w:cs="Times New Roman"/>
          <w:color w:val="auto"/>
          <w:sz w:val="32"/>
          <w:szCs w:val="32"/>
          <w:highlight w:val="none"/>
          <w:lang w:eastAsia="zh-Hans"/>
        </w:rPr>
        <w:t>）；</w:t>
      </w:r>
    </w:p>
    <w:p>
      <w:pPr>
        <w:pStyle w:val="15"/>
        <w:keepLines w:val="0"/>
        <w:pageBreakBefore w:val="0"/>
        <w:widowControl w:val="0"/>
        <w:numPr>
          <w:ilvl w:val="-1"/>
          <w:numId w:val="0"/>
        </w:numPr>
        <w:wordWrap/>
        <w:topLinePunct w:val="0"/>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Hans"/>
        </w:rPr>
        <w:t>二</w:t>
      </w:r>
      <w:r>
        <w:rPr>
          <w:rFonts w:hint="default" w:ascii="Times New Roman" w:hAnsi="Times New Roman" w:eastAsia="仿宋_GB2312" w:cs="Times New Roman"/>
          <w:color w:val="auto"/>
          <w:sz w:val="32"/>
          <w:szCs w:val="32"/>
          <w:highlight w:val="none"/>
          <w:lang w:eastAsia="zh-CN"/>
        </w:rPr>
        <w:t>）</w:t>
      </w:r>
      <w:r>
        <w:rPr>
          <w:rFonts w:hint="eastAsia" w:ascii="Times New Roman" w:cs="Times New Roman"/>
          <w:color w:val="auto"/>
          <w:highlight w:val="none"/>
          <w:u w:val="none"/>
          <w:lang w:val="en-US" w:eastAsia="zh-CN"/>
        </w:rPr>
        <w:t>巩固拓展脱贫攻坚成果同乡村振兴有效衔接</w:t>
      </w:r>
      <w:r>
        <w:rPr>
          <w:rFonts w:hint="default" w:ascii="Times New Roman" w:hAnsi="Times New Roman" w:eastAsia="仿宋_GB2312" w:cs="Times New Roman"/>
          <w:color w:val="auto"/>
          <w:highlight w:val="none"/>
          <w:u w:val="none"/>
          <w:lang w:val="en-US" w:eastAsia="zh-CN"/>
        </w:rPr>
        <w:t>的企业（项目）；</w:t>
      </w:r>
    </w:p>
    <w:p>
      <w:pPr>
        <w:pStyle w:val="15"/>
        <w:keepLines w:val="0"/>
        <w:pageBreakBefore w:val="0"/>
        <w:widowControl w:val="0"/>
        <w:numPr>
          <w:ilvl w:val="-1"/>
          <w:numId w:val="0"/>
        </w:numPr>
        <w:wordWrap/>
        <w:topLinePunct w:val="0"/>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Hans"/>
        </w:rPr>
        <w:t>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Hans"/>
        </w:rPr>
        <w:t>对</w:t>
      </w:r>
      <w:r>
        <w:rPr>
          <w:rFonts w:hint="default" w:ascii="Times New Roman" w:hAnsi="Times New Roman" w:eastAsia="仿宋_GB2312" w:cs="Times New Roman"/>
          <w:color w:val="auto"/>
          <w:sz w:val="32"/>
          <w:szCs w:val="32"/>
          <w:highlight w:val="none"/>
          <w:lang w:eastAsia="zh-CN"/>
        </w:rPr>
        <w:t>区域产值、税收、就业等经济社会效益</w:t>
      </w:r>
      <w:r>
        <w:rPr>
          <w:rFonts w:hint="default" w:ascii="Times New Roman" w:hAnsi="Times New Roman" w:eastAsia="仿宋_GB2312" w:cs="Times New Roman"/>
          <w:color w:val="auto"/>
          <w:highlight w:val="none"/>
          <w:u w:val="none"/>
          <w:lang w:val="en-US" w:eastAsia="zh-Hans"/>
        </w:rPr>
        <w:t>有重大带动的企业</w:t>
      </w:r>
      <w:r>
        <w:rPr>
          <w:rFonts w:hint="default" w:ascii="Times New Roman" w:hAnsi="Times New Roman" w:eastAsia="仿宋_GB2312" w:cs="Times New Roman"/>
          <w:color w:val="auto"/>
          <w:highlight w:val="none"/>
          <w:u w:val="none"/>
          <w:lang w:eastAsia="zh-Hans"/>
        </w:rPr>
        <w:t>（</w:t>
      </w:r>
      <w:r>
        <w:rPr>
          <w:rFonts w:hint="default" w:ascii="Times New Roman" w:hAnsi="Times New Roman" w:eastAsia="仿宋_GB2312" w:cs="Times New Roman"/>
          <w:color w:val="auto"/>
          <w:highlight w:val="none"/>
          <w:u w:val="none"/>
          <w:lang w:val="en-US" w:eastAsia="zh-Hans"/>
        </w:rPr>
        <w:t>项目</w:t>
      </w:r>
      <w:r>
        <w:rPr>
          <w:rFonts w:hint="default" w:ascii="Times New Roman" w:hAnsi="Times New Roman" w:eastAsia="仿宋_GB2312" w:cs="Times New Roman"/>
          <w:color w:val="auto"/>
          <w:highlight w:val="none"/>
          <w:u w:val="none"/>
          <w:lang w:eastAsia="zh-Hans"/>
        </w:rPr>
        <w:t>）</w:t>
      </w:r>
      <w:r>
        <w:rPr>
          <w:rFonts w:hint="default" w:ascii="Times New Roman" w:hAnsi="Times New Roman" w:eastAsia="仿宋_GB2312" w:cs="Times New Roman"/>
          <w:color w:val="auto"/>
          <w:highlight w:val="none"/>
          <w:u w:val="none"/>
          <w:lang w:val="en-US" w:eastAsia="zh-CN"/>
        </w:rPr>
        <w:t>；</w:t>
      </w:r>
    </w:p>
    <w:p>
      <w:pPr>
        <w:pStyle w:val="15"/>
        <w:keepLines w:val="0"/>
        <w:pageBreakBefore w:val="0"/>
        <w:widowControl w:val="0"/>
        <w:numPr>
          <w:ilvl w:val="-1"/>
          <w:numId w:val="0"/>
        </w:numPr>
        <w:wordWrap/>
        <w:topLinePunct w:val="0"/>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Hans"/>
        </w:rPr>
        <w:t>四</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highlight w:val="none"/>
          <w:u w:val="none"/>
          <w:lang w:val="en-US" w:eastAsia="zh-CN"/>
        </w:rPr>
        <w:t>12个特色产业（茶叶、食用菌、蔬菜、牛羊、特色林业、水果、生猪、中药材、刺梨、生态渔业、辣椒、生态家禽）</w:t>
      </w:r>
      <w:r>
        <w:rPr>
          <w:rFonts w:hint="default" w:ascii="Times New Roman" w:hAnsi="Times New Roman" w:eastAsia="仿宋_GB2312" w:cs="Times New Roman"/>
          <w:color w:val="auto"/>
          <w:highlight w:val="none"/>
          <w:u w:val="none"/>
          <w:lang w:val="en-US" w:eastAsia="zh-Hans"/>
        </w:rPr>
        <w:t>中做优做精特色优势农产品的头部</w:t>
      </w:r>
      <w:r>
        <w:rPr>
          <w:rFonts w:hint="default" w:ascii="Times New Roman" w:hAnsi="Times New Roman" w:eastAsia="仿宋_GB2312" w:cs="Times New Roman"/>
          <w:color w:val="auto"/>
          <w:highlight w:val="none"/>
          <w:u w:val="none"/>
          <w:lang w:val="en-US" w:eastAsia="zh-CN"/>
        </w:rPr>
        <w:t>企业（项目）；</w:t>
      </w:r>
    </w:p>
    <w:p>
      <w:pPr>
        <w:pStyle w:val="15"/>
        <w:keepLines w:val="0"/>
        <w:pageBreakBefore w:val="0"/>
        <w:widowControl w:val="0"/>
        <w:numPr>
          <w:ilvl w:val="-1"/>
          <w:numId w:val="0"/>
        </w:numPr>
        <w:wordWrap/>
        <w:topLinePunct w:val="0"/>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Hans"/>
        </w:rPr>
        <w:t>五</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highlight w:val="none"/>
          <w:u w:val="none"/>
          <w:lang w:val="en-US" w:eastAsia="zh-CN"/>
        </w:rPr>
        <w:t>拥有一流的核心技术或具有创新型商业模式的农业企业（项目）；</w:t>
      </w:r>
    </w:p>
    <w:p>
      <w:pPr>
        <w:pStyle w:val="15"/>
        <w:numPr>
          <w:ilvl w:val="0"/>
          <w:numId w:val="0"/>
        </w:numPr>
        <w:adjustRightInd w:val="0"/>
        <w:snapToGrid w:val="0"/>
        <w:spacing w:line="560" w:lineRule="exact"/>
        <w:ind w:firstLine="640" w:firstLineChars="200"/>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Hans"/>
        </w:rPr>
        <w:t>六</w:t>
      </w:r>
      <w:r>
        <w:rPr>
          <w:rFonts w:hint="default" w:ascii="Times New Roman" w:hAnsi="Times New Roman" w:eastAsia="仿宋_GB2312" w:cs="Times New Roman"/>
          <w:color w:val="auto"/>
          <w:sz w:val="32"/>
          <w:szCs w:val="32"/>
          <w:highlight w:val="none"/>
          <w:lang w:val="en-US" w:eastAsia="zh-CN"/>
        </w:rPr>
        <w:t>）农业产业化龙头企业、农产品流通企业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农机装备企业和大型商超</w:t>
      </w:r>
      <w:r>
        <w:rPr>
          <w:rFonts w:hint="default" w:ascii="Times New Roman" w:hAnsi="Times New Roman" w:eastAsia="仿宋_GB2312" w:cs="Times New Roman"/>
          <w:color w:val="auto"/>
          <w:sz w:val="32"/>
          <w:szCs w:val="32"/>
          <w:highlight w:val="none"/>
          <w:lang w:val="en-US" w:eastAsia="zh-Hans"/>
        </w:rPr>
        <w:t>等在贵州落地的招商引资项目</w:t>
      </w:r>
      <w:r>
        <w:rPr>
          <w:rFonts w:hint="default" w:ascii="Times New Roman" w:hAnsi="Times New Roman" w:eastAsia="仿宋_GB2312" w:cs="Times New Roman"/>
          <w:color w:val="auto"/>
          <w:highlight w:val="none"/>
          <w:u w:val="none"/>
          <w:lang w:eastAsia="zh-CN"/>
        </w:rPr>
        <w:t>。</w:t>
      </w:r>
    </w:p>
    <w:p>
      <w:pPr>
        <w:keepLines w:val="0"/>
        <w:pageBreakBefore w:val="0"/>
        <w:numPr>
          <w:ilvl w:val="-1"/>
          <w:numId w:val="0"/>
        </w:numPr>
        <w:wordWrap/>
        <w:bidi w:val="0"/>
        <w:adjustRightInd w:val="0"/>
        <w:snapToGrid w:val="0"/>
        <w:spacing w:line="560" w:lineRule="exact"/>
        <w:ind w:left="0" w:leftChars="0" w:firstLine="640" w:firstLineChars="200"/>
        <w:outlineLvl w:val="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五、项目申报流程</w:t>
      </w:r>
    </w:p>
    <w:p>
      <w:pPr>
        <w:pStyle w:val="15"/>
        <w:keepLines w:val="0"/>
        <w:pageBreakBefore w:val="0"/>
        <w:widowControl w:val="0"/>
        <w:numPr>
          <w:ilvl w:val="-1"/>
          <w:numId w:val="0"/>
        </w:numPr>
        <w:wordWrap/>
        <w:topLinePunct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一）各省级行业主管部门、金融机构</w:t>
      </w:r>
      <w:r>
        <w:rPr>
          <w:rFonts w:hint="default" w:ascii="Times New Roman" w:hAnsi="Times New Roman" w:eastAsia="仿宋_GB2312" w:cs="Times New Roman"/>
          <w:color w:val="auto"/>
          <w:sz w:val="32"/>
          <w:szCs w:val="32"/>
          <w:highlight w:val="none"/>
          <w:lang w:val="en-US" w:eastAsia="zh-Hans"/>
        </w:rPr>
        <w:t>可</w:t>
      </w:r>
      <w:r>
        <w:rPr>
          <w:rFonts w:hint="default" w:ascii="Times New Roman" w:hAnsi="Times New Roman" w:eastAsia="仿宋_GB2312" w:cs="Times New Roman"/>
          <w:color w:val="auto"/>
          <w:sz w:val="32"/>
          <w:szCs w:val="32"/>
          <w:highlight w:val="none"/>
          <w:lang w:val="en-US" w:eastAsia="zh-CN"/>
        </w:rPr>
        <w:t>通过</w:t>
      </w:r>
      <w:r>
        <w:rPr>
          <w:rFonts w:hint="default" w:ascii="Times New Roman" w:hAnsi="Times New Roman" w:eastAsia="仿宋_GB2312" w:cs="Times New Roman"/>
          <w:color w:val="auto"/>
          <w:highlight w:val="none"/>
          <w:u w:val="none"/>
          <w:lang w:val="en-US" w:eastAsia="zh-CN"/>
        </w:rPr>
        <w:t>省级政府投资基金信息管理</w:t>
      </w:r>
      <w:r>
        <w:rPr>
          <w:rFonts w:hint="default" w:ascii="Times New Roman" w:hAnsi="Times New Roman" w:eastAsia="仿宋_GB2312" w:cs="Times New Roman"/>
          <w:color w:val="auto"/>
          <w:sz w:val="32"/>
          <w:szCs w:val="32"/>
          <w:highlight w:val="none"/>
          <w:lang w:val="en-US" w:eastAsia="zh-CN"/>
        </w:rPr>
        <w:t>平台直接向基金管理人推送项目，基金管理人可按照市场化方式主动寻找项目。</w:t>
      </w:r>
    </w:p>
    <w:p>
      <w:pPr>
        <w:keepLines w:val="0"/>
        <w:pageBreakBefore w:val="0"/>
        <w:widowControl w:val="0"/>
        <w:numPr>
          <w:ilvl w:val="-1"/>
          <w:numId w:val="0"/>
        </w:numPr>
        <w:wordWrap/>
        <w:topLinePunct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kern w:val="2"/>
          <w:sz w:val="32"/>
          <w:szCs w:val="22"/>
          <w:highlight w:val="none"/>
          <w:u w:val="none"/>
          <w:lang w:val="en-US" w:eastAsia="zh-CN" w:bidi="ar-SA"/>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kern w:val="2"/>
          <w:sz w:val="32"/>
          <w:szCs w:val="22"/>
          <w:highlight w:val="none"/>
          <w:u w:val="none"/>
          <w:lang w:val="en-US" w:eastAsia="zh-CN" w:bidi="ar-SA"/>
        </w:rPr>
        <w:t>农业基金工作协调组办公室负责根据各方项目推荐情况，初步筛选后建立项目库，并将符合基金筛选条件的项目推荐至基金管理人。</w:t>
      </w:r>
    </w:p>
    <w:p>
      <w:pPr>
        <w:pStyle w:val="15"/>
        <w:keepLines w:val="0"/>
        <w:pageBreakBefore w:val="0"/>
        <w:widowControl w:val="0"/>
        <w:numPr>
          <w:ilvl w:val="-1"/>
          <w:numId w:val="0"/>
        </w:numPr>
        <w:wordWrap/>
        <w:topLinePunct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kern w:val="2"/>
          <w:sz w:val="32"/>
          <w:szCs w:val="22"/>
          <w:highlight w:val="none"/>
          <w:u w:val="none"/>
          <w:lang w:val="en-US" w:eastAsia="zh-CN" w:bidi="ar-SA"/>
        </w:rPr>
        <w:t>基金管理人</w:t>
      </w:r>
      <w:r>
        <w:rPr>
          <w:rFonts w:hint="default" w:ascii="Times New Roman" w:hAnsi="Times New Roman" w:eastAsia="仿宋_GB2312" w:cs="Times New Roman"/>
          <w:color w:val="auto"/>
          <w:highlight w:val="none"/>
          <w:u w:val="none"/>
          <w:lang w:val="en-US" w:eastAsia="zh-CN"/>
        </w:rPr>
        <w:t>对农业基金工作协调组办公室推荐的项目，以市场化方式开展立项、调查、投资等工作。</w:t>
      </w:r>
    </w:p>
    <w:p>
      <w:pPr>
        <w:keepLines w:val="0"/>
        <w:pageBreakBefore w:val="0"/>
        <w:numPr>
          <w:ilvl w:val="-1"/>
          <w:numId w:val="0"/>
        </w:numPr>
        <w:wordWrap/>
        <w:bidi w:val="0"/>
        <w:adjustRightInd w:val="0"/>
        <w:snapToGrid w:val="0"/>
        <w:spacing w:line="560" w:lineRule="exact"/>
        <w:ind w:left="0" w:leftChars="0" w:firstLine="640" w:firstLineChars="200"/>
        <w:outlineLvl w:val="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六、申报材料</w:t>
      </w:r>
    </w:p>
    <w:p>
      <w:pPr>
        <w:pStyle w:val="4"/>
        <w:keepNext w:val="0"/>
        <w:keepLines w:val="0"/>
        <w:pageBreakBefore w:val="0"/>
        <w:widowControl w:val="0"/>
        <w:suppressLineNumbers w:val="0"/>
        <w:kinsoku w:val="0"/>
        <w:wordWrap/>
        <w:overflowPunct w:val="0"/>
        <w:autoSpaceDE w:val="0"/>
        <w:autoSpaceDN w:val="0"/>
        <w:bidi w:val="0"/>
        <w:adjustRightInd w:val="0"/>
        <w:snapToGrid w:val="0"/>
        <w:spacing w:before="0" w:beforeAutospacing="0" w:after="0" w:afterAutospacing="0" w:line="560" w:lineRule="exact"/>
        <w:ind w:leftChars="0" w:right="0" w:firstLine="640" w:firstLineChars="200"/>
        <w:jc w:val="both"/>
        <w:outlineLvl w:val="0"/>
        <w:rPr>
          <w:rFonts w:hint="default" w:ascii="Times New Roman" w:hAnsi="Times New Roman" w:eastAsia="仿宋_GB2312" w:cs="Times New Roman"/>
          <w:color w:val="auto"/>
          <w:kern w:val="2"/>
          <w:sz w:val="32"/>
          <w:szCs w:val="22"/>
          <w:highlight w:val="none"/>
          <w:u w:val="none"/>
          <w:lang w:val="en-US" w:eastAsia="zh-CN" w:bidi="ar-SA"/>
        </w:rPr>
      </w:pPr>
      <w:r>
        <w:rPr>
          <w:rFonts w:hint="default" w:ascii="Times New Roman" w:hAnsi="Times New Roman" w:eastAsia="仿宋_GB2312" w:cs="Times New Roman"/>
          <w:color w:val="auto"/>
          <w:kern w:val="2"/>
          <w:sz w:val="32"/>
          <w:szCs w:val="22"/>
          <w:highlight w:val="none"/>
          <w:u w:val="none"/>
          <w:lang w:val="en-US" w:eastAsia="zh-CN" w:bidi="ar-SA"/>
        </w:rPr>
        <w:t>直投项目申请需提供以下材料，并加盖申报企业公章：</w:t>
      </w:r>
    </w:p>
    <w:tbl>
      <w:tblPr>
        <w:tblStyle w:val="11"/>
        <w:tblpPr w:leftFromText="180" w:rightFromText="180" w:vertAnchor="text" w:horzAnchor="page" w:tblpX="1457" w:tblpY="111"/>
        <w:tblOverlap w:val="never"/>
        <w:tblW w:w="5218" w:type="pct"/>
        <w:tblInd w:w="0" w:type="dxa"/>
        <w:tblLayout w:type="fixed"/>
        <w:tblCellMar>
          <w:top w:w="0" w:type="dxa"/>
          <w:left w:w="108" w:type="dxa"/>
          <w:bottom w:w="0" w:type="dxa"/>
          <w:right w:w="108" w:type="dxa"/>
        </w:tblCellMar>
      </w:tblPr>
      <w:tblGrid>
        <w:gridCol w:w="480"/>
        <w:gridCol w:w="1166"/>
        <w:gridCol w:w="4834"/>
        <w:gridCol w:w="936"/>
        <w:gridCol w:w="804"/>
        <w:gridCol w:w="1296"/>
      </w:tblGrid>
      <w:tr>
        <w:tblPrEx>
          <w:tblCellMar>
            <w:top w:w="0" w:type="dxa"/>
            <w:left w:w="108" w:type="dxa"/>
            <w:bottom w:w="0" w:type="dxa"/>
            <w:right w:w="108" w:type="dxa"/>
          </w:tblCellMar>
        </w:tblPrEx>
        <w:trPr>
          <w:trHeight w:val="64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黑体" w:hAnsi="黑体" w:eastAsia="黑体" w:cs="黑体"/>
                <w:color w:val="auto"/>
                <w:kern w:val="0"/>
                <w:sz w:val="24"/>
                <w:szCs w:val="24"/>
                <w:highlight w:val="none"/>
              </w:rPr>
            </w:pPr>
            <w:r>
              <w:rPr>
                <w:rFonts w:hint="eastAsia" w:ascii="黑体" w:hAnsi="黑体" w:eastAsia="黑体" w:cs="黑体"/>
                <w:b w:val="0"/>
                <w:bCs w:val="0"/>
                <w:color w:val="auto"/>
                <w:kern w:val="0"/>
                <w:sz w:val="24"/>
                <w:szCs w:val="24"/>
                <w:highlight w:val="none"/>
              </w:rPr>
              <w:t>序号</w:t>
            </w:r>
          </w:p>
        </w:tc>
        <w:tc>
          <w:tcPr>
            <w:tcW w:w="116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黑体" w:hAnsi="黑体" w:eastAsia="黑体" w:cs="黑体"/>
                <w:color w:val="auto"/>
                <w:kern w:val="0"/>
                <w:sz w:val="24"/>
                <w:szCs w:val="24"/>
                <w:highlight w:val="none"/>
              </w:rPr>
            </w:pPr>
            <w:r>
              <w:rPr>
                <w:rFonts w:hint="eastAsia" w:ascii="黑体" w:hAnsi="黑体" w:eastAsia="黑体" w:cs="黑体"/>
                <w:b w:val="0"/>
                <w:bCs w:val="0"/>
                <w:color w:val="auto"/>
                <w:kern w:val="0"/>
                <w:sz w:val="24"/>
                <w:szCs w:val="24"/>
                <w:highlight w:val="none"/>
              </w:rPr>
              <w:t>阶段</w:t>
            </w:r>
          </w:p>
        </w:tc>
        <w:tc>
          <w:tcPr>
            <w:tcW w:w="4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黑体" w:hAnsi="黑体" w:eastAsia="黑体" w:cs="黑体"/>
                <w:color w:val="auto"/>
                <w:kern w:val="0"/>
                <w:sz w:val="24"/>
                <w:szCs w:val="24"/>
                <w:highlight w:val="none"/>
              </w:rPr>
            </w:pPr>
            <w:r>
              <w:rPr>
                <w:rFonts w:hint="eastAsia" w:ascii="黑体" w:hAnsi="黑体" w:eastAsia="黑体" w:cs="黑体"/>
                <w:b w:val="0"/>
                <w:bCs w:val="0"/>
                <w:color w:val="auto"/>
                <w:kern w:val="0"/>
                <w:sz w:val="24"/>
                <w:szCs w:val="24"/>
                <w:highlight w:val="none"/>
              </w:rPr>
              <w:t>文件名称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原件/</w:t>
            </w:r>
          </w:p>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黑体" w:hAnsi="黑体" w:eastAsia="黑体" w:cs="黑体"/>
                <w:color w:val="auto"/>
                <w:kern w:val="0"/>
                <w:sz w:val="24"/>
                <w:szCs w:val="24"/>
                <w:highlight w:val="none"/>
              </w:rPr>
            </w:pPr>
            <w:r>
              <w:rPr>
                <w:rFonts w:hint="eastAsia" w:ascii="黑体" w:hAnsi="黑体" w:eastAsia="黑体" w:cs="黑体"/>
                <w:b w:val="0"/>
                <w:bCs w:val="0"/>
                <w:color w:val="auto"/>
                <w:kern w:val="0"/>
                <w:sz w:val="24"/>
                <w:szCs w:val="24"/>
                <w:highlight w:val="none"/>
              </w:rPr>
              <w:t>复印件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default"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文件</w:t>
            </w:r>
          </w:p>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黑体" w:hAnsi="黑体" w:eastAsia="黑体" w:cs="黑体"/>
                <w:color w:val="auto"/>
                <w:kern w:val="0"/>
                <w:sz w:val="24"/>
                <w:szCs w:val="24"/>
                <w:highlight w:val="none"/>
              </w:rPr>
            </w:pPr>
            <w:r>
              <w:rPr>
                <w:rFonts w:hint="eastAsia" w:ascii="黑体" w:hAnsi="黑体" w:eastAsia="黑体" w:cs="黑体"/>
                <w:b w:val="0"/>
                <w:bCs w:val="0"/>
                <w:color w:val="auto"/>
                <w:kern w:val="0"/>
                <w:sz w:val="24"/>
                <w:szCs w:val="24"/>
                <w:highlight w:val="none"/>
              </w:rPr>
              <w:t>来源</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黑体" w:hAnsi="黑体" w:eastAsia="黑体" w:cs="黑体"/>
                <w:color w:val="auto"/>
                <w:sz w:val="24"/>
                <w:szCs w:val="24"/>
                <w:highlight w:val="none"/>
              </w:rPr>
            </w:pPr>
            <w:r>
              <w:rPr>
                <w:rFonts w:hint="eastAsia" w:ascii="黑体" w:hAnsi="黑体" w:eastAsia="黑体" w:cs="黑体"/>
                <w:b w:val="0"/>
                <w:bCs w:val="0"/>
                <w:color w:val="auto"/>
                <w:kern w:val="0"/>
                <w:sz w:val="24"/>
                <w:szCs w:val="24"/>
                <w:highlight w:val="none"/>
              </w:rPr>
              <w:t>备注</w:t>
            </w:r>
          </w:p>
        </w:tc>
      </w:tr>
      <w:tr>
        <w:tblPrEx>
          <w:tblCellMar>
            <w:top w:w="0" w:type="dxa"/>
            <w:left w:w="108" w:type="dxa"/>
            <w:bottom w:w="0" w:type="dxa"/>
            <w:right w:w="108" w:type="dxa"/>
          </w:tblCellMar>
        </w:tblPrEx>
        <w:trPr>
          <w:trHeight w:val="655" w:hRule="atLeast"/>
        </w:trPr>
        <w:tc>
          <w:tcPr>
            <w:tcW w:w="4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w:t>
            </w: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受资企业项目申报</w:t>
            </w:r>
            <w:r>
              <w:rPr>
                <w:rFonts w:hint="eastAsia" w:ascii="仿宋_GB2312" w:hAnsi="仿宋_GB2312" w:eastAsia="仿宋_GB2312" w:cs="仿宋_GB2312"/>
                <w:color w:val="auto"/>
                <w:kern w:val="0"/>
                <w:sz w:val="24"/>
                <w:szCs w:val="24"/>
                <w:highlight w:val="none"/>
              </w:rPr>
              <w:br w:type="textWrapping"/>
            </w:r>
            <w:r>
              <w:rPr>
                <w:rFonts w:hint="eastAsia" w:ascii="仿宋_GB2312" w:hAnsi="仿宋_GB2312" w:eastAsia="仿宋_GB2312" w:cs="仿宋_GB2312"/>
                <w:color w:val="auto"/>
                <w:kern w:val="0"/>
                <w:sz w:val="24"/>
                <w:szCs w:val="24"/>
                <w:highlight w:val="none"/>
              </w:rPr>
              <w:t>（加盖受资企业公章）</w:t>
            </w:r>
          </w:p>
          <w:p>
            <w:pPr>
              <w:keepNext w:val="0"/>
              <w:keepLines w:val="0"/>
              <w:widowControl w:val="0"/>
              <w:suppressLineNumbers w:val="0"/>
              <w:kinsoku w:val="0"/>
              <w:overflowPunct/>
              <w:topLinePunct/>
              <w:autoSpaceDE w:val="0"/>
              <w:autoSpaceDN w:val="0"/>
              <w:spacing w:before="0" w:beforeAutospacing="0" w:after="0" w:afterAutospacing="0" w:line="320" w:lineRule="exact"/>
              <w:ind w:left="0" w:right="0" w:firstLine="0" w:firstLineChars="0"/>
              <w:jc w:val="both"/>
              <w:textAlignment w:val="auto"/>
              <w:rPr>
                <w:rFonts w:hint="default" w:ascii="仿宋_GB2312" w:hAnsi="仿宋_GB2312" w:eastAsia="仿宋_GB2312" w:cs="仿宋_GB2312"/>
                <w:color w:val="auto"/>
                <w:kern w:val="0"/>
                <w:sz w:val="24"/>
                <w:szCs w:val="24"/>
                <w:highlight w:val="none"/>
              </w:rPr>
            </w:pPr>
          </w:p>
        </w:tc>
        <w:tc>
          <w:tcPr>
            <w:tcW w:w="48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kinsoku w:val="0"/>
              <w:overflowPunct/>
              <w:topLinePunct/>
              <w:autoSpaceDE w:val="0"/>
              <w:autoSpaceDN w:val="0"/>
              <w:spacing w:before="0" w:beforeAutospacing="0" w:after="0" w:afterAutospacing="0" w:line="320" w:lineRule="exact"/>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真实性承诺书（加盖受资企业公章）</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原件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受资</w:t>
            </w:r>
          </w:p>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企业</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p>
        </w:tc>
      </w:tr>
      <w:tr>
        <w:tblPrEx>
          <w:tblCellMar>
            <w:top w:w="0" w:type="dxa"/>
            <w:left w:w="108" w:type="dxa"/>
            <w:bottom w:w="0" w:type="dxa"/>
            <w:right w:w="108" w:type="dxa"/>
          </w:tblCellMar>
        </w:tblPrEx>
        <w:trPr>
          <w:trHeight w:val="338" w:hRule="atLeast"/>
        </w:trPr>
        <w:tc>
          <w:tcPr>
            <w:tcW w:w="4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2</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p>
        </w:tc>
        <w:tc>
          <w:tcPr>
            <w:tcW w:w="48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kinsoku w:val="0"/>
              <w:overflowPunct/>
              <w:topLinePunct/>
              <w:autoSpaceDE w:val="0"/>
              <w:autoSpaceDN w:val="0"/>
              <w:spacing w:before="0" w:beforeAutospacing="0" w:after="0" w:afterAutospacing="0" w:line="320" w:lineRule="exact"/>
              <w:ind w:left="0" w:right="0" w:firstLine="0" w:firstLineChars="0"/>
              <w:jc w:val="both"/>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受资企业同意申请基金投资的决议</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p>
        </w:tc>
      </w:tr>
      <w:tr>
        <w:tblPrEx>
          <w:tblCellMar>
            <w:top w:w="0" w:type="dxa"/>
            <w:left w:w="108" w:type="dxa"/>
            <w:bottom w:w="0" w:type="dxa"/>
            <w:right w:w="108" w:type="dxa"/>
          </w:tblCellMar>
        </w:tblPrEx>
        <w:trPr>
          <w:trHeight w:val="678" w:hRule="atLeast"/>
        </w:trPr>
        <w:tc>
          <w:tcPr>
            <w:tcW w:w="4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default"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3</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p>
        </w:tc>
        <w:tc>
          <w:tcPr>
            <w:tcW w:w="48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kinsoku w:val="0"/>
              <w:overflowPunct/>
              <w:topLinePunct/>
              <w:autoSpaceDE w:val="0"/>
              <w:autoSpaceDN w:val="0"/>
              <w:spacing w:before="0" w:beforeAutospacing="0" w:after="0" w:afterAutospacing="0" w:line="320" w:lineRule="exact"/>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不存在重大偿债风险影响持续经营的担保、诉讼及仲裁等重大或有事项承诺函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原件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受资企业</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p>
        </w:tc>
      </w:tr>
      <w:tr>
        <w:tblPrEx>
          <w:tblCellMar>
            <w:top w:w="0" w:type="dxa"/>
            <w:left w:w="108" w:type="dxa"/>
            <w:bottom w:w="0" w:type="dxa"/>
            <w:right w:w="108" w:type="dxa"/>
          </w:tblCellMar>
        </w:tblPrEx>
        <w:trPr>
          <w:trHeight w:val="396" w:hRule="atLeast"/>
        </w:trPr>
        <w:tc>
          <w:tcPr>
            <w:tcW w:w="4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default"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4</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p>
        </w:tc>
        <w:tc>
          <w:tcPr>
            <w:tcW w:w="48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kinsoku w:val="0"/>
              <w:overflowPunct/>
              <w:topLinePunct/>
              <w:autoSpaceDE w:val="0"/>
              <w:autoSpaceDN w:val="0"/>
              <w:spacing w:before="0" w:beforeAutospacing="0" w:after="0" w:afterAutospacing="0" w:line="320" w:lineRule="exact"/>
              <w:ind w:left="0" w:right="0" w:firstLine="0" w:firstLineChars="0"/>
              <w:jc w:val="both"/>
              <w:textAlignment w:val="auto"/>
              <w:rPr>
                <w:rFonts w:hint="default"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企业</w:t>
            </w:r>
            <w:r>
              <w:rPr>
                <w:rFonts w:hint="eastAsia" w:ascii="仿宋_GB2312" w:hAnsi="仿宋_GB2312" w:eastAsia="仿宋_GB2312" w:cs="仿宋_GB2312"/>
                <w:color w:val="auto"/>
                <w:kern w:val="0"/>
                <w:sz w:val="24"/>
                <w:szCs w:val="24"/>
                <w:highlight w:val="none"/>
              </w:rPr>
              <w:t>自筹和其他建设资金筹措方案及其资金来源已落实的证明材料</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包括</w:t>
            </w:r>
            <w:r>
              <w:rPr>
                <w:rFonts w:hint="eastAsia" w:ascii="仿宋_GB2312" w:hAnsi="仿宋_GB2312" w:eastAsia="仿宋_GB2312" w:cs="仿宋_GB2312"/>
                <w:color w:val="auto"/>
                <w:kern w:val="0"/>
                <w:sz w:val="24"/>
                <w:szCs w:val="24"/>
                <w:highlight w:val="none"/>
              </w:rPr>
              <w:t>贷款批复、借款合同、借款借据等相关放款的证明文件</w:t>
            </w:r>
            <w:r>
              <w:rPr>
                <w:rFonts w:hint="eastAsia" w:ascii="仿宋_GB2312" w:hAnsi="仿宋_GB2312" w:eastAsia="仿宋_GB2312" w:cs="仿宋_GB2312"/>
                <w:color w:val="auto"/>
                <w:kern w:val="0"/>
                <w:sz w:val="24"/>
                <w:szCs w:val="24"/>
                <w:highlight w:val="none"/>
                <w:lang w:eastAsia="zh-CN"/>
              </w:rPr>
              <w:t>）</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原件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受资企业</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p>
        </w:tc>
      </w:tr>
      <w:tr>
        <w:tblPrEx>
          <w:tblCellMar>
            <w:top w:w="0" w:type="dxa"/>
            <w:left w:w="108" w:type="dxa"/>
            <w:bottom w:w="0" w:type="dxa"/>
            <w:right w:w="108" w:type="dxa"/>
          </w:tblCellMar>
        </w:tblPrEx>
        <w:trPr>
          <w:trHeight w:val="623" w:hRule="atLeast"/>
        </w:trPr>
        <w:tc>
          <w:tcPr>
            <w:tcW w:w="4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default"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5</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p>
        </w:tc>
        <w:tc>
          <w:tcPr>
            <w:tcW w:w="48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kinsoku w:val="0"/>
              <w:overflowPunct/>
              <w:topLinePunct/>
              <w:autoSpaceDE w:val="0"/>
              <w:autoSpaceDN w:val="0"/>
              <w:spacing w:before="0" w:beforeAutospacing="0" w:after="0" w:afterAutospacing="0" w:line="320" w:lineRule="exact"/>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公司营业执照</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复印件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受资企业</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p>
        </w:tc>
      </w:tr>
      <w:tr>
        <w:tblPrEx>
          <w:tblCellMar>
            <w:top w:w="0" w:type="dxa"/>
            <w:left w:w="108" w:type="dxa"/>
            <w:bottom w:w="0" w:type="dxa"/>
            <w:right w:w="108" w:type="dxa"/>
          </w:tblCellMar>
        </w:tblPrEx>
        <w:trPr>
          <w:trHeight w:val="591" w:hRule="atLeast"/>
        </w:trPr>
        <w:tc>
          <w:tcPr>
            <w:tcW w:w="4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default"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6</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p>
        </w:tc>
        <w:tc>
          <w:tcPr>
            <w:tcW w:w="48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kinsoku w:val="0"/>
              <w:overflowPunct/>
              <w:topLinePunct/>
              <w:autoSpaceDE w:val="0"/>
              <w:autoSpaceDN w:val="0"/>
              <w:spacing w:before="0" w:beforeAutospacing="0" w:after="0" w:afterAutospacing="0" w:line="320" w:lineRule="exact"/>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公司章程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复印件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受资企业</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p>
        </w:tc>
      </w:tr>
      <w:tr>
        <w:tblPrEx>
          <w:tblCellMar>
            <w:top w:w="0" w:type="dxa"/>
            <w:left w:w="108" w:type="dxa"/>
            <w:bottom w:w="0" w:type="dxa"/>
            <w:right w:w="108" w:type="dxa"/>
          </w:tblCellMar>
        </w:tblPrEx>
        <w:trPr>
          <w:trHeight w:val="591" w:hRule="atLeast"/>
        </w:trPr>
        <w:tc>
          <w:tcPr>
            <w:tcW w:w="4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default"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7</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p>
        </w:tc>
        <w:tc>
          <w:tcPr>
            <w:tcW w:w="48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kinsoku w:val="0"/>
              <w:overflowPunct/>
              <w:topLinePunct/>
              <w:autoSpaceDE w:val="0"/>
              <w:autoSpaceDN w:val="0"/>
              <w:spacing w:before="0" w:beforeAutospacing="0" w:after="0" w:afterAutospacing="0" w:line="320" w:lineRule="exact"/>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受资企业近三年以及近一期的审计报告或财务报告（含资产负债表、利润表、现金流量表）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复印件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受资企业</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p>
        </w:tc>
      </w:tr>
      <w:tr>
        <w:tblPrEx>
          <w:tblCellMar>
            <w:top w:w="0" w:type="dxa"/>
            <w:left w:w="108" w:type="dxa"/>
            <w:bottom w:w="0" w:type="dxa"/>
            <w:right w:w="108" w:type="dxa"/>
          </w:tblCellMar>
        </w:tblPrEx>
        <w:trPr>
          <w:trHeight w:val="591" w:hRule="atLeast"/>
        </w:trPr>
        <w:tc>
          <w:tcPr>
            <w:tcW w:w="4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default"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8</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p>
        </w:tc>
        <w:tc>
          <w:tcPr>
            <w:tcW w:w="48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kinsoku w:val="0"/>
              <w:overflowPunct/>
              <w:topLinePunct/>
              <w:autoSpaceDE w:val="0"/>
              <w:autoSpaceDN w:val="0"/>
              <w:spacing w:before="0" w:beforeAutospacing="0" w:after="0" w:afterAutospacing="0" w:line="320" w:lineRule="exact"/>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自然人股东身份证复印件/企业法人机构股东营业执照复印件</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复印件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受资企业</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p>
        </w:tc>
      </w:tr>
      <w:tr>
        <w:tblPrEx>
          <w:tblCellMar>
            <w:top w:w="0" w:type="dxa"/>
            <w:left w:w="108" w:type="dxa"/>
            <w:bottom w:w="0" w:type="dxa"/>
            <w:right w:w="108" w:type="dxa"/>
          </w:tblCellMar>
        </w:tblPrEx>
        <w:trPr>
          <w:trHeight w:val="591" w:hRule="atLeast"/>
        </w:trPr>
        <w:tc>
          <w:tcPr>
            <w:tcW w:w="4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default"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9</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p>
        </w:tc>
        <w:tc>
          <w:tcPr>
            <w:tcW w:w="48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kinsoku w:val="0"/>
              <w:overflowPunct/>
              <w:topLinePunct/>
              <w:autoSpaceDE w:val="0"/>
              <w:autoSpaceDN w:val="0"/>
              <w:spacing w:before="0" w:beforeAutospacing="0" w:after="0" w:afterAutospacing="0" w:line="320" w:lineRule="exact"/>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企业及股东征信报告（政府或政府组成部门不需要）</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打印件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受资企业</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p>
        </w:tc>
      </w:tr>
      <w:tr>
        <w:tblPrEx>
          <w:tblCellMar>
            <w:top w:w="0" w:type="dxa"/>
            <w:left w:w="108" w:type="dxa"/>
            <w:bottom w:w="0" w:type="dxa"/>
            <w:right w:w="108" w:type="dxa"/>
          </w:tblCellMar>
        </w:tblPrEx>
        <w:trPr>
          <w:trHeight w:val="591" w:hRule="atLeast"/>
        </w:trPr>
        <w:tc>
          <w:tcPr>
            <w:tcW w:w="4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10</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p>
        </w:tc>
        <w:tc>
          <w:tcPr>
            <w:tcW w:w="48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kinsoku w:val="0"/>
              <w:overflowPunct/>
              <w:topLinePunct/>
              <w:autoSpaceDE w:val="0"/>
              <w:autoSpaceDN w:val="0"/>
              <w:spacing w:before="0" w:beforeAutospacing="0" w:after="0" w:afterAutospacing="0" w:line="320" w:lineRule="exact"/>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可行性研究报告/商业计划书</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复印件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受资企业</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p>
        </w:tc>
      </w:tr>
      <w:tr>
        <w:tblPrEx>
          <w:tblCellMar>
            <w:top w:w="0" w:type="dxa"/>
            <w:left w:w="108" w:type="dxa"/>
            <w:bottom w:w="0" w:type="dxa"/>
            <w:right w:w="108" w:type="dxa"/>
          </w:tblCellMar>
        </w:tblPrEx>
        <w:trPr>
          <w:trHeight w:val="786" w:hRule="atLeast"/>
        </w:trPr>
        <w:tc>
          <w:tcPr>
            <w:tcW w:w="4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11</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p>
        </w:tc>
        <w:tc>
          <w:tcPr>
            <w:tcW w:w="48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kinsoku w:val="0"/>
              <w:overflowPunct/>
              <w:topLinePunct/>
              <w:autoSpaceDE w:val="0"/>
              <w:autoSpaceDN w:val="0"/>
              <w:spacing w:before="0" w:beforeAutospacing="0" w:after="0" w:afterAutospacing="0" w:line="320" w:lineRule="exact"/>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环评及批复文件</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复印件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受资企业</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涉及的项目需提供</w:t>
            </w:r>
          </w:p>
        </w:tc>
      </w:tr>
      <w:tr>
        <w:tblPrEx>
          <w:tblCellMar>
            <w:top w:w="0" w:type="dxa"/>
            <w:left w:w="108" w:type="dxa"/>
            <w:bottom w:w="0" w:type="dxa"/>
            <w:right w:w="108" w:type="dxa"/>
          </w:tblCellMar>
        </w:tblPrEx>
        <w:trPr>
          <w:trHeight w:val="786" w:hRule="atLeast"/>
        </w:trPr>
        <w:tc>
          <w:tcPr>
            <w:tcW w:w="4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12</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p>
        </w:tc>
        <w:tc>
          <w:tcPr>
            <w:tcW w:w="48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kinsoku w:val="0"/>
              <w:overflowPunct/>
              <w:topLinePunct/>
              <w:autoSpaceDE w:val="0"/>
              <w:autoSpaceDN w:val="0"/>
              <w:spacing w:before="0" w:beforeAutospacing="0" w:after="0" w:afterAutospacing="0" w:line="320" w:lineRule="exact"/>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项目用地的批准文件/国有土地使用权证</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复印件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受资企业</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涉及的项目需提供</w:t>
            </w:r>
          </w:p>
        </w:tc>
      </w:tr>
      <w:tr>
        <w:tblPrEx>
          <w:tblCellMar>
            <w:top w:w="0" w:type="dxa"/>
            <w:left w:w="108" w:type="dxa"/>
            <w:bottom w:w="0" w:type="dxa"/>
            <w:right w:w="108" w:type="dxa"/>
          </w:tblCellMar>
        </w:tblPrEx>
        <w:trPr>
          <w:trHeight w:val="868" w:hRule="atLeast"/>
        </w:trPr>
        <w:tc>
          <w:tcPr>
            <w:tcW w:w="4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13</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p>
        </w:tc>
        <w:tc>
          <w:tcPr>
            <w:tcW w:w="48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kinsoku w:val="0"/>
              <w:overflowPunct/>
              <w:topLinePunct/>
              <w:autoSpaceDE w:val="0"/>
              <w:autoSpaceDN w:val="0"/>
              <w:spacing w:before="0" w:beforeAutospacing="0" w:after="0" w:afterAutospacing="0" w:line="320" w:lineRule="exact"/>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项目涉及林地、耕地、自然保护区、河流等需要取得相关部门手续</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复印件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受资企业</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涉及的项目需提供</w:t>
            </w:r>
          </w:p>
        </w:tc>
      </w:tr>
      <w:tr>
        <w:tblPrEx>
          <w:tblCellMar>
            <w:top w:w="0" w:type="dxa"/>
            <w:left w:w="108" w:type="dxa"/>
            <w:bottom w:w="0" w:type="dxa"/>
            <w:right w:w="108" w:type="dxa"/>
          </w:tblCellMar>
        </w:tblPrEx>
        <w:trPr>
          <w:trHeight w:val="786" w:hRule="atLeast"/>
        </w:trPr>
        <w:tc>
          <w:tcPr>
            <w:tcW w:w="4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14</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p>
        </w:tc>
        <w:tc>
          <w:tcPr>
            <w:tcW w:w="48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kinsoku w:val="0"/>
              <w:overflowPunct/>
              <w:topLinePunct/>
              <w:autoSpaceDE w:val="0"/>
              <w:autoSpaceDN w:val="0"/>
              <w:spacing w:before="0" w:beforeAutospacing="0" w:after="0" w:afterAutospacing="0" w:line="320" w:lineRule="exact"/>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国有土地有偿使用合同和土地出让地价款（土地使用权出让金、拆迁补偿费、城市基础设施建设费等）缴交凭证</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复印件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受资企业</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涉及的项目需提供</w:t>
            </w:r>
          </w:p>
        </w:tc>
      </w:tr>
      <w:tr>
        <w:tblPrEx>
          <w:tblCellMar>
            <w:top w:w="0" w:type="dxa"/>
            <w:left w:w="108" w:type="dxa"/>
            <w:bottom w:w="0" w:type="dxa"/>
            <w:right w:w="108" w:type="dxa"/>
          </w:tblCellMar>
        </w:tblPrEx>
        <w:trPr>
          <w:trHeight w:val="786" w:hRule="atLeast"/>
        </w:trPr>
        <w:tc>
          <w:tcPr>
            <w:tcW w:w="4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15</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p>
        </w:tc>
        <w:tc>
          <w:tcPr>
            <w:tcW w:w="48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kinsoku w:val="0"/>
              <w:overflowPunct/>
              <w:topLinePunct/>
              <w:autoSpaceDE w:val="0"/>
              <w:autoSpaceDN w:val="0"/>
              <w:spacing w:before="0" w:beforeAutospacing="0" w:after="0" w:afterAutospacing="0" w:line="320" w:lineRule="exact"/>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建设用地规划许可证</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复印件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受资企业</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建设类项目</w:t>
            </w:r>
            <w:r>
              <w:rPr>
                <w:rFonts w:hint="eastAsia" w:ascii="仿宋_GB2312" w:hAnsi="仿宋_GB2312" w:eastAsia="仿宋_GB2312" w:cs="仿宋_GB2312"/>
                <w:color w:val="auto"/>
                <w:kern w:val="0"/>
                <w:sz w:val="24"/>
                <w:szCs w:val="24"/>
                <w:highlight w:val="none"/>
                <w:lang w:val="en-US" w:eastAsia="zh-CN"/>
              </w:rPr>
              <w:t>如开工</w:t>
            </w:r>
            <w:r>
              <w:rPr>
                <w:rFonts w:hint="eastAsia" w:ascii="仿宋_GB2312" w:hAnsi="仿宋_GB2312" w:eastAsia="仿宋_GB2312" w:cs="仿宋_GB2312"/>
                <w:color w:val="auto"/>
                <w:kern w:val="0"/>
                <w:sz w:val="24"/>
                <w:szCs w:val="24"/>
                <w:highlight w:val="none"/>
              </w:rPr>
              <w:t>需提供</w:t>
            </w:r>
          </w:p>
        </w:tc>
      </w:tr>
      <w:tr>
        <w:tblPrEx>
          <w:tblCellMar>
            <w:top w:w="0" w:type="dxa"/>
            <w:left w:w="108" w:type="dxa"/>
            <w:bottom w:w="0" w:type="dxa"/>
            <w:right w:w="108" w:type="dxa"/>
          </w:tblCellMar>
        </w:tblPrEx>
        <w:trPr>
          <w:trHeight w:val="786" w:hRule="atLeast"/>
        </w:trPr>
        <w:tc>
          <w:tcPr>
            <w:tcW w:w="4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16</w:t>
            </w: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受资企业项目申报</w:t>
            </w:r>
            <w:r>
              <w:rPr>
                <w:rFonts w:hint="eastAsia" w:ascii="仿宋_GB2312" w:hAnsi="仿宋_GB2312" w:eastAsia="仿宋_GB2312" w:cs="仿宋_GB2312"/>
                <w:color w:val="auto"/>
                <w:kern w:val="0"/>
                <w:sz w:val="24"/>
                <w:szCs w:val="24"/>
                <w:highlight w:val="none"/>
              </w:rPr>
              <w:br w:type="textWrapping"/>
            </w:r>
            <w:r>
              <w:rPr>
                <w:rFonts w:hint="eastAsia" w:ascii="仿宋_GB2312" w:hAnsi="仿宋_GB2312" w:eastAsia="仿宋_GB2312" w:cs="仿宋_GB2312"/>
                <w:color w:val="auto"/>
                <w:kern w:val="0"/>
                <w:sz w:val="24"/>
                <w:szCs w:val="24"/>
                <w:highlight w:val="none"/>
              </w:rPr>
              <w:t>（加盖受资企业公章）</w:t>
            </w:r>
          </w:p>
        </w:tc>
        <w:tc>
          <w:tcPr>
            <w:tcW w:w="48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kinsoku w:val="0"/>
              <w:overflowPunct/>
              <w:topLinePunct/>
              <w:autoSpaceDE w:val="0"/>
              <w:autoSpaceDN w:val="0"/>
              <w:spacing w:before="0" w:beforeAutospacing="0" w:after="0" w:afterAutospacing="0" w:line="320" w:lineRule="exact"/>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建筑工程施工许可证</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复印件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受资企业</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建设类项目</w:t>
            </w:r>
            <w:r>
              <w:rPr>
                <w:rFonts w:hint="eastAsia" w:ascii="仿宋_GB2312" w:hAnsi="仿宋_GB2312" w:eastAsia="仿宋_GB2312" w:cs="仿宋_GB2312"/>
                <w:color w:val="auto"/>
                <w:kern w:val="0"/>
                <w:sz w:val="24"/>
                <w:szCs w:val="24"/>
                <w:highlight w:val="none"/>
                <w:lang w:val="en-US" w:eastAsia="zh-CN"/>
              </w:rPr>
              <w:t>如开工</w:t>
            </w:r>
            <w:r>
              <w:rPr>
                <w:rFonts w:hint="eastAsia" w:ascii="仿宋_GB2312" w:hAnsi="仿宋_GB2312" w:eastAsia="仿宋_GB2312" w:cs="仿宋_GB2312"/>
                <w:color w:val="auto"/>
                <w:kern w:val="0"/>
                <w:sz w:val="24"/>
                <w:szCs w:val="24"/>
                <w:highlight w:val="none"/>
              </w:rPr>
              <w:t>需提供</w:t>
            </w:r>
          </w:p>
        </w:tc>
      </w:tr>
      <w:tr>
        <w:tblPrEx>
          <w:tblCellMar>
            <w:top w:w="0" w:type="dxa"/>
            <w:left w:w="108" w:type="dxa"/>
            <w:bottom w:w="0" w:type="dxa"/>
            <w:right w:w="108" w:type="dxa"/>
          </w:tblCellMar>
        </w:tblPrEx>
        <w:trPr>
          <w:trHeight w:val="591" w:hRule="atLeast"/>
        </w:trPr>
        <w:tc>
          <w:tcPr>
            <w:tcW w:w="4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17</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p>
        </w:tc>
        <w:tc>
          <w:tcPr>
            <w:tcW w:w="48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kinsoku w:val="0"/>
              <w:overflowPunct/>
              <w:topLinePunct/>
              <w:autoSpaceDE w:val="0"/>
              <w:autoSpaceDN w:val="0"/>
              <w:spacing w:before="0" w:beforeAutospacing="0" w:after="0" w:afterAutospacing="0" w:line="320" w:lineRule="exact"/>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特种经营许可证</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复印件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受资企业</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如有，需提供</w:t>
            </w:r>
          </w:p>
        </w:tc>
      </w:tr>
      <w:tr>
        <w:tblPrEx>
          <w:tblCellMar>
            <w:top w:w="0" w:type="dxa"/>
            <w:left w:w="108" w:type="dxa"/>
            <w:bottom w:w="0" w:type="dxa"/>
            <w:right w:w="108" w:type="dxa"/>
          </w:tblCellMar>
        </w:tblPrEx>
        <w:trPr>
          <w:trHeight w:val="591" w:hRule="atLeast"/>
        </w:trPr>
        <w:tc>
          <w:tcPr>
            <w:tcW w:w="4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18</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p>
        </w:tc>
        <w:tc>
          <w:tcPr>
            <w:tcW w:w="48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kinsoku w:val="0"/>
              <w:overflowPunct/>
              <w:topLinePunct/>
              <w:autoSpaceDE w:val="0"/>
              <w:autoSpaceDN w:val="0"/>
              <w:spacing w:before="0" w:beforeAutospacing="0" w:after="0" w:afterAutospacing="0" w:line="320" w:lineRule="exact"/>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外商投资企业批准证书</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复印件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受资企业</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三资企业提供</w:t>
            </w:r>
          </w:p>
        </w:tc>
      </w:tr>
      <w:tr>
        <w:trPr>
          <w:trHeight w:val="591" w:hRule="atLeast"/>
        </w:trPr>
        <w:tc>
          <w:tcPr>
            <w:tcW w:w="4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19</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p>
        </w:tc>
        <w:tc>
          <w:tcPr>
            <w:tcW w:w="48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kinsoku w:val="0"/>
              <w:overflowPunct/>
              <w:topLinePunct/>
              <w:autoSpaceDE w:val="0"/>
              <w:autoSpaceDN w:val="0"/>
              <w:spacing w:before="0" w:beforeAutospacing="0" w:after="0" w:afterAutospacing="0" w:line="320" w:lineRule="exact"/>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外商投资企业外汇登记证</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复印件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受资企业</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p>
        </w:tc>
      </w:tr>
      <w:tr>
        <w:tblPrEx>
          <w:tblCellMar>
            <w:top w:w="0" w:type="dxa"/>
            <w:left w:w="108" w:type="dxa"/>
            <w:bottom w:w="0" w:type="dxa"/>
            <w:right w:w="108" w:type="dxa"/>
          </w:tblCellMar>
        </w:tblPrEx>
        <w:trPr>
          <w:trHeight w:val="396" w:hRule="atLeast"/>
        </w:trPr>
        <w:tc>
          <w:tcPr>
            <w:tcW w:w="4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20</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p>
        </w:tc>
        <w:tc>
          <w:tcPr>
            <w:tcW w:w="48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kinsoku w:val="0"/>
              <w:overflowPunct/>
              <w:topLinePunct/>
              <w:autoSpaceDE w:val="0"/>
              <w:autoSpaceDN w:val="0"/>
              <w:spacing w:before="0" w:beforeAutospacing="0" w:after="0" w:afterAutospacing="0" w:line="320" w:lineRule="exact"/>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进出口企业资格证书</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复印件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受资企业</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进出口企业提供</w:t>
            </w:r>
          </w:p>
        </w:tc>
      </w:tr>
      <w:tr>
        <w:tblPrEx>
          <w:tblCellMar>
            <w:top w:w="0" w:type="dxa"/>
            <w:left w:w="108" w:type="dxa"/>
            <w:bottom w:w="0" w:type="dxa"/>
            <w:right w:w="108" w:type="dxa"/>
          </w:tblCellMar>
        </w:tblPrEx>
        <w:trPr>
          <w:trHeight w:val="981" w:hRule="atLeast"/>
        </w:trPr>
        <w:tc>
          <w:tcPr>
            <w:tcW w:w="4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21</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p>
        </w:tc>
        <w:tc>
          <w:tcPr>
            <w:tcW w:w="48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kinsoku w:val="0"/>
              <w:overflowPunct/>
              <w:topLinePunct/>
              <w:autoSpaceDE w:val="0"/>
              <w:autoSpaceDN w:val="0"/>
              <w:spacing w:before="0" w:beforeAutospacing="0" w:after="0" w:afterAutospacing="0" w:line="320" w:lineRule="exact"/>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企业资质等级证书</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复印件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受资企业</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涉及的项目需提供</w:t>
            </w:r>
          </w:p>
        </w:tc>
      </w:tr>
      <w:tr>
        <w:tblPrEx>
          <w:tblCellMar>
            <w:top w:w="0" w:type="dxa"/>
            <w:left w:w="108" w:type="dxa"/>
            <w:bottom w:w="0" w:type="dxa"/>
            <w:right w:w="108" w:type="dxa"/>
          </w:tblCellMar>
        </w:tblPrEx>
        <w:trPr>
          <w:trHeight w:val="1370" w:hRule="atLeast"/>
        </w:trPr>
        <w:tc>
          <w:tcPr>
            <w:tcW w:w="4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22</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p>
        </w:tc>
        <w:tc>
          <w:tcPr>
            <w:tcW w:w="48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kinsoku w:val="0"/>
              <w:overflowPunct/>
              <w:topLinePunct/>
              <w:autoSpaceDE w:val="0"/>
              <w:autoSpaceDN w:val="0"/>
              <w:spacing w:before="0" w:beforeAutospacing="0" w:after="0" w:afterAutospacing="0" w:line="320" w:lineRule="exact"/>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排污许可证、污水处理许可证等</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复印件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受资企业</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涉及环境敏感问题的生产企业</w:t>
            </w:r>
          </w:p>
        </w:tc>
      </w:tr>
      <w:tr>
        <w:tblPrEx>
          <w:tblCellMar>
            <w:top w:w="0" w:type="dxa"/>
            <w:left w:w="108" w:type="dxa"/>
            <w:bottom w:w="0" w:type="dxa"/>
            <w:right w:w="108" w:type="dxa"/>
          </w:tblCellMar>
        </w:tblPrEx>
        <w:trPr>
          <w:trHeight w:val="674" w:hRule="atLeast"/>
        </w:trPr>
        <w:tc>
          <w:tcPr>
            <w:tcW w:w="4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23</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kinsoku w:val="0"/>
              <w:overflowPunct/>
              <w:topLinePunct/>
              <w:autoSpaceDE w:val="0"/>
              <w:autoSpaceDN w:val="0"/>
              <w:spacing w:before="0" w:beforeAutospacing="0" w:after="0" w:afterAutospacing="0" w:line="320" w:lineRule="exact"/>
              <w:ind w:left="0" w:right="0" w:firstLine="0" w:firstLineChars="0"/>
              <w:jc w:val="both"/>
              <w:textAlignment w:val="auto"/>
              <w:rPr>
                <w:rFonts w:hint="default" w:ascii="仿宋_GB2312" w:hAnsi="仿宋_GB2312" w:eastAsia="仿宋_GB2312" w:cs="仿宋_GB2312"/>
                <w:color w:val="auto"/>
                <w:kern w:val="0"/>
                <w:sz w:val="24"/>
                <w:szCs w:val="24"/>
                <w:highlight w:val="none"/>
              </w:rPr>
            </w:pPr>
          </w:p>
        </w:tc>
        <w:tc>
          <w:tcPr>
            <w:tcW w:w="48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kinsoku w:val="0"/>
              <w:overflowPunct/>
              <w:topLinePunct/>
              <w:autoSpaceDE w:val="0"/>
              <w:autoSpaceDN w:val="0"/>
              <w:spacing w:before="0" w:beforeAutospacing="0" w:after="0" w:afterAutospacing="0" w:line="320" w:lineRule="exact"/>
              <w:ind w:left="0" w:right="0" w:firstLine="0" w:firstLineChars="0"/>
              <w:jc w:val="both"/>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行业主管部门、基金管理人认为必要的其他材料</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复印件</w:t>
            </w:r>
            <w:r>
              <w:rPr>
                <w:rFonts w:hint="eastAsia" w:ascii="仿宋_GB2312" w:hAnsi="仿宋_GB2312" w:eastAsia="仿宋_GB2312" w:cs="仿宋_GB2312"/>
                <w:color w:val="auto"/>
                <w:kern w:val="0"/>
                <w:sz w:val="24"/>
                <w:szCs w:val="24"/>
                <w:highlight w:val="none"/>
                <w:lang w:val="en-US" w:eastAsia="zh-Hans"/>
              </w:rPr>
              <w:t>或原件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受资企业</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2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p>
        </w:tc>
      </w:tr>
    </w:tbl>
    <w:p>
      <w:pPr>
        <w:pStyle w:val="14"/>
        <w:spacing w:line="560" w:lineRule="exact"/>
        <w:rPr>
          <w:rFonts w:hint="default" w:ascii="Times New Roman" w:hAnsi="Times New Roman" w:eastAsia="方正小标宋简体" w:cs="Times New Roman"/>
          <w:b w:val="0"/>
          <w:color w:val="auto"/>
          <w:kern w:val="0"/>
          <w:sz w:val="28"/>
          <w:szCs w:val="28"/>
          <w:highlight w:val="none"/>
          <w:lang w:val="en-US" w:eastAsia="zh-CN" w:bidi="ar-SA"/>
        </w:rPr>
      </w:pPr>
    </w:p>
    <w:p>
      <w:pPr>
        <w:pStyle w:val="14"/>
        <w:spacing w:line="560" w:lineRule="exact"/>
        <w:rPr>
          <w:rFonts w:hint="default" w:ascii="Times New Roman" w:hAnsi="Times New Roman" w:eastAsia="方正小标宋简体" w:cs="Times New Roman"/>
          <w:b w:val="0"/>
          <w:color w:val="auto"/>
          <w:kern w:val="0"/>
          <w:sz w:val="28"/>
          <w:szCs w:val="28"/>
          <w:highlight w:val="none"/>
          <w:lang w:val="en-US" w:eastAsia="zh-CN" w:bidi="ar-SA"/>
        </w:rPr>
      </w:pPr>
      <w:r>
        <w:rPr>
          <w:rFonts w:hint="eastAsia" w:ascii="仿宋_GB2312" w:hAnsi="仿宋_GB2312" w:eastAsia="仿宋_GB2312" w:cs="仿宋_GB2312"/>
          <w:b w:val="0"/>
          <w:bCs/>
          <w:color w:val="auto"/>
          <w:kern w:val="0"/>
          <w:sz w:val="32"/>
          <w:szCs w:val="32"/>
          <w:highlight w:val="none"/>
        </w:rPr>
        <w:t>农业基金</w:t>
      </w:r>
      <w:r>
        <w:rPr>
          <w:rFonts w:hint="eastAsia" w:ascii="仿宋_GB2312" w:hAnsi="仿宋_GB2312" w:eastAsia="仿宋_GB2312" w:cs="仿宋_GB2312"/>
          <w:b w:val="0"/>
          <w:bCs/>
          <w:color w:val="auto"/>
          <w:kern w:val="0"/>
          <w:sz w:val="32"/>
          <w:szCs w:val="32"/>
          <w:highlight w:val="none"/>
          <w:lang w:val="en-US" w:eastAsia="zh-CN"/>
        </w:rPr>
        <w:t>投资调查资料清单</w:t>
      </w:r>
    </w:p>
    <w:tbl>
      <w:tblPr>
        <w:tblStyle w:val="11"/>
        <w:tblW w:w="5219" w:type="pct"/>
        <w:tblInd w:w="-156" w:type="dxa"/>
        <w:tblLayout w:type="fixed"/>
        <w:tblCellMar>
          <w:top w:w="0" w:type="dxa"/>
          <w:left w:w="108" w:type="dxa"/>
          <w:bottom w:w="0" w:type="dxa"/>
          <w:right w:w="108" w:type="dxa"/>
        </w:tblCellMar>
      </w:tblPr>
      <w:tblGrid>
        <w:gridCol w:w="532"/>
        <w:gridCol w:w="734"/>
        <w:gridCol w:w="388"/>
        <w:gridCol w:w="4829"/>
        <w:gridCol w:w="1058"/>
        <w:gridCol w:w="821"/>
        <w:gridCol w:w="1155"/>
      </w:tblGrid>
      <w:tr>
        <w:tblPrEx>
          <w:tblCellMar>
            <w:top w:w="0" w:type="dxa"/>
            <w:left w:w="108" w:type="dxa"/>
            <w:bottom w:w="0" w:type="dxa"/>
            <w:right w:w="108" w:type="dxa"/>
          </w:tblCellMar>
        </w:tblPrEx>
        <w:trPr>
          <w:trHeight w:val="591"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leftChars="0" w:right="0" w:firstLine="0" w:firstLineChars="0"/>
              <w:jc w:val="center"/>
              <w:textAlignment w:val="auto"/>
              <w:outlineLvl w:val="9"/>
              <w:rPr>
                <w:rFonts w:hint="default" w:ascii="黑体" w:hAnsi="黑体" w:eastAsia="黑体" w:cs="黑体"/>
                <w:b w:val="0"/>
                <w:bCs w:val="0"/>
                <w:color w:val="auto"/>
                <w:kern w:val="0"/>
                <w:sz w:val="24"/>
                <w:szCs w:val="24"/>
                <w:highlight w:val="none"/>
                <w:lang w:val="en-US" w:eastAsia="zh-CN" w:bidi="ar-SA"/>
              </w:rPr>
            </w:pPr>
            <w:r>
              <w:rPr>
                <w:rFonts w:hint="default" w:ascii="黑体" w:hAnsi="黑体" w:eastAsia="黑体" w:cs="黑体"/>
                <w:b w:val="0"/>
                <w:bCs w:val="0"/>
                <w:color w:val="auto"/>
                <w:kern w:val="0"/>
                <w:sz w:val="24"/>
                <w:szCs w:val="24"/>
                <w:highlight w:val="none"/>
              </w:rPr>
              <w:t>序号</w:t>
            </w:r>
          </w:p>
        </w:tc>
        <w:tc>
          <w:tcPr>
            <w:tcW w:w="589"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leftChars="0" w:right="0" w:firstLine="0" w:firstLineChars="0"/>
              <w:jc w:val="center"/>
              <w:textAlignment w:val="auto"/>
              <w:outlineLvl w:val="9"/>
              <w:rPr>
                <w:rFonts w:hint="eastAsia" w:ascii="黑体" w:hAnsi="黑体" w:eastAsia="黑体" w:cs="黑体"/>
                <w:b w:val="0"/>
                <w:bCs w:val="0"/>
                <w:color w:val="auto"/>
                <w:kern w:val="0"/>
                <w:sz w:val="24"/>
                <w:szCs w:val="24"/>
                <w:highlight w:val="none"/>
                <w:lang w:val="en-US" w:eastAsia="zh-CN" w:bidi="ar-SA"/>
              </w:rPr>
            </w:pPr>
            <w:r>
              <w:rPr>
                <w:rFonts w:hint="default" w:ascii="黑体" w:hAnsi="黑体" w:eastAsia="黑体" w:cs="黑体"/>
                <w:b w:val="0"/>
                <w:bCs w:val="0"/>
                <w:color w:val="auto"/>
                <w:kern w:val="0"/>
                <w:sz w:val="24"/>
                <w:szCs w:val="24"/>
                <w:highlight w:val="none"/>
              </w:rPr>
              <w:t>阶段</w:t>
            </w:r>
          </w:p>
        </w:tc>
        <w:tc>
          <w:tcPr>
            <w:tcW w:w="2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leftChars="0" w:right="0" w:firstLine="0" w:firstLineChars="0"/>
              <w:jc w:val="center"/>
              <w:textAlignment w:val="auto"/>
              <w:outlineLvl w:val="9"/>
              <w:rPr>
                <w:rFonts w:hint="eastAsia" w:ascii="黑体" w:hAnsi="黑体" w:eastAsia="黑体" w:cs="黑体"/>
                <w:b w:val="0"/>
                <w:bCs w:val="0"/>
                <w:color w:val="auto"/>
                <w:kern w:val="0"/>
                <w:sz w:val="24"/>
                <w:szCs w:val="24"/>
                <w:highlight w:val="none"/>
                <w:lang w:val="en-US" w:eastAsia="zh-CN" w:bidi="ar-SA"/>
              </w:rPr>
            </w:pPr>
            <w:r>
              <w:rPr>
                <w:rFonts w:hint="default" w:ascii="黑体" w:hAnsi="黑体" w:eastAsia="黑体" w:cs="黑体"/>
                <w:b w:val="0"/>
                <w:bCs w:val="0"/>
                <w:color w:val="auto"/>
                <w:kern w:val="0"/>
                <w:sz w:val="24"/>
                <w:szCs w:val="24"/>
                <w:highlight w:val="none"/>
              </w:rPr>
              <w:t>文件名称</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leftChars="0" w:right="0" w:firstLine="0" w:firstLineChars="0"/>
              <w:jc w:val="center"/>
              <w:textAlignment w:val="auto"/>
              <w:outlineLvl w:val="9"/>
              <w:rPr>
                <w:rFonts w:hint="eastAsia" w:ascii="黑体" w:hAnsi="黑体" w:eastAsia="黑体" w:cs="黑体"/>
                <w:b w:val="0"/>
                <w:bCs w:val="0"/>
                <w:color w:val="auto"/>
                <w:kern w:val="0"/>
                <w:sz w:val="24"/>
                <w:szCs w:val="24"/>
                <w:highlight w:val="none"/>
              </w:rPr>
            </w:pPr>
            <w:r>
              <w:rPr>
                <w:rFonts w:hint="default" w:ascii="黑体" w:hAnsi="黑体" w:eastAsia="黑体" w:cs="黑体"/>
                <w:b w:val="0"/>
                <w:bCs w:val="0"/>
                <w:color w:val="auto"/>
                <w:kern w:val="0"/>
                <w:sz w:val="24"/>
                <w:szCs w:val="24"/>
                <w:highlight w:val="none"/>
              </w:rPr>
              <w:t>原件/</w:t>
            </w:r>
          </w:p>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leftChars="0" w:right="0" w:firstLine="0" w:firstLineChars="0"/>
              <w:jc w:val="center"/>
              <w:textAlignment w:val="auto"/>
              <w:outlineLvl w:val="9"/>
              <w:rPr>
                <w:rFonts w:hint="eastAsia" w:ascii="黑体" w:hAnsi="黑体" w:eastAsia="黑体" w:cs="黑体"/>
                <w:b w:val="0"/>
                <w:bCs w:val="0"/>
                <w:color w:val="auto"/>
                <w:kern w:val="0"/>
                <w:sz w:val="24"/>
                <w:szCs w:val="24"/>
                <w:highlight w:val="none"/>
                <w:lang w:val="en-US" w:eastAsia="zh-CN" w:bidi="ar-SA"/>
              </w:rPr>
            </w:pPr>
            <w:r>
              <w:rPr>
                <w:rFonts w:hint="default" w:ascii="黑体" w:hAnsi="黑体" w:eastAsia="黑体" w:cs="黑体"/>
                <w:b w:val="0"/>
                <w:bCs w:val="0"/>
                <w:color w:val="auto"/>
                <w:kern w:val="0"/>
                <w:sz w:val="24"/>
                <w:szCs w:val="24"/>
                <w:highlight w:val="none"/>
              </w:rPr>
              <w:t>复印件</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leftChars="0" w:right="0" w:firstLine="0" w:firstLineChars="0"/>
              <w:jc w:val="center"/>
              <w:textAlignment w:val="auto"/>
              <w:outlineLvl w:val="9"/>
              <w:rPr>
                <w:rFonts w:hint="eastAsia" w:ascii="黑体" w:hAnsi="黑体" w:eastAsia="黑体" w:cs="黑体"/>
                <w:b w:val="0"/>
                <w:bCs w:val="0"/>
                <w:color w:val="auto"/>
                <w:kern w:val="0"/>
                <w:sz w:val="24"/>
                <w:szCs w:val="24"/>
                <w:highlight w:val="none"/>
                <w:lang w:val="en-US" w:eastAsia="zh-CN" w:bidi="ar-SA"/>
              </w:rPr>
            </w:pPr>
            <w:r>
              <w:rPr>
                <w:rFonts w:hint="default" w:ascii="黑体" w:hAnsi="黑体" w:eastAsia="黑体" w:cs="黑体"/>
                <w:b w:val="0"/>
                <w:bCs w:val="0"/>
                <w:color w:val="auto"/>
                <w:kern w:val="0"/>
                <w:sz w:val="24"/>
                <w:szCs w:val="24"/>
                <w:highlight w:val="none"/>
              </w:rPr>
              <w:t>文件来源</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leftChars="0" w:right="0" w:firstLine="0" w:firstLineChars="0"/>
              <w:jc w:val="center"/>
              <w:textAlignment w:val="auto"/>
              <w:outlineLvl w:val="9"/>
              <w:rPr>
                <w:rFonts w:hint="eastAsia" w:ascii="黑体" w:hAnsi="黑体" w:eastAsia="黑体" w:cs="黑体"/>
                <w:b w:val="0"/>
                <w:bCs w:val="0"/>
                <w:color w:val="auto"/>
                <w:kern w:val="0"/>
                <w:sz w:val="24"/>
                <w:szCs w:val="24"/>
                <w:highlight w:val="none"/>
                <w:lang w:val="en-US" w:eastAsia="zh-CN" w:bidi="ar-SA"/>
              </w:rPr>
            </w:pPr>
            <w:r>
              <w:rPr>
                <w:rFonts w:hint="default" w:ascii="黑体" w:hAnsi="黑体" w:eastAsia="黑体" w:cs="黑体"/>
                <w:b w:val="0"/>
                <w:bCs w:val="0"/>
                <w:color w:val="auto"/>
                <w:kern w:val="0"/>
                <w:sz w:val="24"/>
                <w:szCs w:val="24"/>
                <w:highlight w:val="none"/>
              </w:rPr>
              <w:t>备注</w:t>
            </w:r>
          </w:p>
        </w:tc>
      </w:tr>
      <w:tr>
        <w:tblPrEx>
          <w:tblCellMar>
            <w:top w:w="0" w:type="dxa"/>
            <w:left w:w="108" w:type="dxa"/>
            <w:bottom w:w="0" w:type="dxa"/>
            <w:right w:w="108" w:type="dxa"/>
          </w:tblCellMar>
        </w:tblPrEx>
        <w:trPr>
          <w:trHeight w:val="679" w:hRule="atLeast"/>
        </w:trPr>
        <w:tc>
          <w:tcPr>
            <w:tcW w:w="279"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leftChars="0" w:right="0" w:firstLine="0" w:firstLineChars="0"/>
              <w:jc w:val="center"/>
              <w:textAlignment w:val="auto"/>
              <w:outlineLvl w:val="9"/>
              <w:rPr>
                <w:rFonts w:hint="default" w:ascii="Times New Roman" w:hAnsi="Times New Roman" w:eastAsia="等线" w:cs="Times New Roman"/>
                <w:color w:val="auto"/>
                <w:kern w:val="2"/>
                <w:sz w:val="24"/>
                <w:szCs w:val="24"/>
                <w:highlight w:val="none"/>
                <w:lang w:val="en-US" w:eastAsia="zh-CN" w:bidi="ar-SA"/>
              </w:rPr>
            </w:pPr>
            <w:r>
              <w:rPr>
                <w:rFonts w:hint="default" w:ascii="Times New Roman" w:hAnsi="Times New Roman" w:eastAsia="等线" w:cs="Times New Roman"/>
                <w:color w:val="auto"/>
                <w:kern w:val="0"/>
                <w:sz w:val="24"/>
                <w:szCs w:val="24"/>
                <w:highlight w:val="none"/>
                <w:lang w:val="en-US" w:eastAsia="zh-CN"/>
              </w:rPr>
              <w:t>1</w:t>
            </w:r>
          </w:p>
        </w:tc>
        <w:tc>
          <w:tcPr>
            <w:tcW w:w="589"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投资</w:t>
            </w:r>
          </w:p>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leftChars="0" w:right="0" w:firstLine="0" w:firstLineChars="0"/>
              <w:jc w:val="center"/>
              <w:textAlignment w:val="auto"/>
              <w:outlineLvl w:val="9"/>
              <w:rPr>
                <w:rFonts w:hint="default" w:ascii="仿宋_GB2312" w:hAnsi="仿宋_GB2312" w:eastAsia="仿宋_GB2312" w:cs="仿宋_GB2312"/>
                <w:color w:val="auto"/>
                <w:kern w:val="0"/>
                <w:sz w:val="24"/>
                <w:szCs w:val="24"/>
                <w:highlight w:val="none"/>
                <w:lang w:val="en-US" w:eastAsia="zh-CN" w:bidi="ar-SA"/>
              </w:rPr>
            </w:pPr>
            <w:r>
              <w:rPr>
                <w:rFonts w:hint="default" w:ascii="仿宋_GB2312" w:hAnsi="仿宋_GB2312" w:eastAsia="仿宋_GB2312" w:cs="仿宋_GB2312"/>
                <w:color w:val="auto"/>
                <w:kern w:val="0"/>
                <w:sz w:val="24"/>
                <w:szCs w:val="24"/>
                <w:highlight w:val="none"/>
              </w:rPr>
              <w:t>调查</w:t>
            </w:r>
          </w:p>
        </w:tc>
        <w:tc>
          <w:tcPr>
            <w:tcW w:w="2537"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both"/>
              <w:textAlignment w:val="auto"/>
              <w:rPr>
                <w:rFonts w:hint="default" w:ascii="仿宋_GB2312" w:hAnsi="仿宋_GB2312" w:eastAsia="仿宋_GB2312" w:cs="仿宋_GB2312"/>
                <w:color w:val="auto"/>
                <w:kern w:val="0"/>
                <w:sz w:val="24"/>
                <w:szCs w:val="24"/>
                <w:highlight w:val="none"/>
                <w:lang w:val="en-US" w:eastAsia="zh-CN" w:bidi="ar-SA"/>
              </w:rPr>
            </w:pPr>
            <w:r>
              <w:rPr>
                <w:rFonts w:hint="default" w:ascii="仿宋_GB2312" w:hAnsi="仿宋_GB2312" w:eastAsia="仿宋_GB2312" w:cs="仿宋_GB2312"/>
                <w:color w:val="auto"/>
                <w:kern w:val="0"/>
                <w:sz w:val="24"/>
                <w:szCs w:val="24"/>
                <w:highlight w:val="none"/>
              </w:rPr>
              <w:t>项目所涉及的专利证书或商标注册登记证书</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leftChars="0" w:right="0" w:firstLine="0" w:firstLineChars="0"/>
              <w:jc w:val="center"/>
              <w:textAlignment w:val="auto"/>
              <w:outlineLvl w:val="9"/>
              <w:rPr>
                <w:rFonts w:hint="default" w:ascii="仿宋_GB2312" w:hAnsi="仿宋_GB2312" w:eastAsia="仿宋_GB2312" w:cs="仿宋_GB2312"/>
                <w:color w:val="auto"/>
                <w:kern w:val="0"/>
                <w:sz w:val="24"/>
                <w:szCs w:val="24"/>
                <w:highlight w:val="none"/>
                <w:lang w:val="en-US" w:eastAsia="zh-CN" w:bidi="ar-SA"/>
              </w:rPr>
            </w:pPr>
            <w:r>
              <w:rPr>
                <w:rFonts w:hint="default" w:ascii="仿宋_GB2312" w:hAnsi="仿宋_GB2312" w:eastAsia="仿宋_GB2312" w:cs="仿宋_GB2312"/>
                <w:color w:val="auto"/>
                <w:kern w:val="0"/>
                <w:sz w:val="24"/>
                <w:szCs w:val="24"/>
                <w:highlight w:val="none"/>
              </w:rPr>
              <w:t>复印件</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leftChars="0" w:right="0" w:firstLine="0" w:firstLineChars="0"/>
              <w:jc w:val="center"/>
              <w:textAlignment w:val="auto"/>
              <w:outlineLvl w:val="9"/>
              <w:rPr>
                <w:rFonts w:hint="default" w:ascii="仿宋_GB2312" w:hAnsi="仿宋_GB2312" w:eastAsia="仿宋_GB2312" w:cs="仿宋_GB2312"/>
                <w:color w:val="auto"/>
                <w:kern w:val="0"/>
                <w:sz w:val="24"/>
                <w:szCs w:val="24"/>
                <w:highlight w:val="none"/>
                <w:lang w:val="en-US" w:eastAsia="zh-CN" w:bidi="ar-SA"/>
              </w:rPr>
            </w:pPr>
            <w:r>
              <w:rPr>
                <w:rFonts w:hint="default" w:ascii="仿宋_GB2312" w:hAnsi="仿宋_GB2312" w:eastAsia="仿宋_GB2312" w:cs="仿宋_GB2312"/>
                <w:color w:val="auto"/>
                <w:kern w:val="0"/>
                <w:sz w:val="24"/>
                <w:szCs w:val="24"/>
                <w:highlight w:val="none"/>
              </w:rPr>
              <w:t>受资企业</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leftChars="0" w:right="0" w:firstLine="0" w:firstLineChars="0"/>
              <w:jc w:val="center"/>
              <w:textAlignment w:val="auto"/>
              <w:outlineLvl w:val="9"/>
              <w:rPr>
                <w:rFonts w:hint="default" w:ascii="Times New Roman" w:hAnsi="Times New Roman" w:eastAsia="等线" w:cs="Times New Roman"/>
                <w:color w:val="auto"/>
                <w:kern w:val="2"/>
                <w:sz w:val="24"/>
                <w:szCs w:val="24"/>
                <w:highlight w:val="none"/>
                <w:lang w:val="en-US" w:eastAsia="zh-CN" w:bidi="ar-SA"/>
              </w:rPr>
            </w:pPr>
          </w:p>
        </w:tc>
      </w:tr>
      <w:tr>
        <w:tblPrEx>
          <w:tblCellMar>
            <w:top w:w="0" w:type="dxa"/>
            <w:left w:w="108" w:type="dxa"/>
            <w:bottom w:w="0" w:type="dxa"/>
            <w:right w:w="108" w:type="dxa"/>
          </w:tblCellMar>
        </w:tblPrEx>
        <w:trPr>
          <w:trHeight w:val="732" w:hRule="atLeast"/>
        </w:trPr>
        <w:tc>
          <w:tcPr>
            <w:tcW w:w="279"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eastAsia="等线" w:cs="Times New Roman"/>
                <w:color w:val="auto"/>
                <w:sz w:val="24"/>
                <w:szCs w:val="24"/>
                <w:highlight w:val="none"/>
                <w:lang w:eastAsia="zh-CN"/>
              </w:rPr>
            </w:pPr>
            <w:r>
              <w:rPr>
                <w:rFonts w:hint="default" w:ascii="Times New Roman" w:hAnsi="Times New Roman" w:eastAsia="等线" w:cs="Times New Roman"/>
                <w:color w:val="auto"/>
                <w:kern w:val="0"/>
                <w:sz w:val="24"/>
                <w:szCs w:val="24"/>
                <w:highlight w:val="none"/>
                <w:lang w:val="en-US" w:eastAsia="zh-CN"/>
              </w:rPr>
              <w:t>2</w:t>
            </w:r>
          </w:p>
        </w:tc>
        <w:tc>
          <w:tcPr>
            <w:tcW w:w="58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eastAsia="等线" w:cs="Times New Roman"/>
                <w:color w:val="auto"/>
                <w:sz w:val="24"/>
                <w:szCs w:val="24"/>
                <w:highlight w:val="none"/>
              </w:rPr>
            </w:pPr>
          </w:p>
        </w:tc>
        <w:tc>
          <w:tcPr>
            <w:tcW w:w="2537"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公司法定代表人、董事、监事、总经理、财务负责人名单</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原件</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受资企业</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eastAsia="等线" w:cs="Times New Roman"/>
                <w:color w:val="auto"/>
                <w:sz w:val="24"/>
                <w:szCs w:val="24"/>
                <w:highlight w:val="none"/>
              </w:rPr>
            </w:pPr>
          </w:p>
        </w:tc>
      </w:tr>
      <w:tr>
        <w:tblPrEx>
          <w:tblCellMar>
            <w:top w:w="0" w:type="dxa"/>
            <w:left w:w="108" w:type="dxa"/>
            <w:bottom w:w="0" w:type="dxa"/>
            <w:right w:w="108" w:type="dxa"/>
          </w:tblCellMar>
        </w:tblPrEx>
        <w:trPr>
          <w:trHeight w:val="741" w:hRule="atLeast"/>
        </w:trPr>
        <w:tc>
          <w:tcPr>
            <w:tcW w:w="279"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eastAsia="等线" w:cs="Times New Roman"/>
                <w:color w:val="auto"/>
                <w:sz w:val="24"/>
                <w:szCs w:val="24"/>
                <w:highlight w:val="none"/>
                <w:lang w:eastAsia="zh-CN"/>
              </w:rPr>
            </w:pPr>
            <w:r>
              <w:rPr>
                <w:rFonts w:hint="default" w:ascii="Times New Roman" w:hAnsi="Times New Roman" w:eastAsia="等线" w:cs="Times New Roman"/>
                <w:color w:val="auto"/>
                <w:sz w:val="24"/>
                <w:szCs w:val="24"/>
                <w:highlight w:val="none"/>
                <w:lang w:val="en-US" w:eastAsia="zh-CN"/>
              </w:rPr>
              <w:t>3</w:t>
            </w:r>
          </w:p>
        </w:tc>
        <w:tc>
          <w:tcPr>
            <w:tcW w:w="58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eastAsia="等线" w:cs="Times New Roman"/>
                <w:color w:val="auto"/>
                <w:sz w:val="24"/>
                <w:szCs w:val="24"/>
                <w:highlight w:val="none"/>
              </w:rPr>
            </w:pPr>
          </w:p>
        </w:tc>
        <w:tc>
          <w:tcPr>
            <w:tcW w:w="2537"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高级管理人员、核心技术人员、股东简历</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原件</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受资企业</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eastAsia="等线" w:cs="Times New Roman"/>
                <w:color w:val="auto"/>
                <w:sz w:val="24"/>
                <w:szCs w:val="24"/>
                <w:highlight w:val="none"/>
              </w:rPr>
            </w:pPr>
          </w:p>
        </w:tc>
      </w:tr>
      <w:tr>
        <w:tblPrEx>
          <w:tblCellMar>
            <w:top w:w="0" w:type="dxa"/>
            <w:left w:w="108" w:type="dxa"/>
            <w:bottom w:w="0" w:type="dxa"/>
            <w:right w:w="108" w:type="dxa"/>
          </w:tblCellMar>
        </w:tblPrEx>
        <w:trPr>
          <w:trHeight w:val="858" w:hRule="atLeast"/>
        </w:trPr>
        <w:tc>
          <w:tcPr>
            <w:tcW w:w="279"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eastAsia="等线" w:cs="Times New Roman"/>
                <w:color w:val="auto"/>
                <w:sz w:val="24"/>
                <w:szCs w:val="24"/>
                <w:highlight w:val="none"/>
                <w:lang w:eastAsia="zh-CN"/>
              </w:rPr>
            </w:pPr>
            <w:r>
              <w:rPr>
                <w:rFonts w:hint="default" w:ascii="Times New Roman" w:hAnsi="Times New Roman" w:eastAsia="等线" w:cs="Times New Roman"/>
                <w:color w:val="auto"/>
                <w:sz w:val="24"/>
                <w:szCs w:val="24"/>
                <w:highlight w:val="none"/>
                <w:lang w:val="en-US" w:eastAsia="zh-CN"/>
              </w:rPr>
              <w:t>4</w:t>
            </w:r>
          </w:p>
        </w:tc>
        <w:tc>
          <w:tcPr>
            <w:tcW w:w="58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eastAsia="等线" w:cs="Times New Roman"/>
                <w:color w:val="auto"/>
                <w:sz w:val="24"/>
                <w:szCs w:val="24"/>
                <w:highlight w:val="none"/>
              </w:rPr>
            </w:pPr>
          </w:p>
        </w:tc>
        <w:tc>
          <w:tcPr>
            <w:tcW w:w="2537"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企业经营管理、财务管理等内部管理制度文件清单</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原件</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受资企业</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eastAsia="等线" w:cs="Times New Roman"/>
                <w:color w:val="auto"/>
                <w:sz w:val="24"/>
                <w:szCs w:val="24"/>
                <w:highlight w:val="none"/>
              </w:rPr>
            </w:pPr>
          </w:p>
        </w:tc>
      </w:tr>
      <w:tr>
        <w:tblPrEx>
          <w:tblCellMar>
            <w:top w:w="0" w:type="dxa"/>
            <w:left w:w="108" w:type="dxa"/>
            <w:bottom w:w="0" w:type="dxa"/>
            <w:right w:w="108" w:type="dxa"/>
          </w:tblCellMar>
        </w:tblPrEx>
        <w:trPr>
          <w:trHeight w:val="825" w:hRule="atLeast"/>
        </w:trPr>
        <w:tc>
          <w:tcPr>
            <w:tcW w:w="279"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eastAsia="等线" w:cs="Times New Roman"/>
                <w:color w:val="auto"/>
                <w:sz w:val="24"/>
                <w:szCs w:val="24"/>
                <w:highlight w:val="none"/>
                <w:lang w:eastAsia="zh-CN"/>
              </w:rPr>
            </w:pPr>
            <w:r>
              <w:rPr>
                <w:rFonts w:hint="default" w:ascii="Times New Roman" w:hAnsi="Times New Roman" w:eastAsia="等线" w:cs="Times New Roman"/>
                <w:color w:val="auto"/>
                <w:sz w:val="24"/>
                <w:szCs w:val="24"/>
                <w:highlight w:val="none"/>
                <w:lang w:val="en-US" w:eastAsia="zh-CN"/>
              </w:rPr>
              <w:t>5</w:t>
            </w:r>
          </w:p>
        </w:tc>
        <w:tc>
          <w:tcPr>
            <w:tcW w:w="58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eastAsia="等线" w:cs="Times New Roman"/>
                <w:color w:val="auto"/>
                <w:sz w:val="24"/>
                <w:szCs w:val="24"/>
                <w:highlight w:val="none"/>
              </w:rPr>
            </w:pPr>
          </w:p>
        </w:tc>
        <w:tc>
          <w:tcPr>
            <w:tcW w:w="2537"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公司土地、房产、设备、车辆等资产权证</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复印件</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受资企业</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eastAsia="等线" w:cs="Times New Roman"/>
                <w:color w:val="auto"/>
                <w:sz w:val="24"/>
                <w:szCs w:val="24"/>
                <w:highlight w:val="none"/>
              </w:rPr>
            </w:pPr>
          </w:p>
        </w:tc>
      </w:tr>
      <w:tr>
        <w:tblPrEx>
          <w:tblCellMar>
            <w:top w:w="0" w:type="dxa"/>
            <w:left w:w="108" w:type="dxa"/>
            <w:bottom w:w="0" w:type="dxa"/>
            <w:right w:w="108" w:type="dxa"/>
          </w:tblCellMar>
        </w:tblPrEx>
        <w:trPr>
          <w:trHeight w:val="90" w:hRule="atLeast"/>
        </w:trPr>
        <w:tc>
          <w:tcPr>
            <w:tcW w:w="279"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eastAsia="等线" w:cs="Times New Roman"/>
                <w:color w:val="auto"/>
                <w:sz w:val="24"/>
                <w:szCs w:val="24"/>
                <w:highlight w:val="none"/>
                <w:lang w:eastAsia="zh-CN"/>
              </w:rPr>
            </w:pPr>
            <w:r>
              <w:rPr>
                <w:rFonts w:hint="default" w:ascii="Times New Roman" w:hAnsi="Times New Roman" w:eastAsia="等线" w:cs="Times New Roman"/>
                <w:color w:val="auto"/>
                <w:sz w:val="24"/>
                <w:szCs w:val="24"/>
                <w:highlight w:val="none"/>
                <w:lang w:val="en-US" w:eastAsia="zh-CN"/>
              </w:rPr>
              <w:t>6</w:t>
            </w:r>
          </w:p>
        </w:tc>
        <w:tc>
          <w:tcPr>
            <w:tcW w:w="589"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投资</w:t>
            </w:r>
          </w:p>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eastAsia="等线" w:cs="Times New Roman"/>
                <w:color w:val="auto"/>
                <w:sz w:val="24"/>
                <w:szCs w:val="24"/>
                <w:highlight w:val="none"/>
              </w:rPr>
            </w:pPr>
            <w:r>
              <w:rPr>
                <w:rFonts w:hint="default" w:ascii="仿宋_GB2312" w:hAnsi="仿宋_GB2312" w:eastAsia="仿宋_GB2312" w:cs="仿宋_GB2312"/>
                <w:color w:val="auto"/>
                <w:kern w:val="0"/>
                <w:sz w:val="24"/>
                <w:szCs w:val="24"/>
                <w:highlight w:val="none"/>
              </w:rPr>
              <w:t>调查</w:t>
            </w:r>
          </w:p>
        </w:tc>
        <w:tc>
          <w:tcPr>
            <w:tcW w:w="2537"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近三年企业完税证明文件</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复印件</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受资企业</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eastAsia="等线" w:cs="Times New Roman"/>
                <w:color w:val="auto"/>
                <w:sz w:val="24"/>
                <w:szCs w:val="24"/>
                <w:highlight w:val="none"/>
              </w:rPr>
            </w:pPr>
          </w:p>
        </w:tc>
      </w:tr>
      <w:tr>
        <w:tblPrEx>
          <w:tblCellMar>
            <w:top w:w="0" w:type="dxa"/>
            <w:left w:w="108" w:type="dxa"/>
            <w:bottom w:w="0" w:type="dxa"/>
            <w:right w:w="108" w:type="dxa"/>
          </w:tblCellMar>
        </w:tblPrEx>
        <w:trPr>
          <w:trHeight w:val="957" w:hRule="atLeast"/>
        </w:trPr>
        <w:tc>
          <w:tcPr>
            <w:tcW w:w="279"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eastAsia="等线" w:cs="Times New Roman"/>
                <w:color w:val="auto"/>
                <w:sz w:val="24"/>
                <w:szCs w:val="24"/>
                <w:highlight w:val="none"/>
                <w:lang w:eastAsia="zh-CN"/>
              </w:rPr>
            </w:pPr>
            <w:r>
              <w:rPr>
                <w:rFonts w:hint="default" w:ascii="Times New Roman" w:hAnsi="Times New Roman" w:eastAsia="等线" w:cs="Times New Roman"/>
                <w:color w:val="auto"/>
                <w:sz w:val="24"/>
                <w:szCs w:val="24"/>
                <w:highlight w:val="none"/>
                <w:lang w:val="en-US" w:eastAsia="zh-CN"/>
              </w:rPr>
              <w:t>7</w:t>
            </w:r>
          </w:p>
        </w:tc>
        <w:tc>
          <w:tcPr>
            <w:tcW w:w="58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eastAsia="等线" w:cs="Times New Roman"/>
                <w:color w:val="auto"/>
                <w:sz w:val="24"/>
                <w:szCs w:val="24"/>
                <w:highlight w:val="none"/>
              </w:rPr>
            </w:pPr>
          </w:p>
        </w:tc>
        <w:tc>
          <w:tcPr>
            <w:tcW w:w="2537"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资产评估报告</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原件</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受资企业</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eastAsia="等线" w:cs="Times New Roman"/>
                <w:color w:val="auto"/>
                <w:sz w:val="24"/>
                <w:szCs w:val="24"/>
                <w:highlight w:val="none"/>
              </w:rPr>
            </w:pPr>
          </w:p>
        </w:tc>
      </w:tr>
      <w:tr>
        <w:tblPrEx>
          <w:tblCellMar>
            <w:top w:w="0" w:type="dxa"/>
            <w:left w:w="108" w:type="dxa"/>
            <w:bottom w:w="0" w:type="dxa"/>
            <w:right w:w="108" w:type="dxa"/>
          </w:tblCellMar>
        </w:tblPrEx>
        <w:trPr>
          <w:trHeight w:val="431"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eastAsia="等线" w:cs="Times New Roman"/>
                <w:color w:val="auto"/>
                <w:sz w:val="24"/>
                <w:szCs w:val="24"/>
                <w:highlight w:val="none"/>
                <w:lang w:eastAsia="zh-CN"/>
              </w:rPr>
            </w:pPr>
            <w:r>
              <w:rPr>
                <w:rFonts w:hint="default" w:ascii="Times New Roman" w:hAnsi="Times New Roman" w:eastAsia="等线" w:cs="Times New Roman"/>
                <w:color w:val="auto"/>
                <w:sz w:val="24"/>
                <w:szCs w:val="24"/>
                <w:highlight w:val="none"/>
                <w:lang w:val="en-US" w:eastAsia="zh-CN"/>
              </w:rPr>
              <w:t>8</w:t>
            </w:r>
          </w:p>
        </w:tc>
        <w:tc>
          <w:tcPr>
            <w:tcW w:w="385" w:type="pct"/>
            <w:vMerge w:val="restart"/>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回</w:t>
            </w:r>
            <w:r>
              <w:rPr>
                <w:rFonts w:hint="eastAsia" w:ascii="仿宋_GB2312" w:hAnsi="仿宋_GB2312" w:eastAsia="仿宋_GB2312" w:cs="仿宋_GB2312"/>
                <w:color w:val="auto"/>
                <w:kern w:val="0"/>
                <w:sz w:val="24"/>
                <w:szCs w:val="24"/>
                <w:highlight w:val="none"/>
                <w:lang w:val="en-US" w:eastAsia="zh-CN"/>
              </w:rPr>
              <w:t xml:space="preserve"> </w:t>
            </w:r>
            <w:r>
              <w:rPr>
                <w:rFonts w:hint="default" w:ascii="仿宋_GB2312" w:hAnsi="仿宋_GB2312" w:eastAsia="仿宋_GB2312" w:cs="仿宋_GB2312"/>
                <w:color w:val="auto"/>
                <w:kern w:val="0"/>
                <w:sz w:val="24"/>
                <w:szCs w:val="24"/>
                <w:highlight w:val="none"/>
              </w:rPr>
              <w:t>购</w:t>
            </w:r>
            <w:r>
              <w:rPr>
                <w:rFonts w:hint="eastAsia" w:ascii="仿宋_GB2312" w:hAnsi="仿宋_GB2312" w:eastAsia="仿宋_GB2312" w:cs="仿宋_GB2312"/>
                <w:color w:val="auto"/>
                <w:kern w:val="0"/>
                <w:sz w:val="24"/>
                <w:szCs w:val="24"/>
                <w:highlight w:val="none"/>
                <w:lang w:val="en-US" w:eastAsia="zh-CN"/>
              </w:rPr>
              <w:t xml:space="preserve"> </w:t>
            </w:r>
            <w:r>
              <w:rPr>
                <w:rFonts w:hint="default" w:ascii="仿宋_GB2312" w:hAnsi="仿宋_GB2312" w:eastAsia="仿宋_GB2312" w:cs="仿宋_GB2312"/>
                <w:color w:val="auto"/>
                <w:kern w:val="0"/>
                <w:sz w:val="24"/>
                <w:szCs w:val="24"/>
                <w:highlight w:val="none"/>
              </w:rPr>
              <w:t>方</w:t>
            </w:r>
            <w:r>
              <w:rPr>
                <w:rFonts w:hint="eastAsia" w:ascii="仿宋_GB2312" w:hAnsi="仿宋_GB2312" w:eastAsia="仿宋_GB2312" w:cs="仿宋_GB2312"/>
                <w:color w:val="auto"/>
                <w:kern w:val="0"/>
                <w:sz w:val="24"/>
                <w:szCs w:val="24"/>
                <w:highlight w:val="none"/>
                <w:lang w:val="en-US" w:eastAsia="zh-CN"/>
              </w:rPr>
              <w:t xml:space="preserve"> </w:t>
            </w:r>
            <w:r>
              <w:rPr>
                <w:rFonts w:hint="default" w:ascii="仿宋_GB2312" w:hAnsi="仿宋_GB2312" w:eastAsia="仿宋_GB2312" w:cs="仿宋_GB2312"/>
                <w:color w:val="auto"/>
                <w:kern w:val="0"/>
                <w:sz w:val="24"/>
                <w:szCs w:val="24"/>
                <w:highlight w:val="none"/>
              </w:rPr>
              <w:t>资</w:t>
            </w:r>
            <w:r>
              <w:rPr>
                <w:rFonts w:hint="eastAsia" w:ascii="仿宋_GB2312" w:hAnsi="仿宋_GB2312" w:eastAsia="仿宋_GB2312" w:cs="仿宋_GB2312"/>
                <w:color w:val="auto"/>
                <w:kern w:val="0"/>
                <w:sz w:val="24"/>
                <w:szCs w:val="24"/>
                <w:highlight w:val="none"/>
                <w:lang w:val="en-US" w:eastAsia="zh-CN"/>
              </w:rPr>
              <w:t xml:space="preserve"> </w:t>
            </w:r>
            <w:r>
              <w:rPr>
                <w:rFonts w:hint="default" w:ascii="仿宋_GB2312" w:hAnsi="仿宋_GB2312" w:eastAsia="仿宋_GB2312" w:cs="仿宋_GB2312"/>
                <w:color w:val="auto"/>
                <w:kern w:val="0"/>
                <w:sz w:val="24"/>
                <w:szCs w:val="24"/>
                <w:highlight w:val="none"/>
              </w:rPr>
              <w:t>料</w:t>
            </w:r>
          </w:p>
        </w:tc>
        <w:tc>
          <w:tcPr>
            <w:tcW w:w="203"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both"/>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回购方为自然人</w:t>
            </w:r>
          </w:p>
        </w:tc>
        <w:tc>
          <w:tcPr>
            <w:tcW w:w="2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both"/>
              <w:textAlignment w:val="auto"/>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配偶身份证复印件</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复印件</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受资企业</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eastAsia="等线" w:cs="Times New Roman"/>
                <w:b/>
                <w:bCs/>
                <w:color w:val="auto"/>
                <w:sz w:val="24"/>
                <w:szCs w:val="24"/>
                <w:highlight w:val="none"/>
              </w:rPr>
            </w:pPr>
          </w:p>
        </w:tc>
      </w:tr>
      <w:tr>
        <w:tblPrEx>
          <w:tblCellMar>
            <w:top w:w="0" w:type="dxa"/>
            <w:left w:w="108" w:type="dxa"/>
            <w:bottom w:w="0" w:type="dxa"/>
            <w:right w:w="108" w:type="dxa"/>
          </w:tblCellMar>
        </w:tblPrEx>
        <w:trPr>
          <w:trHeight w:val="383"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eastAsia="等线" w:cs="Times New Roman"/>
                <w:color w:val="auto"/>
                <w:sz w:val="24"/>
                <w:szCs w:val="24"/>
                <w:highlight w:val="none"/>
                <w:lang w:eastAsia="zh-CN"/>
              </w:rPr>
            </w:pPr>
            <w:r>
              <w:rPr>
                <w:rFonts w:hint="default" w:ascii="Times New Roman" w:hAnsi="Times New Roman" w:eastAsia="等线" w:cs="Times New Roman"/>
                <w:color w:val="auto"/>
                <w:sz w:val="24"/>
                <w:szCs w:val="24"/>
                <w:highlight w:val="none"/>
                <w:lang w:val="en-US" w:eastAsia="zh-CN"/>
              </w:rPr>
              <w:t>9</w:t>
            </w:r>
          </w:p>
        </w:tc>
        <w:tc>
          <w:tcPr>
            <w:tcW w:w="385" w:type="pct"/>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eastAsia="等线" w:cs="Times New Roman"/>
                <w:color w:val="auto"/>
                <w:sz w:val="24"/>
                <w:szCs w:val="24"/>
                <w:highlight w:val="none"/>
              </w:rPr>
            </w:pPr>
          </w:p>
        </w:tc>
        <w:tc>
          <w:tcPr>
            <w:tcW w:w="20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eastAsia="等线" w:cs="Times New Roman"/>
                <w:color w:val="auto"/>
                <w:sz w:val="24"/>
                <w:szCs w:val="24"/>
                <w:highlight w:val="none"/>
              </w:rPr>
            </w:pPr>
          </w:p>
        </w:tc>
        <w:tc>
          <w:tcPr>
            <w:tcW w:w="2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both"/>
              <w:textAlignment w:val="auto"/>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结婚证复印件</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复印件</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受资企业</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eastAsia="等线" w:cs="Times New Roman"/>
                <w:b/>
                <w:bCs/>
                <w:color w:val="auto"/>
                <w:sz w:val="24"/>
                <w:szCs w:val="24"/>
                <w:highlight w:val="none"/>
              </w:rPr>
            </w:pPr>
          </w:p>
        </w:tc>
      </w:tr>
      <w:tr>
        <w:tblPrEx>
          <w:tblCellMar>
            <w:top w:w="0" w:type="dxa"/>
            <w:left w:w="108" w:type="dxa"/>
            <w:bottom w:w="0" w:type="dxa"/>
            <w:right w:w="108" w:type="dxa"/>
          </w:tblCellMar>
        </w:tblPrEx>
        <w:trPr>
          <w:trHeight w:val="130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eastAsia="等线" w:cs="Times New Roman"/>
                <w:color w:val="auto"/>
                <w:sz w:val="24"/>
                <w:szCs w:val="24"/>
                <w:highlight w:val="none"/>
                <w:lang w:val="en-US" w:eastAsia="zh-CN"/>
              </w:rPr>
            </w:pPr>
            <w:r>
              <w:rPr>
                <w:rFonts w:hint="default" w:ascii="Times New Roman" w:hAnsi="Times New Roman" w:eastAsia="等线" w:cs="Times New Roman"/>
                <w:color w:val="auto"/>
                <w:sz w:val="24"/>
                <w:szCs w:val="24"/>
                <w:highlight w:val="none"/>
                <w:lang w:val="en-US" w:eastAsia="zh-CN"/>
              </w:rPr>
              <w:t>10</w:t>
            </w:r>
          </w:p>
        </w:tc>
        <w:tc>
          <w:tcPr>
            <w:tcW w:w="385" w:type="pct"/>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eastAsia="等线" w:cs="Times New Roman"/>
                <w:color w:val="auto"/>
                <w:sz w:val="24"/>
                <w:szCs w:val="24"/>
                <w:highlight w:val="none"/>
              </w:rPr>
            </w:pPr>
          </w:p>
        </w:tc>
        <w:tc>
          <w:tcPr>
            <w:tcW w:w="20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eastAsia="等线" w:cs="Times New Roman"/>
                <w:color w:val="auto"/>
                <w:sz w:val="24"/>
                <w:szCs w:val="24"/>
                <w:highlight w:val="none"/>
              </w:rPr>
            </w:pPr>
          </w:p>
        </w:tc>
        <w:tc>
          <w:tcPr>
            <w:tcW w:w="2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both"/>
              <w:textAlignment w:val="auto"/>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夫妻双方对与农业基金签署相关协议的知情声明</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原件</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受资企业</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eastAsia="等线" w:cs="Times New Roman"/>
                <w:b/>
                <w:bCs/>
                <w:color w:val="auto"/>
                <w:sz w:val="24"/>
                <w:szCs w:val="24"/>
                <w:highlight w:val="none"/>
              </w:rPr>
            </w:pPr>
          </w:p>
        </w:tc>
      </w:tr>
      <w:tr>
        <w:tblPrEx>
          <w:tblCellMar>
            <w:top w:w="0" w:type="dxa"/>
            <w:left w:w="108" w:type="dxa"/>
            <w:bottom w:w="0" w:type="dxa"/>
            <w:right w:w="108" w:type="dxa"/>
          </w:tblCellMar>
        </w:tblPrEx>
        <w:trPr>
          <w:trHeight w:val="415"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jc w:val="both"/>
              <w:textAlignment w:val="auto"/>
              <w:outlineLvl w:val="9"/>
              <w:rPr>
                <w:rFonts w:hint="default" w:ascii="Times New Roman" w:hAnsi="Times New Roman" w:eastAsia="等线" w:cs="Times New Roman"/>
                <w:color w:val="auto"/>
                <w:sz w:val="24"/>
                <w:szCs w:val="24"/>
                <w:highlight w:val="none"/>
                <w:lang w:val="en-US" w:eastAsia="zh-CN"/>
              </w:rPr>
            </w:pPr>
            <w:r>
              <w:rPr>
                <w:rFonts w:hint="default" w:ascii="Times New Roman" w:hAnsi="Times New Roman" w:eastAsia="等线" w:cs="Times New Roman"/>
                <w:color w:val="auto"/>
                <w:sz w:val="24"/>
                <w:szCs w:val="24"/>
                <w:highlight w:val="none"/>
                <w:lang w:val="en-US" w:eastAsia="zh-CN"/>
              </w:rPr>
              <w:t>11</w:t>
            </w:r>
          </w:p>
        </w:tc>
        <w:tc>
          <w:tcPr>
            <w:tcW w:w="385" w:type="pct"/>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eastAsia="等线" w:cs="Times New Roman"/>
                <w:color w:val="auto"/>
                <w:sz w:val="24"/>
                <w:szCs w:val="24"/>
                <w:highlight w:val="none"/>
              </w:rPr>
            </w:pPr>
          </w:p>
        </w:tc>
        <w:tc>
          <w:tcPr>
            <w:tcW w:w="203"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both"/>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回购方为法人</w:t>
            </w:r>
          </w:p>
        </w:tc>
        <w:tc>
          <w:tcPr>
            <w:tcW w:w="2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both"/>
              <w:textAlignment w:val="auto"/>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公司营业执照</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复印件</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受资企业</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eastAsia="等线" w:cs="Times New Roman"/>
                <w:color w:val="auto"/>
                <w:sz w:val="24"/>
                <w:szCs w:val="24"/>
                <w:highlight w:val="none"/>
              </w:rPr>
            </w:pPr>
          </w:p>
        </w:tc>
      </w:tr>
      <w:tr>
        <w:tblPrEx>
          <w:tblCellMar>
            <w:top w:w="0" w:type="dxa"/>
            <w:left w:w="108" w:type="dxa"/>
            <w:bottom w:w="0" w:type="dxa"/>
            <w:right w:w="108" w:type="dxa"/>
          </w:tblCellMar>
        </w:tblPrEx>
        <w:trPr>
          <w:trHeight w:val="415"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jc w:val="both"/>
              <w:textAlignment w:val="auto"/>
              <w:outlineLvl w:val="9"/>
              <w:rPr>
                <w:rFonts w:hint="default" w:ascii="Times New Roman" w:hAnsi="Times New Roman" w:eastAsia="等线" w:cs="Times New Roman"/>
                <w:color w:val="auto"/>
                <w:sz w:val="24"/>
                <w:szCs w:val="24"/>
                <w:highlight w:val="none"/>
                <w:lang w:val="en-US" w:eastAsia="zh-CN"/>
              </w:rPr>
            </w:pPr>
            <w:r>
              <w:rPr>
                <w:rFonts w:hint="default" w:ascii="Times New Roman" w:hAnsi="Times New Roman" w:eastAsia="等线" w:cs="Times New Roman"/>
                <w:color w:val="auto"/>
                <w:sz w:val="24"/>
                <w:szCs w:val="24"/>
                <w:highlight w:val="none"/>
                <w:lang w:val="en-US" w:eastAsia="zh-CN"/>
              </w:rPr>
              <w:t>12</w:t>
            </w:r>
          </w:p>
        </w:tc>
        <w:tc>
          <w:tcPr>
            <w:tcW w:w="385" w:type="pct"/>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both"/>
              <w:textAlignment w:val="auto"/>
              <w:outlineLvl w:val="9"/>
              <w:rPr>
                <w:rFonts w:hint="default" w:ascii="Times New Roman" w:hAnsi="Times New Roman" w:eastAsia="等线" w:cs="Times New Roman"/>
                <w:color w:val="auto"/>
                <w:sz w:val="24"/>
                <w:szCs w:val="24"/>
                <w:highlight w:val="none"/>
              </w:rPr>
            </w:pPr>
          </w:p>
        </w:tc>
        <w:tc>
          <w:tcPr>
            <w:tcW w:w="20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both"/>
              <w:textAlignment w:val="auto"/>
              <w:outlineLvl w:val="9"/>
              <w:rPr>
                <w:rFonts w:hint="default" w:ascii="仿宋_GB2312" w:hAnsi="仿宋_GB2312" w:eastAsia="仿宋_GB2312" w:cs="仿宋_GB2312"/>
                <w:color w:val="auto"/>
                <w:kern w:val="0"/>
                <w:sz w:val="24"/>
                <w:szCs w:val="24"/>
                <w:highlight w:val="none"/>
              </w:rPr>
            </w:pPr>
          </w:p>
        </w:tc>
        <w:tc>
          <w:tcPr>
            <w:tcW w:w="2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both"/>
              <w:textAlignment w:val="auto"/>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公司章程</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复印件</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受资企业</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eastAsia="等线" w:cs="Times New Roman"/>
                <w:color w:val="auto"/>
                <w:sz w:val="24"/>
                <w:szCs w:val="24"/>
                <w:highlight w:val="none"/>
              </w:rPr>
            </w:pPr>
          </w:p>
        </w:tc>
      </w:tr>
      <w:tr>
        <w:tblPrEx>
          <w:tblCellMar>
            <w:top w:w="0" w:type="dxa"/>
            <w:left w:w="108" w:type="dxa"/>
            <w:bottom w:w="0" w:type="dxa"/>
            <w:right w:w="108" w:type="dxa"/>
          </w:tblCellMar>
        </w:tblPrEx>
        <w:trPr>
          <w:trHeight w:val="39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both"/>
              <w:textAlignment w:val="auto"/>
              <w:outlineLvl w:val="9"/>
              <w:rPr>
                <w:rFonts w:hint="default" w:ascii="Times New Roman" w:hAnsi="Times New Roman" w:eastAsia="等线" w:cs="Times New Roman"/>
                <w:color w:val="auto"/>
                <w:sz w:val="24"/>
                <w:szCs w:val="24"/>
                <w:highlight w:val="none"/>
                <w:lang w:val="en-US" w:eastAsia="zh-CN"/>
              </w:rPr>
            </w:pPr>
            <w:r>
              <w:rPr>
                <w:rFonts w:hint="default" w:ascii="Times New Roman" w:hAnsi="Times New Roman" w:eastAsia="等线" w:cs="Times New Roman"/>
                <w:color w:val="auto"/>
                <w:sz w:val="24"/>
                <w:szCs w:val="24"/>
                <w:highlight w:val="none"/>
                <w:lang w:val="en-US" w:eastAsia="zh-CN"/>
              </w:rPr>
              <w:t>13</w:t>
            </w:r>
          </w:p>
        </w:tc>
        <w:tc>
          <w:tcPr>
            <w:tcW w:w="385" w:type="pct"/>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both"/>
              <w:textAlignment w:val="auto"/>
              <w:outlineLvl w:val="9"/>
              <w:rPr>
                <w:rFonts w:hint="default" w:ascii="Times New Roman" w:hAnsi="Times New Roman" w:eastAsia="等线" w:cs="Times New Roman"/>
                <w:color w:val="auto"/>
                <w:sz w:val="24"/>
                <w:szCs w:val="24"/>
                <w:highlight w:val="none"/>
              </w:rPr>
            </w:pPr>
          </w:p>
        </w:tc>
        <w:tc>
          <w:tcPr>
            <w:tcW w:w="20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both"/>
              <w:textAlignment w:val="auto"/>
              <w:outlineLvl w:val="9"/>
              <w:rPr>
                <w:rFonts w:hint="default" w:ascii="仿宋_GB2312" w:hAnsi="仿宋_GB2312" w:eastAsia="仿宋_GB2312" w:cs="仿宋_GB2312"/>
                <w:color w:val="auto"/>
                <w:kern w:val="0"/>
                <w:sz w:val="24"/>
                <w:szCs w:val="24"/>
                <w:highlight w:val="none"/>
              </w:rPr>
            </w:pPr>
          </w:p>
        </w:tc>
        <w:tc>
          <w:tcPr>
            <w:tcW w:w="2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both"/>
              <w:textAlignment w:val="auto"/>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股东会/董事会或章程约定的最高权力机构同意提供回购的决议</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原件</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left"/>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受资企业</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eastAsia="等线" w:cs="Times New Roman"/>
                <w:color w:val="auto"/>
                <w:sz w:val="24"/>
                <w:szCs w:val="24"/>
                <w:highlight w:val="none"/>
              </w:rPr>
            </w:pPr>
          </w:p>
        </w:tc>
      </w:tr>
      <w:tr>
        <w:trPr>
          <w:trHeight w:val="1565"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both"/>
              <w:textAlignment w:val="auto"/>
              <w:outlineLvl w:val="9"/>
              <w:rPr>
                <w:rFonts w:hint="default" w:ascii="Times New Roman" w:hAnsi="Times New Roman" w:eastAsia="等线" w:cs="Times New Roman"/>
                <w:color w:val="auto"/>
                <w:sz w:val="24"/>
                <w:szCs w:val="24"/>
                <w:highlight w:val="none"/>
                <w:lang w:val="en-US" w:eastAsia="zh-CN"/>
              </w:rPr>
            </w:pPr>
            <w:r>
              <w:rPr>
                <w:rFonts w:hint="default" w:ascii="Times New Roman" w:hAnsi="Times New Roman" w:eastAsia="等线" w:cs="Times New Roman"/>
                <w:color w:val="auto"/>
                <w:kern w:val="0"/>
                <w:sz w:val="24"/>
                <w:szCs w:val="24"/>
                <w:highlight w:val="none"/>
                <w:lang w:val="en-US" w:eastAsia="zh-CN"/>
              </w:rPr>
              <w:t>14</w:t>
            </w:r>
          </w:p>
        </w:tc>
        <w:tc>
          <w:tcPr>
            <w:tcW w:w="385" w:type="pct"/>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both"/>
              <w:textAlignment w:val="auto"/>
              <w:outlineLvl w:val="9"/>
              <w:rPr>
                <w:rFonts w:hint="default" w:ascii="Times New Roman" w:hAnsi="Times New Roman" w:eastAsia="等线" w:cs="Times New Roman"/>
                <w:color w:val="auto"/>
                <w:sz w:val="24"/>
                <w:szCs w:val="24"/>
                <w:highlight w:val="none"/>
              </w:rPr>
            </w:pPr>
          </w:p>
        </w:tc>
        <w:tc>
          <w:tcPr>
            <w:tcW w:w="20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both"/>
              <w:textAlignment w:val="auto"/>
              <w:outlineLvl w:val="9"/>
              <w:rPr>
                <w:rFonts w:hint="default" w:ascii="Times New Roman" w:hAnsi="Times New Roman" w:eastAsia="等线" w:cs="Times New Roman"/>
                <w:color w:val="auto"/>
                <w:sz w:val="24"/>
                <w:szCs w:val="24"/>
                <w:highlight w:val="none"/>
              </w:rPr>
            </w:pPr>
          </w:p>
        </w:tc>
        <w:tc>
          <w:tcPr>
            <w:tcW w:w="2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both"/>
              <w:textAlignment w:val="auto"/>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近两年年度审计报告以及近一期的财务报告（含资产负债表、利润表、现金流量表）</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复印件</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left"/>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受资企业</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both"/>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公司成立不足两年的按实际情况提供</w:t>
            </w:r>
          </w:p>
        </w:tc>
      </w:tr>
      <w:tr>
        <w:tblPrEx>
          <w:tblCellMar>
            <w:top w:w="0" w:type="dxa"/>
            <w:left w:w="108" w:type="dxa"/>
            <w:bottom w:w="0" w:type="dxa"/>
            <w:right w:w="108" w:type="dxa"/>
          </w:tblCellMar>
        </w:tblPrEx>
        <w:trPr>
          <w:trHeight w:val="39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both"/>
              <w:textAlignment w:val="auto"/>
              <w:outlineLvl w:val="9"/>
              <w:rPr>
                <w:rFonts w:hint="default" w:ascii="Times New Roman" w:hAnsi="Times New Roman" w:eastAsia="等线" w:cs="Times New Roman"/>
                <w:color w:val="auto"/>
                <w:sz w:val="24"/>
                <w:szCs w:val="24"/>
                <w:highlight w:val="none"/>
                <w:lang w:val="en-US" w:eastAsia="zh-CN"/>
              </w:rPr>
            </w:pPr>
            <w:r>
              <w:rPr>
                <w:rFonts w:hint="default" w:ascii="Times New Roman" w:hAnsi="Times New Roman" w:eastAsia="等线" w:cs="Times New Roman"/>
                <w:color w:val="auto"/>
                <w:sz w:val="24"/>
                <w:szCs w:val="24"/>
                <w:highlight w:val="none"/>
                <w:lang w:val="en-US" w:eastAsia="zh-CN"/>
              </w:rPr>
              <w:t>15</w:t>
            </w:r>
          </w:p>
        </w:tc>
        <w:tc>
          <w:tcPr>
            <w:tcW w:w="385" w:type="pct"/>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both"/>
              <w:textAlignment w:val="auto"/>
              <w:outlineLvl w:val="9"/>
              <w:rPr>
                <w:rFonts w:hint="default" w:ascii="Times New Roman" w:hAnsi="Times New Roman" w:eastAsia="等线" w:cs="Times New Roman"/>
                <w:color w:val="auto"/>
                <w:sz w:val="24"/>
                <w:szCs w:val="24"/>
                <w:highlight w:val="none"/>
              </w:rPr>
            </w:pPr>
          </w:p>
        </w:tc>
        <w:tc>
          <w:tcPr>
            <w:tcW w:w="20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both"/>
              <w:textAlignment w:val="auto"/>
              <w:outlineLvl w:val="9"/>
              <w:rPr>
                <w:rFonts w:hint="default" w:ascii="Times New Roman" w:hAnsi="Times New Roman" w:eastAsia="等线" w:cs="Times New Roman"/>
                <w:color w:val="auto"/>
                <w:sz w:val="24"/>
                <w:szCs w:val="24"/>
                <w:highlight w:val="none"/>
              </w:rPr>
            </w:pPr>
          </w:p>
        </w:tc>
        <w:tc>
          <w:tcPr>
            <w:tcW w:w="2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both"/>
              <w:textAlignment w:val="auto"/>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若回购方为地方政府下属国有企业，回购方出具不会新增地方隐形债务及违规担保的说明</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原件</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left"/>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受资企业</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both"/>
              <w:textAlignment w:val="auto"/>
              <w:outlineLvl w:val="9"/>
              <w:rPr>
                <w:rFonts w:hint="default" w:ascii="仿宋_GB2312" w:hAnsi="仿宋_GB2312" w:eastAsia="仿宋_GB2312" w:cs="仿宋_GB2312"/>
                <w:color w:val="auto"/>
                <w:kern w:val="0"/>
                <w:sz w:val="24"/>
                <w:szCs w:val="24"/>
                <w:highlight w:val="none"/>
              </w:rPr>
            </w:pPr>
          </w:p>
        </w:tc>
      </w:tr>
      <w:tr>
        <w:tblPrEx>
          <w:tblCellMar>
            <w:top w:w="0" w:type="dxa"/>
            <w:left w:w="108" w:type="dxa"/>
            <w:bottom w:w="0" w:type="dxa"/>
            <w:right w:w="108" w:type="dxa"/>
          </w:tblCellMar>
        </w:tblPrEx>
        <w:trPr>
          <w:trHeight w:val="39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both"/>
              <w:textAlignment w:val="auto"/>
              <w:rPr>
                <w:rFonts w:hint="default" w:ascii="Times New Roman" w:hAnsi="Times New Roman" w:eastAsia="等线" w:cs="Times New Roman"/>
                <w:color w:val="auto"/>
                <w:kern w:val="0"/>
                <w:sz w:val="24"/>
                <w:szCs w:val="24"/>
                <w:highlight w:val="none"/>
                <w:lang w:val="en-US" w:eastAsia="zh-CN"/>
              </w:rPr>
            </w:pPr>
            <w:r>
              <w:rPr>
                <w:rFonts w:hint="default" w:ascii="Times New Roman" w:hAnsi="Times New Roman" w:eastAsia="等线" w:cs="Times New Roman"/>
                <w:color w:val="auto"/>
                <w:kern w:val="0"/>
                <w:sz w:val="24"/>
                <w:szCs w:val="24"/>
                <w:highlight w:val="none"/>
                <w:lang w:val="en-US" w:eastAsia="zh-CN"/>
              </w:rPr>
              <w:t>16</w:t>
            </w:r>
          </w:p>
        </w:tc>
        <w:tc>
          <w:tcPr>
            <w:tcW w:w="31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both"/>
              <w:textAlignment w:val="auto"/>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lang w:val="en-US" w:eastAsia="zh-CN"/>
              </w:rPr>
              <w:t>行业主管部门、基金管理人认为必要的其他材料</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center"/>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复印件或原件</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left"/>
              <w:textAlignment w:val="auto"/>
              <w:outlineLvl w:val="9"/>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受资企业</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topLinePunct/>
              <w:autoSpaceDE w:val="0"/>
              <w:autoSpaceDN w:val="0"/>
              <w:bidi w:val="0"/>
              <w:adjustRightInd/>
              <w:snapToGrid/>
              <w:spacing w:before="0" w:beforeAutospacing="0" w:after="0" w:afterAutospacing="0" w:line="360" w:lineRule="exact"/>
              <w:ind w:left="0" w:right="0" w:firstLine="0" w:firstLineChars="0"/>
              <w:jc w:val="both"/>
              <w:textAlignment w:val="auto"/>
              <w:outlineLvl w:val="9"/>
              <w:rPr>
                <w:rFonts w:hint="default" w:ascii="仿宋_GB2312" w:hAnsi="仿宋_GB2312" w:eastAsia="仿宋_GB2312" w:cs="仿宋_GB2312"/>
                <w:color w:val="auto"/>
                <w:kern w:val="0"/>
                <w:sz w:val="24"/>
                <w:szCs w:val="24"/>
                <w:highlight w:val="none"/>
              </w:rPr>
            </w:pPr>
          </w:p>
        </w:tc>
      </w:tr>
    </w:tbl>
    <w:p>
      <w:pPr>
        <w:spacing w:line="560" w:lineRule="exact"/>
        <w:rPr>
          <w:rFonts w:hint="default" w:ascii="Times New Roman" w:hAnsi="Times New Roman" w:cs="Times New Roman"/>
          <w:color w:val="auto"/>
          <w:sz w:val="32"/>
          <w:szCs w:val="32"/>
          <w:highlight w:val="none"/>
          <w:lang w:val="en-US" w:eastAsia="zh-CN"/>
        </w:rPr>
      </w:pP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战略性直投项目相关标准原则上参照上述标准执行，特殊情况可按照“一企一策”由工作协调组办公室审议决策。</w:t>
      </w:r>
    </w:p>
    <w:sectPr>
      <w:footerReference r:id="rId3" w:type="default"/>
      <w:pgSz w:w="11906" w:h="16838"/>
      <w:pgMar w:top="2098" w:right="1417" w:bottom="204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7E05CE"/>
    <w:multiLevelType w:val="singleLevel"/>
    <w:tmpl w:val="DB7E05CE"/>
    <w:lvl w:ilvl="0" w:tentative="0">
      <w:start w:val="1"/>
      <w:numFmt w:val="decimal"/>
      <w:lvlText w:val="%1."/>
      <w:lvlJc w:val="left"/>
      <w:pPr>
        <w:tabs>
          <w:tab w:val="left" w:pos="312"/>
        </w:tabs>
      </w:pPr>
    </w:lvl>
  </w:abstractNum>
  <w:abstractNum w:abstractNumId="1">
    <w:nsid w:val="EB364069"/>
    <w:multiLevelType w:val="singleLevel"/>
    <w:tmpl w:val="EB364069"/>
    <w:lvl w:ilvl="0" w:tentative="0">
      <w:start w:val="1"/>
      <w:numFmt w:val="decimal"/>
      <w:lvlText w:val="%1."/>
      <w:lvlJc w:val="left"/>
      <w:pPr>
        <w:tabs>
          <w:tab w:val="left" w:pos="312"/>
        </w:tabs>
      </w:pPr>
    </w:lvl>
  </w:abstractNum>
  <w:abstractNum w:abstractNumId="2">
    <w:nsid w:val="0249A59D"/>
    <w:multiLevelType w:val="singleLevel"/>
    <w:tmpl w:val="0249A59D"/>
    <w:lvl w:ilvl="0" w:tentative="0">
      <w:start w:val="1"/>
      <w:numFmt w:val="decimal"/>
      <w:lvlText w:val="%1."/>
      <w:lvlJc w:val="left"/>
      <w:pPr>
        <w:tabs>
          <w:tab w:val="left" w:pos="312"/>
        </w:tabs>
      </w:pPr>
    </w:lvl>
  </w:abstractNum>
  <w:abstractNum w:abstractNumId="3">
    <w:nsid w:val="62220FCF"/>
    <w:multiLevelType w:val="singleLevel"/>
    <w:tmpl w:val="62220FCF"/>
    <w:lvl w:ilvl="0" w:tentative="0">
      <w:start w:val="1"/>
      <w:numFmt w:val="decimal"/>
      <w:suff w:val="nothing"/>
      <w:lvlText w:val="%1."/>
      <w:lvlJc w:val="left"/>
    </w:lvl>
  </w:abstractNum>
  <w:abstractNum w:abstractNumId="4">
    <w:nsid w:val="63E104B9"/>
    <w:multiLevelType w:val="singleLevel"/>
    <w:tmpl w:val="63E104B9"/>
    <w:lvl w:ilvl="0" w:tentative="0">
      <w:start w:val="1"/>
      <w:numFmt w:val="decimal"/>
      <w:lvlText w:val="%1."/>
      <w:lvlJc w:val="left"/>
      <w:pPr>
        <w:tabs>
          <w:tab w:val="left" w:pos="312"/>
        </w:tabs>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223D"/>
    <w:rsid w:val="007603C3"/>
    <w:rsid w:val="00BC0A58"/>
    <w:rsid w:val="01116CC4"/>
    <w:rsid w:val="01814321"/>
    <w:rsid w:val="01D54D98"/>
    <w:rsid w:val="023B62BC"/>
    <w:rsid w:val="024D5608"/>
    <w:rsid w:val="02754146"/>
    <w:rsid w:val="02E04883"/>
    <w:rsid w:val="05CA05BC"/>
    <w:rsid w:val="071F6AB6"/>
    <w:rsid w:val="077D45D9"/>
    <w:rsid w:val="080139EC"/>
    <w:rsid w:val="08392C91"/>
    <w:rsid w:val="087553C9"/>
    <w:rsid w:val="08AC27F1"/>
    <w:rsid w:val="091D4F97"/>
    <w:rsid w:val="0B445840"/>
    <w:rsid w:val="0CD157B2"/>
    <w:rsid w:val="0D854D1F"/>
    <w:rsid w:val="0E2A15AF"/>
    <w:rsid w:val="0F024CF3"/>
    <w:rsid w:val="0F095CF1"/>
    <w:rsid w:val="0F0F2C8D"/>
    <w:rsid w:val="0F43295A"/>
    <w:rsid w:val="0F6039B6"/>
    <w:rsid w:val="0F905406"/>
    <w:rsid w:val="1032239F"/>
    <w:rsid w:val="130A6926"/>
    <w:rsid w:val="13BB1DDA"/>
    <w:rsid w:val="13D7532F"/>
    <w:rsid w:val="14BDB9AD"/>
    <w:rsid w:val="15CF50E4"/>
    <w:rsid w:val="15DFCE41"/>
    <w:rsid w:val="19801636"/>
    <w:rsid w:val="198C79D9"/>
    <w:rsid w:val="19D7642B"/>
    <w:rsid w:val="1A3B48CF"/>
    <w:rsid w:val="1AC833D7"/>
    <w:rsid w:val="1C433F23"/>
    <w:rsid w:val="1C4A761B"/>
    <w:rsid w:val="1CE57D11"/>
    <w:rsid w:val="1FBF00C7"/>
    <w:rsid w:val="1FF71521"/>
    <w:rsid w:val="1FFB58CE"/>
    <w:rsid w:val="21D40771"/>
    <w:rsid w:val="227B7E62"/>
    <w:rsid w:val="25D92F65"/>
    <w:rsid w:val="271E3CE4"/>
    <w:rsid w:val="284824C9"/>
    <w:rsid w:val="28BA3DAE"/>
    <w:rsid w:val="28C15287"/>
    <w:rsid w:val="28EC18AC"/>
    <w:rsid w:val="293E5ED7"/>
    <w:rsid w:val="2B2B2529"/>
    <w:rsid w:val="2C526E62"/>
    <w:rsid w:val="2CA54508"/>
    <w:rsid w:val="2E5C9C6D"/>
    <w:rsid w:val="2EBDF766"/>
    <w:rsid w:val="329C6A03"/>
    <w:rsid w:val="32DB49B3"/>
    <w:rsid w:val="33C6548C"/>
    <w:rsid w:val="34A41FA4"/>
    <w:rsid w:val="35245F50"/>
    <w:rsid w:val="3534163A"/>
    <w:rsid w:val="355F6F1E"/>
    <w:rsid w:val="35F668E2"/>
    <w:rsid w:val="36142802"/>
    <w:rsid w:val="36913D0C"/>
    <w:rsid w:val="36C4095C"/>
    <w:rsid w:val="36C4188E"/>
    <w:rsid w:val="37AFBA9F"/>
    <w:rsid w:val="37EA2644"/>
    <w:rsid w:val="37EB1F18"/>
    <w:rsid w:val="380D3CA8"/>
    <w:rsid w:val="38B749D3"/>
    <w:rsid w:val="38C66D4D"/>
    <w:rsid w:val="395B30CE"/>
    <w:rsid w:val="3A00193A"/>
    <w:rsid w:val="3A1843A3"/>
    <w:rsid w:val="3A39EB43"/>
    <w:rsid w:val="3A8A01E0"/>
    <w:rsid w:val="3ADC14F6"/>
    <w:rsid w:val="3BB248B8"/>
    <w:rsid w:val="3C4F6F1A"/>
    <w:rsid w:val="3CA98ED2"/>
    <w:rsid w:val="3DE0263C"/>
    <w:rsid w:val="3E8B1D5F"/>
    <w:rsid w:val="3EA73852"/>
    <w:rsid w:val="3EC34953"/>
    <w:rsid w:val="3FF9293F"/>
    <w:rsid w:val="40715ED6"/>
    <w:rsid w:val="40A86970"/>
    <w:rsid w:val="445C3D64"/>
    <w:rsid w:val="44900C19"/>
    <w:rsid w:val="44CA0ECA"/>
    <w:rsid w:val="4620027A"/>
    <w:rsid w:val="46A22FEF"/>
    <w:rsid w:val="487A1CE5"/>
    <w:rsid w:val="49214527"/>
    <w:rsid w:val="494D446E"/>
    <w:rsid w:val="4BE90270"/>
    <w:rsid w:val="4C263560"/>
    <w:rsid w:val="4C7F0903"/>
    <w:rsid w:val="4D054796"/>
    <w:rsid w:val="4E310A54"/>
    <w:rsid w:val="4E3134D2"/>
    <w:rsid w:val="4E7F0C14"/>
    <w:rsid w:val="4EBF4BEF"/>
    <w:rsid w:val="4FAA2338"/>
    <w:rsid w:val="4FE24FEB"/>
    <w:rsid w:val="4FF44C2F"/>
    <w:rsid w:val="53B35B89"/>
    <w:rsid w:val="54011177"/>
    <w:rsid w:val="5486504B"/>
    <w:rsid w:val="550F72F6"/>
    <w:rsid w:val="559B3AE7"/>
    <w:rsid w:val="55DD6EED"/>
    <w:rsid w:val="56BF7DA2"/>
    <w:rsid w:val="571F281A"/>
    <w:rsid w:val="57330863"/>
    <w:rsid w:val="57C58F26"/>
    <w:rsid w:val="57CFB4B6"/>
    <w:rsid w:val="59C21D4C"/>
    <w:rsid w:val="59FFC677"/>
    <w:rsid w:val="5ADC0AE7"/>
    <w:rsid w:val="5CD821BC"/>
    <w:rsid w:val="5D7D723B"/>
    <w:rsid w:val="5DA27BC8"/>
    <w:rsid w:val="5E9753DE"/>
    <w:rsid w:val="5EAE25DF"/>
    <w:rsid w:val="5EBF5DAD"/>
    <w:rsid w:val="5ED3DB56"/>
    <w:rsid w:val="5F3A4E37"/>
    <w:rsid w:val="5FFC4AD0"/>
    <w:rsid w:val="60343957"/>
    <w:rsid w:val="60471651"/>
    <w:rsid w:val="60C55C83"/>
    <w:rsid w:val="62377985"/>
    <w:rsid w:val="62E765BD"/>
    <w:rsid w:val="63112EB0"/>
    <w:rsid w:val="631D1C06"/>
    <w:rsid w:val="646D3651"/>
    <w:rsid w:val="65165F77"/>
    <w:rsid w:val="6B3528BB"/>
    <w:rsid w:val="6DAB4FF7"/>
    <w:rsid w:val="6DAE4AA7"/>
    <w:rsid w:val="6E537DBA"/>
    <w:rsid w:val="6EF32542"/>
    <w:rsid w:val="6F9FBADD"/>
    <w:rsid w:val="6FF3BC3E"/>
    <w:rsid w:val="71006C29"/>
    <w:rsid w:val="723104F0"/>
    <w:rsid w:val="72AC0A00"/>
    <w:rsid w:val="737A7A76"/>
    <w:rsid w:val="73AC7AA8"/>
    <w:rsid w:val="73EF5115"/>
    <w:rsid w:val="742628E8"/>
    <w:rsid w:val="74612316"/>
    <w:rsid w:val="74736F42"/>
    <w:rsid w:val="74BA3B15"/>
    <w:rsid w:val="773F8BE8"/>
    <w:rsid w:val="776C44B7"/>
    <w:rsid w:val="77BF63D4"/>
    <w:rsid w:val="78366CAE"/>
    <w:rsid w:val="783C69EC"/>
    <w:rsid w:val="784F7772"/>
    <w:rsid w:val="789E6017"/>
    <w:rsid w:val="78F510F4"/>
    <w:rsid w:val="78FF5AA3"/>
    <w:rsid w:val="796FE135"/>
    <w:rsid w:val="79758B41"/>
    <w:rsid w:val="7A4300C5"/>
    <w:rsid w:val="7ACF6F9C"/>
    <w:rsid w:val="7AFE76A3"/>
    <w:rsid w:val="7B1A1031"/>
    <w:rsid w:val="7B333BB0"/>
    <w:rsid w:val="7B9C37AF"/>
    <w:rsid w:val="7BB77676"/>
    <w:rsid w:val="7BC60B7F"/>
    <w:rsid w:val="7D7BA209"/>
    <w:rsid w:val="7DBB5CB7"/>
    <w:rsid w:val="7DBF4FCE"/>
    <w:rsid w:val="7DF62483"/>
    <w:rsid w:val="7E7B83CA"/>
    <w:rsid w:val="7E7D007F"/>
    <w:rsid w:val="7EB448A0"/>
    <w:rsid w:val="7EB7480C"/>
    <w:rsid w:val="7F3C697D"/>
    <w:rsid w:val="7F9D7433"/>
    <w:rsid w:val="7FB07FDC"/>
    <w:rsid w:val="7FD78EC0"/>
    <w:rsid w:val="7FDD84A6"/>
    <w:rsid w:val="7FE1334A"/>
    <w:rsid w:val="7FE60354"/>
    <w:rsid w:val="7FF64292"/>
    <w:rsid w:val="9B59A42F"/>
    <w:rsid w:val="9EFB54DD"/>
    <w:rsid w:val="AD7F38AC"/>
    <w:rsid w:val="AF9F2A43"/>
    <w:rsid w:val="B7BF766C"/>
    <w:rsid w:val="BAF372DB"/>
    <w:rsid w:val="BDFEBC42"/>
    <w:rsid w:val="BF7F4996"/>
    <w:rsid w:val="BFE75386"/>
    <w:rsid w:val="BFFFFB52"/>
    <w:rsid w:val="C5176307"/>
    <w:rsid w:val="C7D7077C"/>
    <w:rsid w:val="CAFFCBA3"/>
    <w:rsid w:val="D7799683"/>
    <w:rsid w:val="D7CD4FDB"/>
    <w:rsid w:val="D9FFBC47"/>
    <w:rsid w:val="DF9DB860"/>
    <w:rsid w:val="E27E0BF3"/>
    <w:rsid w:val="E73D982D"/>
    <w:rsid w:val="E75FAA12"/>
    <w:rsid w:val="EB7D4DF7"/>
    <w:rsid w:val="ECE9897A"/>
    <w:rsid w:val="EFDF9FAF"/>
    <w:rsid w:val="F2DF65C7"/>
    <w:rsid w:val="F7FFF768"/>
    <w:rsid w:val="F97FF758"/>
    <w:rsid w:val="FA5D7EA2"/>
    <w:rsid w:val="FBC1EEB9"/>
    <w:rsid w:val="FF7DC980"/>
    <w:rsid w:val="FF7F65FE"/>
    <w:rsid w:val="FFEA7003"/>
    <w:rsid w:val="FFF99B76"/>
    <w:rsid w:val="FFFB7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1"/>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qFormat/>
    <w:uiPriority w:val="0"/>
  </w:style>
  <w:style w:type="table" w:default="1" w:styleId="11">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rFonts w:ascii="Times New Roman" w:hAnsi="Times New Roman" w:eastAsia="宋体" w:cs="Times New Roman"/>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Normal (Web)"/>
    <w:basedOn w:val="1"/>
    <w:next w:val="5"/>
    <w:qFormat/>
    <w:uiPriority w:val="0"/>
    <w:pPr>
      <w:widowControl/>
      <w:spacing w:before="100" w:beforeAutospacing="1" w:after="100" w:afterAutospacing="1"/>
      <w:jc w:val="left"/>
    </w:pPr>
    <w:rPr>
      <w:rFonts w:ascii="宋体" w:hAnsi="Times New Roman" w:eastAsia="宋体" w:cs="宋体"/>
      <w:kern w:val="0"/>
      <w:sz w:val="24"/>
      <w:szCs w:val="22"/>
      <w:lang w:val="en-US" w:eastAsia="zh-CN" w:bidi="ar-SA"/>
    </w:rPr>
  </w:style>
  <w:style w:type="paragraph" w:styleId="5">
    <w:name w:val="index 9"/>
    <w:basedOn w:val="1"/>
    <w:next w:val="1"/>
    <w:semiHidden/>
    <w:qFormat/>
    <w:uiPriority w:val="0"/>
    <w:pPr>
      <w:ind w:left="1600" w:leftChars="1600"/>
    </w:pPr>
  </w:style>
  <w:style w:type="paragraph" w:styleId="6">
    <w:name w:val="annotation text"/>
    <w:basedOn w:val="1"/>
    <w:qFormat/>
    <w:uiPriority w:val="0"/>
    <w:pPr>
      <w:jc w:val="left"/>
    </w:pPr>
  </w:style>
  <w:style w:type="paragraph" w:styleId="7">
    <w:name w:val="toc 3"/>
    <w:basedOn w:val="1"/>
    <w:next w:val="1"/>
    <w:qFormat/>
    <w:uiPriority w:val="0"/>
    <w:pPr>
      <w:ind w:left="420"/>
      <w:jc w:val="left"/>
    </w:pPr>
    <w:rPr>
      <w:i/>
      <w:iCs/>
      <w:sz w:val="20"/>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Subtitle"/>
    <w:basedOn w:val="1"/>
    <w:next w:val="1"/>
    <w:qFormat/>
    <w:uiPriority w:val="0"/>
    <w:pPr>
      <w:spacing w:line="312" w:lineRule="auto"/>
      <w:jc w:val="center"/>
      <w:outlineLvl w:val="1"/>
    </w:pPr>
    <w:rPr>
      <w:rFonts w:ascii="Cambria" w:hAnsi="Cambria"/>
      <w:b/>
      <w:bCs/>
      <w:kern w:val="28"/>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标题 Char Char"/>
    <w:basedOn w:val="1"/>
    <w:next w:val="10"/>
    <w:qFormat/>
    <w:uiPriority w:val="0"/>
    <w:pPr>
      <w:jc w:val="center"/>
      <w:outlineLvl w:val="0"/>
    </w:pPr>
    <w:rPr>
      <w:rFonts w:ascii="Arial" w:hAnsi="Arial"/>
      <w:b/>
      <w:sz w:val="32"/>
    </w:rPr>
  </w:style>
  <w:style w:type="paragraph" w:customStyle="1" w:styleId="15">
    <w:name w:val="table of authorities1"/>
    <w:next w:val="1"/>
    <w:qFormat/>
    <w:uiPriority w:val="0"/>
    <w:pPr>
      <w:widowControl w:val="0"/>
      <w:ind w:left="200" w:leftChars="200"/>
      <w:jc w:val="both"/>
    </w:pPr>
    <w:rPr>
      <w:rFonts w:ascii="仿宋_GB2312" w:hAnsi="Times New Roman" w:eastAsia="仿宋_GB2312" w:cs="Times New Roman"/>
      <w:kern w:val="2"/>
      <w:sz w:val="32"/>
      <w:szCs w:val="22"/>
      <w:lang w:val="en-US" w:eastAsia="zh-CN" w:bidi="ar-SA"/>
    </w:rPr>
  </w:style>
  <w:style w:type="paragraph" w:customStyle="1" w:styleId="16">
    <w:name w:val="正文 New"/>
    <w:next w:val="2"/>
    <w:qFormat/>
    <w:uiPriority w:val="0"/>
    <w:pPr>
      <w:widowControl w:val="0"/>
      <w:jc w:val="both"/>
    </w:pPr>
    <w:rPr>
      <w:rFonts w:ascii="Calibri" w:hAnsi="Calibri" w:eastAsia="宋体" w:cs="黑体"/>
      <w:kern w:val="2"/>
      <w:sz w:val="21"/>
      <w:szCs w:val="24"/>
      <w:lang w:val="en-US" w:eastAsia="zh-CN"/>
    </w:rPr>
  </w:style>
  <w:style w:type="paragraph" w:customStyle="1" w:styleId="17">
    <w:name w:val="普通(网站)1"/>
    <w:basedOn w:val="1"/>
    <w:next w:val="18"/>
    <w:qFormat/>
    <w:uiPriority w:val="99"/>
    <w:pPr>
      <w:widowControl/>
      <w:spacing w:before="100" w:beforeAutospacing="1" w:after="100" w:afterAutospacing="1" w:line="360" w:lineRule="auto"/>
      <w:jc w:val="left"/>
    </w:pPr>
    <w:rPr>
      <w:rFonts w:ascii="宋体" w:hAnsi="宋体" w:cs="宋体"/>
      <w:color w:val="000000"/>
      <w:kern w:val="0"/>
      <w:sz w:val="28"/>
      <w:szCs w:val="28"/>
    </w:rPr>
  </w:style>
  <w:style w:type="paragraph" w:customStyle="1" w:styleId="18">
    <w:name w:val="索引 91"/>
    <w:basedOn w:val="1"/>
    <w:next w:val="1"/>
    <w:qFormat/>
    <w:uiPriority w:val="99"/>
    <w:pPr>
      <w:ind w:left="1600" w:leftChars="1600"/>
    </w:pPr>
  </w:style>
  <w:style w:type="paragraph" w:customStyle="1" w:styleId="19">
    <w:name w:val="List Paragraph_720a114f-8808-448f-9e35-f144f1e25500"/>
    <w:basedOn w:val="1"/>
    <w:qFormat/>
    <w:uiPriority w:val="34"/>
    <w:pPr>
      <w:ind w:firstLine="420" w:firstLineChars="200"/>
    </w:pPr>
  </w:style>
  <w:style w:type="paragraph" w:customStyle="1" w:styleId="20">
    <w:name w:val="Body text|1"/>
    <w:basedOn w:val="1"/>
    <w:qFormat/>
    <w:uiPriority w:val="0"/>
    <w:pPr>
      <w:widowControl w:val="0"/>
      <w:shd w:val="clear" w:color="auto" w:fill="auto"/>
      <w:spacing w:after="600" w:line="413" w:lineRule="auto"/>
      <w:ind w:firstLine="400"/>
    </w:pPr>
    <w:rPr>
      <w:rFonts w:ascii="宋体" w:hAnsi="宋体" w:eastAsia="宋体" w:cs="宋体"/>
      <w:sz w:val="30"/>
      <w:szCs w:val="30"/>
      <w:u w:val="none"/>
      <w:shd w:val="clear" w:color="auto" w:fill="auto"/>
      <w:lang w:val="zh-TW" w:eastAsia="zh-TW" w:bidi="zh-TW"/>
    </w:rPr>
  </w:style>
  <w:style w:type="character" w:customStyle="1" w:styleId="21">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5222</Words>
  <Characters>5404</Characters>
  <Paragraphs>101</Paragraphs>
  <TotalTime>8</TotalTime>
  <ScaleCrop>false</ScaleCrop>
  <LinksUpToDate>false</LinksUpToDate>
  <CharactersWithSpaces>5418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2021-04-07T08:01:00Z</dcterms:created>
  <dc:creator>今晚吃太多</dc:creator>
  <cp:lastModifiedBy>田大瑶 </cp:lastModifiedBy>
  <cp:lastPrinted>2022-04-07T15:11:00Z</cp:lastPrinted>
  <dcterms:modified xsi:type="dcterms:W3CDTF">2025-06-06T07:33:52Z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F95DFED1E14C4C18A71B13C059DCE26C</vt:lpwstr>
  </property>
</Properties>
</file>