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1B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14:paraId="4F1C09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14:paraId="181207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14:paraId="10D67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56B7A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14:paraId="5D8D0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14:paraId="46BA8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1216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14:paraId="7CD6E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946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DAB2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361AC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14:paraId="58D00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14:paraId="06D7F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9ED2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AC9EF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630C5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 件</w:t>
      </w:r>
    </w:p>
    <w:p w14:paraId="43569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96CF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14:paraId="6CBB4B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14:paraId="6C31B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62B8D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4EC27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77A2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14:paraId="0626A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14:paraId="3CFAD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14:paraId="03856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14:paraId="177DC5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14:paraId="59D6D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D55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14:paraId="045F1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14:paraId="627C4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14:paraId="535FB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14:paraId="417B8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14:paraId="21D85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14:paraId="1AB3F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10A9F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14:paraId="37D3E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FD4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14:paraId="18490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14:paraId="394D1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2562B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14:paraId="14719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1AD6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14:paraId="7B867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14:paraId="279CE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966E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14:paraId="65076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DBAC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14:paraId="3AB3E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B7E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14:paraId="7D502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14:paraId="190B1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14:paraId="4BFF2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14:paraId="4683B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14:paraId="2AE7C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14:paraId="25178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14:paraId="5AC88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14:paraId="3FB76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14:paraId="17CF7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14:paraId="47E48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14:paraId="4ADCE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564AE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14:paraId="6F85B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784C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14:paraId="0EFC8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14:paraId="51047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14:paraId="34C69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奖补资金实行责任追究机制。对奖补资金使用管理过程中存在违规行为的单位、个人，按照《中华人民共和国预算法》《中华人民共和国监察法》《财政违法</w:t>
      </w:r>
      <w:bookmarkStart w:id="0" w:name="_GoBack"/>
      <w:bookmarkEnd w:id="0"/>
      <w:r>
        <w:rPr>
          <w:rFonts w:hint="eastAsia" w:ascii="仿宋_GB2312" w:hAnsi="仿宋_GB2312" w:eastAsia="仿宋_GB2312" w:cs="仿宋_GB2312"/>
          <w:sz w:val="32"/>
          <w:szCs w:val="32"/>
        </w:rPr>
        <w:t>行为处罚处分条例》等法律法规及相关规定进行严肃处理，涉及违法犯罪的，移送司法机关。</w:t>
      </w:r>
    </w:p>
    <w:p w14:paraId="149E3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通知指引、奖补到村的资金分配方案等，应在县级相关部门门户网站进行公示，补贴到户的资金分配情况应在本村进行公示。</w:t>
      </w:r>
    </w:p>
    <w:p w14:paraId="7C01F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A2E0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14:paraId="3BCB7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1051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以及完成改厕户数、户名等），实行“建档立卡，逐个销号”。</w:t>
      </w:r>
    </w:p>
    <w:p w14:paraId="37854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14:paraId="2C22F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14:paraId="1C6B1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14:paraId="1B329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EC6D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E8FB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553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08B1"/>
    <w:rsid w:val="1D3B4FB0"/>
    <w:rsid w:val="1EDE0C5B"/>
    <w:rsid w:val="2C6D5838"/>
    <w:rsid w:val="2DF21955"/>
    <w:rsid w:val="375A31D5"/>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2406</Words>
  <Characters>2426</Characters>
  <Lines>0</Lines>
  <Paragraphs>0</Paragraphs>
  <TotalTime>0</TotalTime>
  <ScaleCrop>false</ScaleCrop>
  <LinksUpToDate>false</LinksUpToDate>
  <CharactersWithSpaces>2455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何以笙萧默</cp:lastModifiedBy>
  <dcterms:modified xsi:type="dcterms:W3CDTF">2024-11-30T08:16:37Z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0A7CD26398F44605BA05D593527A379A_13</vt:lpwstr>
  </property>
</Properties>
</file>