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beforeLines="0" w:afterLines="0"/>
        <w:rPr>
          <w:rFonts w:hint="default" w:ascii="Times New Roman" w:hAnsi="Times New Roman" w:eastAsia="仿宋"/>
          <w:b/>
          <w:kern w:val="0"/>
          <w:sz w:val="32"/>
          <w:lang w:val="ru-RU"/>
        </w:rPr>
      </w:pPr>
      <w:r>
        <w:rPr>
          <w:rFonts w:hint="eastAsia" w:ascii="Times New Roman" w:hAnsi="仿宋" w:eastAsia="仿宋"/>
          <w:b/>
          <w:kern w:val="0"/>
          <w:sz w:val="32"/>
          <w:lang w:val="ru-RU"/>
        </w:rPr>
        <w:t>附件</w:t>
      </w:r>
      <w:r>
        <w:rPr>
          <w:rFonts w:hint="default" w:ascii="Times New Roman" w:hAnsi="Times New Roman" w:eastAsia="仿宋"/>
          <w:b/>
          <w:kern w:val="0"/>
          <w:sz w:val="32"/>
          <w:lang w:val="ru-RU"/>
        </w:rPr>
        <w:t>3</w:t>
      </w:r>
    </w:p>
    <w:p>
      <w:pPr>
        <w:tabs>
          <w:tab w:val="left" w:pos="0"/>
        </w:tabs>
        <w:spacing w:beforeLines="0" w:afterLines="0"/>
        <w:ind w:firstLine="1751" w:firstLineChars="545"/>
        <w:rPr>
          <w:rFonts w:hint="default" w:ascii="Times New Roman" w:hAnsi="Times New Roman" w:eastAsia="仿宋"/>
          <w:b/>
          <w:sz w:val="32"/>
        </w:rPr>
      </w:pPr>
      <w:bookmarkStart w:id="0" w:name="_GoBack"/>
      <w:r>
        <w:rPr>
          <w:rFonts w:hint="eastAsia" w:ascii="Times New Roman" w:hAnsi="仿宋" w:eastAsia="仿宋"/>
          <w:b/>
          <w:sz w:val="32"/>
        </w:rPr>
        <w:t>农业部饲料质量安全监测工作规范</w:t>
      </w:r>
    </w:p>
    <w:bookmarkEnd w:id="0"/>
    <w:p>
      <w:pPr>
        <w:tabs>
          <w:tab w:val="left" w:pos="0"/>
        </w:tabs>
        <w:spacing w:beforeLines="0" w:afterLines="0"/>
        <w:ind w:firstLine="321" w:firstLineChars="100"/>
        <w:rPr>
          <w:rFonts w:hint="default" w:ascii="Times New Roman" w:hAnsi="Times New Roman" w:eastAsia="仿宋"/>
          <w:b/>
          <w:kern w:val="0"/>
          <w:sz w:val="32"/>
          <w:lang w:val="ru-RU"/>
        </w:rPr>
      </w:pPr>
      <w:r>
        <w:rPr>
          <w:rFonts w:hint="eastAsia" w:ascii="Times New Roman" w:hAnsi="仿宋" w:eastAsia="仿宋"/>
          <w:b/>
          <w:sz w:val="32"/>
        </w:rPr>
        <w:t>一、抽样工作</w:t>
      </w:r>
    </w:p>
    <w:p>
      <w:pPr>
        <w:pStyle w:val="4"/>
        <w:spacing w:before="278" w:beforeLines="0" w:after="0" w:afterLines="0"/>
        <w:ind w:firstLine="321" w:firstLineChars="100"/>
        <w:rPr>
          <w:rFonts w:hint="default" w:ascii="Times New Roman" w:hAnsi="Times New Roman" w:eastAsia="仿宋"/>
          <w:b/>
          <w:kern w:val="2"/>
          <w:sz w:val="32"/>
          <w:lang w:val="en-US" w:eastAsia="zh-CN"/>
        </w:rPr>
      </w:pPr>
      <w:r>
        <w:rPr>
          <w:rFonts w:hint="default" w:ascii="Times New Roman" w:hAnsi="Times New Roman" w:eastAsia="仿宋"/>
          <w:b/>
          <w:kern w:val="2"/>
          <w:sz w:val="32"/>
          <w:lang w:val="en-US" w:eastAsia="zh-CN"/>
        </w:rPr>
        <w:t>(</w:t>
      </w:r>
      <w:r>
        <w:rPr>
          <w:rFonts w:hint="eastAsia" w:ascii="Times New Roman" w:hAnsi="仿宋" w:eastAsia="仿宋"/>
          <w:b/>
          <w:kern w:val="2"/>
          <w:sz w:val="32"/>
          <w:lang w:val="en-US" w:eastAsia="zh-CN"/>
        </w:rPr>
        <w:t>一</w:t>
      </w:r>
      <w:r>
        <w:rPr>
          <w:rFonts w:hint="default" w:ascii="Times New Roman" w:hAnsi="Times New Roman" w:eastAsia="仿宋"/>
          <w:b/>
          <w:kern w:val="2"/>
          <w:sz w:val="32"/>
          <w:lang w:val="en-US" w:eastAsia="zh-CN"/>
        </w:rPr>
        <w:t>)</w:t>
      </w:r>
      <w:r>
        <w:rPr>
          <w:rFonts w:hint="eastAsia" w:ascii="Times New Roman" w:hAnsi="仿宋" w:eastAsia="仿宋"/>
          <w:b/>
          <w:kern w:val="2"/>
          <w:sz w:val="32"/>
          <w:lang w:val="en-US" w:eastAsia="zh-CN"/>
        </w:rPr>
        <w:t>抽样原则</w:t>
      </w:r>
    </w:p>
    <w:p>
      <w:pPr>
        <w:pStyle w:val="4"/>
        <w:spacing w:before="288"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1</w:t>
      </w:r>
      <w:r>
        <w:rPr>
          <w:rFonts w:hint="eastAsia" w:ascii="Times New Roman" w:hAnsi="仿宋" w:eastAsia="仿宋"/>
          <w:kern w:val="2"/>
          <w:sz w:val="32"/>
          <w:lang w:val="en-US" w:eastAsia="zh-CN"/>
        </w:rPr>
        <w:t>、承担监测任务的单位</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以下简称承担单位</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应对被检省</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区、市</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饲料生产、经营企业和畜禽养殖分布情况进行调研。</w:t>
      </w:r>
      <w:r>
        <w:rPr>
          <w:rFonts w:hint="default" w:ascii="Times New Roman" w:hAnsi="Times New Roman" w:eastAsia="仿宋"/>
          <w:kern w:val="2"/>
          <w:sz w:val="32"/>
          <w:lang w:val="en-US" w:eastAsia="zh-CN"/>
        </w:rPr>
        <w:t xml:space="preserve"> </w:t>
      </w:r>
      <w:r>
        <w:rPr>
          <w:rFonts w:hint="eastAsia" w:ascii="Times New Roman" w:hAnsi="仿宋" w:eastAsia="仿宋"/>
          <w:kern w:val="2"/>
          <w:sz w:val="32"/>
          <w:lang w:val="en-US" w:eastAsia="zh-CN"/>
        </w:rPr>
        <w:t>根据当地饲料生产、经营和养殖状况</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结合农业部监测计划要求</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确定监测地点及被检饲料生产、经营企业和养殖场</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户</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以下简称被检单位</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。抽取样品应考虑到大、中、小型企业的比例</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要有充分的代表性、真实性。</w:t>
      </w:r>
    </w:p>
    <w:p>
      <w:pPr>
        <w:pStyle w:val="4"/>
        <w:spacing w:before="288"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2</w:t>
      </w:r>
      <w:r>
        <w:rPr>
          <w:rFonts w:hint="eastAsia" w:ascii="Times New Roman" w:hAnsi="仿宋" w:eastAsia="仿宋"/>
          <w:kern w:val="2"/>
          <w:sz w:val="32"/>
          <w:lang w:val="en-US" w:eastAsia="zh-CN"/>
        </w:rPr>
        <w:t>、承担单位应严格按照国家标准和行业标准进行抽样。</w:t>
      </w:r>
    </w:p>
    <w:p>
      <w:pPr>
        <w:pStyle w:val="4"/>
        <w:spacing w:before="283"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3</w:t>
      </w:r>
      <w:r>
        <w:rPr>
          <w:rFonts w:hint="eastAsia" w:ascii="Times New Roman" w:hAnsi="仿宋" w:eastAsia="仿宋"/>
          <w:kern w:val="2"/>
          <w:sz w:val="32"/>
          <w:lang w:val="en-US" w:eastAsia="zh-CN"/>
        </w:rPr>
        <w:t>、承担单位应当独立或与当地畜牧饲料主管部门共同完成抽样。已实行饲料质量监督执法和检测职能分开的省份</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可以委托同级饲料质量监督执法机构完成抽样。</w:t>
      </w:r>
    </w:p>
    <w:p>
      <w:pPr>
        <w:pStyle w:val="4"/>
        <w:spacing w:before="285"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4</w:t>
      </w:r>
      <w:r>
        <w:rPr>
          <w:rFonts w:hint="eastAsia" w:ascii="Times New Roman" w:hAnsi="仿宋" w:eastAsia="仿宋"/>
          <w:kern w:val="2"/>
          <w:sz w:val="32"/>
          <w:lang w:val="en-US" w:eastAsia="zh-CN"/>
        </w:rPr>
        <w:t>、对实行行政许可的产品</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抽样前应首先对行政许可证明、产品标准和标签等进行检查。对未取得行政许可擅自进行生产、经营的企业应报告当地畜牧饲料主管部门查处</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并不再抽样检验</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该企业产品判定为不合格。</w:t>
      </w:r>
    </w:p>
    <w:p>
      <w:pPr>
        <w:pStyle w:val="5"/>
        <w:spacing w:before="0" w:beforeLines="0" w:after="0" w:afterLines="0"/>
        <w:ind w:firstLine="321" w:firstLineChars="100"/>
        <w:rPr>
          <w:rFonts w:hint="default" w:ascii="Times New Roman" w:hAnsi="Times New Roman" w:eastAsia="仿宋"/>
          <w:b/>
          <w:kern w:val="2"/>
          <w:sz w:val="32"/>
          <w:lang w:val="en-US" w:eastAsia="zh-CN"/>
        </w:rPr>
      </w:pPr>
      <w:r>
        <w:rPr>
          <w:rFonts w:hint="default" w:ascii="Times New Roman" w:hAnsi="Times New Roman" w:eastAsia="仿宋"/>
          <w:b/>
          <w:kern w:val="2"/>
          <w:sz w:val="32"/>
          <w:lang w:val="en-US" w:eastAsia="zh-CN"/>
        </w:rPr>
        <w:t>(</w:t>
      </w:r>
      <w:r>
        <w:rPr>
          <w:rFonts w:hint="eastAsia" w:ascii="Times New Roman" w:hAnsi="仿宋" w:eastAsia="仿宋"/>
          <w:b/>
          <w:kern w:val="2"/>
          <w:sz w:val="32"/>
          <w:lang w:val="en-US" w:eastAsia="zh-CN"/>
        </w:rPr>
        <w:t>二</w:t>
      </w:r>
      <w:r>
        <w:rPr>
          <w:rFonts w:hint="default" w:ascii="Times New Roman" w:hAnsi="Times New Roman" w:eastAsia="仿宋"/>
          <w:b/>
          <w:kern w:val="2"/>
          <w:sz w:val="32"/>
          <w:lang w:val="en-US" w:eastAsia="zh-CN"/>
        </w:rPr>
        <w:t>)</w:t>
      </w:r>
      <w:r>
        <w:rPr>
          <w:rFonts w:hint="eastAsia" w:ascii="Times New Roman" w:hAnsi="仿宋" w:eastAsia="仿宋"/>
          <w:b/>
          <w:kern w:val="2"/>
          <w:sz w:val="32"/>
          <w:lang w:val="en-US" w:eastAsia="zh-CN"/>
        </w:rPr>
        <w:t>抽样程序及要求</w:t>
      </w:r>
    </w:p>
    <w:p>
      <w:pPr>
        <w:pStyle w:val="5"/>
        <w:spacing w:before="286" w:beforeLines="0" w:after="0" w:afterLines="0"/>
        <w:ind w:firstLine="321" w:firstLineChars="100"/>
        <w:rPr>
          <w:rFonts w:hint="eastAsia" w:ascii="Times New Roman" w:hAnsi="Times New Roman" w:eastAsia="仿宋"/>
          <w:b/>
          <w:kern w:val="2"/>
          <w:sz w:val="32"/>
          <w:lang w:val="en-US" w:eastAsia="zh-CN"/>
        </w:rPr>
      </w:pPr>
    </w:p>
    <w:p>
      <w:pPr>
        <w:pStyle w:val="5"/>
        <w:spacing w:before="286" w:beforeLines="0" w:after="0" w:afterLines="0"/>
        <w:ind w:firstLine="321" w:firstLineChars="100"/>
        <w:rPr>
          <w:rFonts w:hint="default" w:ascii="Times New Roman" w:hAnsi="Times New Roman" w:eastAsia="仿宋"/>
          <w:b/>
          <w:kern w:val="2"/>
          <w:sz w:val="32"/>
          <w:lang w:val="en-US" w:eastAsia="zh-CN"/>
        </w:rPr>
      </w:pPr>
      <w:r>
        <w:rPr>
          <w:rFonts w:hint="default" w:ascii="Times New Roman" w:hAnsi="Times New Roman" w:eastAsia="仿宋"/>
          <w:b/>
          <w:kern w:val="2"/>
          <w:sz w:val="32"/>
          <w:lang w:val="en-US" w:eastAsia="zh-CN"/>
        </w:rPr>
        <w:t>1</w:t>
      </w:r>
      <w:r>
        <w:rPr>
          <w:rFonts w:hint="eastAsia" w:ascii="Times New Roman" w:hAnsi="仿宋" w:eastAsia="仿宋"/>
          <w:b/>
          <w:kern w:val="2"/>
          <w:sz w:val="32"/>
          <w:lang w:val="en-US" w:eastAsia="zh-CN"/>
        </w:rPr>
        <w:t>、抽样组织</w:t>
      </w:r>
    </w:p>
    <w:p>
      <w:pPr>
        <w:pStyle w:val="5"/>
        <w:spacing w:before="281" w:beforeLines="0" w:after="0" w:afterLines="0" w:line="342" w:lineRule="exact"/>
        <w:ind w:left="629"/>
        <w:jc w:val="left"/>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(1)</w:t>
      </w:r>
      <w:r>
        <w:rPr>
          <w:rFonts w:hint="eastAsia" w:ascii="Times New Roman" w:hAnsi="仿宋" w:eastAsia="仿宋"/>
          <w:kern w:val="2"/>
          <w:sz w:val="32"/>
          <w:lang w:val="en-US" w:eastAsia="zh-CN"/>
        </w:rPr>
        <w:t>承担单位应根据监测计划研究制定抽样实施方案</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并在</w:t>
      </w:r>
    </w:p>
    <w:p>
      <w:pPr>
        <w:pStyle w:val="5"/>
        <w:spacing w:before="279" w:beforeLines="0" w:after="0" w:afterLines="0" w:line="342" w:lineRule="exact"/>
        <w:jc w:val="left"/>
        <w:rPr>
          <w:rFonts w:hint="default" w:ascii="Times New Roman" w:hAnsi="Times New Roman" w:eastAsia="仿宋"/>
          <w:kern w:val="2"/>
          <w:sz w:val="32"/>
          <w:lang w:val="en-US" w:eastAsia="zh-CN"/>
        </w:rPr>
      </w:pPr>
      <w:r>
        <w:rPr>
          <w:rFonts w:hint="eastAsia" w:ascii="Times New Roman" w:hAnsi="仿宋" w:eastAsia="仿宋"/>
          <w:kern w:val="2"/>
          <w:sz w:val="32"/>
          <w:lang w:val="en-US" w:eastAsia="zh-CN"/>
        </w:rPr>
        <w:t>每次抽样前组织参加抽样的人员学习相关法律、法规、抽样方案、</w:t>
      </w:r>
    </w:p>
    <w:p>
      <w:pPr>
        <w:pStyle w:val="5"/>
        <w:spacing w:before="281" w:beforeLines="0" w:after="0" w:afterLines="0" w:line="342" w:lineRule="exact"/>
        <w:jc w:val="left"/>
        <w:rPr>
          <w:rFonts w:hint="default" w:ascii="Times New Roman" w:hAnsi="Times New Roman" w:eastAsia="仿宋"/>
          <w:kern w:val="2"/>
          <w:sz w:val="32"/>
          <w:lang w:val="en-US" w:eastAsia="zh-CN"/>
        </w:rPr>
      </w:pPr>
      <w:r>
        <w:rPr>
          <w:rFonts w:hint="eastAsia" w:ascii="Times New Roman" w:hAnsi="仿宋" w:eastAsia="仿宋"/>
          <w:kern w:val="2"/>
          <w:sz w:val="32"/>
          <w:lang w:val="en-US" w:eastAsia="zh-CN"/>
        </w:rPr>
        <w:t>抽样技术、工作纪律等。</w:t>
      </w:r>
    </w:p>
    <w:p>
      <w:pPr>
        <w:pStyle w:val="5"/>
        <w:spacing w:before="279"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(2)</w:t>
      </w:r>
      <w:r>
        <w:rPr>
          <w:rFonts w:hint="eastAsia" w:ascii="Times New Roman" w:hAnsi="仿宋" w:eastAsia="仿宋"/>
          <w:kern w:val="2"/>
          <w:sz w:val="32"/>
          <w:lang w:val="en-US" w:eastAsia="zh-CN"/>
        </w:rPr>
        <w:t>承担单位应根据抽样方案准备抽样所需物品</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并由专人负责检查和发放。</w:t>
      </w:r>
    </w:p>
    <w:p>
      <w:pPr>
        <w:pStyle w:val="5"/>
        <w:spacing w:before="279" w:beforeLines="0" w:after="0" w:afterLines="0"/>
        <w:ind w:firstLine="321" w:firstLineChars="100"/>
        <w:rPr>
          <w:rFonts w:hint="default" w:ascii="Times New Roman" w:hAnsi="Times New Roman" w:eastAsia="仿宋"/>
          <w:b/>
          <w:kern w:val="2"/>
          <w:sz w:val="32"/>
          <w:lang w:val="en-US" w:eastAsia="zh-CN"/>
        </w:rPr>
      </w:pPr>
      <w:r>
        <w:rPr>
          <w:rFonts w:hint="default" w:ascii="Times New Roman" w:hAnsi="Times New Roman" w:eastAsia="仿宋"/>
          <w:b/>
          <w:kern w:val="2"/>
          <w:sz w:val="32"/>
          <w:lang w:val="en-US" w:eastAsia="zh-CN"/>
        </w:rPr>
        <w:t>2</w:t>
      </w:r>
      <w:r>
        <w:rPr>
          <w:rFonts w:hint="eastAsia" w:ascii="Times New Roman" w:hAnsi="仿宋" w:eastAsia="仿宋"/>
          <w:b/>
          <w:kern w:val="2"/>
          <w:sz w:val="32"/>
          <w:lang w:val="en-US" w:eastAsia="zh-CN"/>
        </w:rPr>
        <w:t>、抽样过程</w:t>
      </w:r>
    </w:p>
    <w:p>
      <w:pPr>
        <w:pStyle w:val="5"/>
        <w:spacing w:before="279" w:beforeLines="0" w:after="0" w:afterLines="0"/>
        <w:ind w:firstLine="320" w:firstLineChars="100"/>
        <w:rPr>
          <w:rFonts w:hint="eastAsia" w:ascii="Times New Roman" w:hAnsi="仿宋" w:eastAsia="仿宋"/>
          <w:kern w:val="2"/>
          <w:sz w:val="32"/>
          <w:lang w:val="en-US" w:eastAsia="zh-CN"/>
        </w:rPr>
      </w:pPr>
      <w:r>
        <w:rPr>
          <w:rFonts w:hint="default" w:ascii="Times New Roman" w:hAnsi="仿宋" w:eastAsia="仿宋"/>
          <w:kern w:val="2"/>
          <w:sz w:val="32"/>
          <w:lang w:val="en-US" w:eastAsia="zh-CN"/>
        </w:rPr>
        <w:t>(1)</w:t>
      </w:r>
      <w:r>
        <w:rPr>
          <w:rFonts w:hint="eastAsia" w:ascii="Times New Roman" w:hAnsi="仿宋" w:eastAsia="仿宋"/>
          <w:kern w:val="2"/>
          <w:sz w:val="32"/>
          <w:lang w:val="en-US" w:eastAsia="zh-CN"/>
        </w:rPr>
        <w:t>抽样人员不得少于2人，必须经过培训上岗。承担单位应指定一名抽样负责人,负责抽样方案的具体实施及协调。</w:t>
      </w:r>
    </w:p>
    <w:p>
      <w:pPr>
        <w:pStyle w:val="5"/>
        <w:spacing w:before="279" w:beforeLines="0" w:after="0" w:afterLines="0"/>
        <w:ind w:firstLine="320" w:firstLineChars="100"/>
        <w:rPr>
          <w:rFonts w:hint="eastAsia" w:ascii="Times New Roman" w:hAnsi="仿宋" w:eastAsia="仿宋"/>
          <w:kern w:val="2"/>
          <w:sz w:val="32"/>
          <w:lang w:val="en-US" w:eastAsia="zh-CN"/>
        </w:rPr>
      </w:pPr>
      <w:r>
        <w:rPr>
          <w:rFonts w:hint="default" w:ascii="Times New Roman" w:hAnsi="仿宋" w:eastAsia="仿宋"/>
          <w:kern w:val="2"/>
          <w:sz w:val="32"/>
          <w:lang w:val="en-US" w:eastAsia="zh-CN"/>
        </w:rPr>
        <w:t>(2)</w:t>
      </w:r>
      <w:r>
        <w:rPr>
          <w:rFonts w:hint="eastAsia" w:ascii="Times New Roman" w:hAnsi="仿宋" w:eastAsia="仿宋"/>
          <w:kern w:val="2"/>
          <w:sz w:val="32"/>
          <w:lang w:val="en-US" w:eastAsia="zh-CN"/>
        </w:rPr>
        <w:t>抽样人员应主动向被检单位出示有关文件和工作证件。</w:t>
      </w:r>
    </w:p>
    <w:p>
      <w:pPr>
        <w:pStyle w:val="5"/>
        <w:spacing w:before="279" w:beforeLines="0" w:after="0" w:afterLines="0"/>
        <w:ind w:firstLine="320" w:firstLineChars="100"/>
        <w:rPr>
          <w:rFonts w:hint="default" w:ascii="Times New Roman" w:hAnsi="仿宋" w:eastAsia="仿宋"/>
          <w:kern w:val="2"/>
          <w:sz w:val="32"/>
          <w:lang w:val="en-US" w:eastAsia="zh-CN"/>
        </w:rPr>
      </w:pPr>
      <w:r>
        <w:rPr>
          <w:rFonts w:hint="default" w:ascii="Times New Roman" w:hAnsi="仿宋" w:eastAsia="仿宋"/>
          <w:kern w:val="2"/>
          <w:sz w:val="32"/>
          <w:lang w:val="en-US" w:eastAsia="zh-CN"/>
        </w:rPr>
        <w:t>(3)</w:t>
      </w:r>
      <w:r>
        <w:rPr>
          <w:rFonts w:hint="eastAsia" w:ascii="Times New Roman" w:hAnsi="仿宋" w:eastAsia="仿宋"/>
          <w:kern w:val="2"/>
          <w:sz w:val="32"/>
          <w:lang w:val="en-US" w:eastAsia="zh-CN"/>
        </w:rPr>
        <w:t>抽样人员应严格按照抽样程序进行抽样、分样、封样、编号及留样。应将包装好的样品完全密封，防止样品在运输及交接过程中交叉污染和包装破损。抽样人员应妥善保存所抽取的样品</w:t>
      </w:r>
      <w:r>
        <w:rPr>
          <w:rFonts w:hint="eastAsia" w:ascii="Times New Roman" w:hAnsi="Times New Roman" w:eastAsia="仿宋"/>
          <w:kern w:val="2"/>
          <w:sz w:val="32"/>
          <w:lang w:val="en-US" w:eastAsia="zh-CN"/>
        </w:rPr>
        <w:t>，</w:t>
      </w:r>
      <w:r>
        <w:rPr>
          <w:rFonts w:hint="eastAsia" w:ascii="Times New Roman" w:hAnsi="仿宋" w:eastAsia="仿宋"/>
          <w:kern w:val="2"/>
          <w:sz w:val="32"/>
          <w:lang w:val="en-US" w:eastAsia="zh-CN"/>
        </w:rPr>
        <w:t>防止样品变质。有特殊保存要求的样品应配备相应的容器和设备。</w:t>
      </w:r>
    </w:p>
    <w:p>
      <w:pPr>
        <w:pStyle w:val="5"/>
        <w:spacing w:before="28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(4)</w:t>
      </w:r>
      <w:r>
        <w:rPr>
          <w:rFonts w:hint="eastAsia" w:ascii="Times New Roman" w:hAnsi="仿宋" w:eastAsia="仿宋"/>
          <w:kern w:val="2"/>
          <w:sz w:val="32"/>
          <w:lang w:val="en-US" w:eastAsia="zh-CN"/>
        </w:rPr>
        <w:t>抽样人员在现场应认真填写抽样单。填写的抽样信息要完整、准确、字迹工整、清晰。经双方确认无误后在抽样单上共同签章</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名</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。抽样单为三联单</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第一联由抽样单位保存</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第二联随抽取的样品交检测单位</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第三联连同抽取的样品交被检单位保存。</w:t>
      </w:r>
    </w:p>
    <w:p>
      <w:pPr>
        <w:pStyle w:val="5"/>
        <w:spacing w:before="28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(5)</w:t>
      </w:r>
      <w:r>
        <w:rPr>
          <w:rFonts w:hint="eastAsia" w:ascii="Times New Roman" w:hAnsi="仿宋" w:eastAsia="仿宋"/>
          <w:kern w:val="2"/>
          <w:sz w:val="32"/>
          <w:lang w:val="en-US" w:eastAsia="zh-CN"/>
        </w:rPr>
        <w:t>抽样人员将抽取的样品平均分成三份并封签后</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一份连同抽样单第三联交被检单位保存</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并应告之保存条件及相关事宜。其余两份样品移交检测单位。</w:t>
      </w:r>
    </w:p>
    <w:p>
      <w:pPr>
        <w:pStyle w:val="6"/>
        <w:spacing w:before="28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(6)</w:t>
      </w:r>
      <w:r>
        <w:rPr>
          <w:rFonts w:hint="eastAsia" w:ascii="Times New Roman" w:hAnsi="仿宋" w:eastAsia="仿宋"/>
          <w:kern w:val="2"/>
          <w:sz w:val="32"/>
          <w:lang w:val="en-US" w:eastAsia="zh-CN"/>
        </w:rPr>
        <w:t>抽样人员应在抽样过程中全面了解被检单位的生产、经营等情况</w:t>
      </w:r>
      <w:r>
        <w:rPr>
          <w:rFonts w:hint="eastAsia" w:ascii="Times New Roman" w:hAnsi="Times New Roman" w:eastAsia="仿宋"/>
          <w:kern w:val="2"/>
          <w:sz w:val="32"/>
          <w:lang w:val="en-US" w:eastAsia="zh-CN"/>
        </w:rPr>
        <w:t>，</w:t>
      </w:r>
      <w:r>
        <w:rPr>
          <w:rFonts w:hint="eastAsia" w:ascii="Times New Roman" w:hAnsi="仿宋" w:eastAsia="仿宋"/>
          <w:kern w:val="2"/>
          <w:sz w:val="32"/>
          <w:lang w:val="en-US" w:eastAsia="zh-CN"/>
        </w:rPr>
        <w:t>以便进行监测结果的分析总结。</w:t>
      </w:r>
    </w:p>
    <w:p>
      <w:pPr>
        <w:pStyle w:val="6"/>
        <w:spacing w:before="28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(7)</w:t>
      </w:r>
      <w:r>
        <w:rPr>
          <w:rFonts w:hint="eastAsia" w:ascii="Times New Roman" w:hAnsi="仿宋" w:eastAsia="仿宋"/>
          <w:kern w:val="2"/>
          <w:sz w:val="32"/>
          <w:lang w:val="en-US" w:eastAsia="zh-CN"/>
        </w:rPr>
        <w:t>不得抽取农业部监测计划规定以外的产品。</w:t>
      </w:r>
    </w:p>
    <w:p>
      <w:pPr>
        <w:pStyle w:val="6"/>
        <w:spacing w:before="279" w:beforeLines="0" w:after="0" w:afterLines="0"/>
        <w:ind w:firstLine="321" w:firstLineChars="100"/>
        <w:rPr>
          <w:rFonts w:hint="default" w:ascii="Times New Roman" w:hAnsi="Times New Roman" w:eastAsia="仿宋"/>
          <w:b/>
          <w:kern w:val="2"/>
          <w:sz w:val="32"/>
          <w:lang w:val="en-US" w:eastAsia="zh-CN"/>
        </w:rPr>
      </w:pPr>
      <w:r>
        <w:rPr>
          <w:rFonts w:hint="default" w:ascii="Times New Roman" w:hAnsi="Times New Roman" w:eastAsia="仿宋"/>
          <w:b/>
          <w:kern w:val="2"/>
          <w:sz w:val="32"/>
          <w:lang w:val="en-US" w:eastAsia="zh-CN"/>
        </w:rPr>
        <w:t>3</w:t>
      </w:r>
      <w:r>
        <w:rPr>
          <w:rFonts w:hint="eastAsia" w:ascii="Times New Roman" w:hAnsi="仿宋" w:eastAsia="仿宋"/>
          <w:b/>
          <w:kern w:val="2"/>
          <w:sz w:val="32"/>
          <w:lang w:val="en-US" w:eastAsia="zh-CN"/>
        </w:rPr>
        <w:t>、拒检的处理</w:t>
      </w:r>
    </w:p>
    <w:p>
      <w:pPr>
        <w:pStyle w:val="6"/>
        <w:spacing w:before="281" w:beforeLines="0" w:after="0" w:afterLines="0"/>
        <w:ind w:firstLine="640" w:firstLineChars="200"/>
        <w:rPr>
          <w:rFonts w:hint="default" w:ascii="Times New Roman" w:hAnsi="Times New Roman" w:eastAsia="仿宋"/>
          <w:kern w:val="2"/>
          <w:sz w:val="32"/>
          <w:lang w:val="en-US" w:eastAsia="zh-CN"/>
        </w:rPr>
      </w:pPr>
      <w:r>
        <w:rPr>
          <w:rFonts w:hint="eastAsia" w:ascii="Times New Roman" w:hAnsi="仿宋" w:eastAsia="仿宋"/>
          <w:kern w:val="2"/>
          <w:sz w:val="32"/>
          <w:lang w:val="en-US" w:eastAsia="zh-CN"/>
        </w:rPr>
        <w:t>对于拒绝抽检的单位</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抽样人员应当耐心做工作</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宣讲有关规定</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并阐明拒检后果</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同时要通知当地畜牧饲料主管部门予以协调。如果被检单位仍然不接受抽检</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抽样人员应书面记录当时的情况</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内容包括</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被检单位名称、拒检理由、经过、时间、地点、现场人员等。抽样人员和当地畜牧饲料主管部门人员在书面材料上签字</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并及时向省级畜牧饲料主管部门报告有关情况。该被检单位产品按不合格处理</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拒检的情况材料随同其它监测结果一同上报汇总单位。</w:t>
      </w:r>
    </w:p>
    <w:p>
      <w:pPr>
        <w:pStyle w:val="6"/>
        <w:spacing w:before="276" w:beforeLines="0" w:after="0" w:afterLines="0"/>
        <w:ind w:firstLine="321" w:firstLineChars="100"/>
        <w:rPr>
          <w:rFonts w:hint="default" w:ascii="Times New Roman" w:hAnsi="Times New Roman" w:eastAsia="仿宋"/>
          <w:b/>
          <w:kern w:val="2"/>
          <w:sz w:val="32"/>
          <w:lang w:val="en-US" w:eastAsia="zh-CN"/>
        </w:rPr>
      </w:pPr>
      <w:r>
        <w:rPr>
          <w:rFonts w:hint="eastAsia" w:ascii="Times New Roman" w:hAnsi="仿宋" w:eastAsia="仿宋"/>
          <w:b/>
          <w:kern w:val="2"/>
          <w:sz w:val="32"/>
          <w:lang w:val="en-US" w:eastAsia="zh-CN"/>
        </w:rPr>
        <w:t>二、检测工作</w:t>
      </w:r>
    </w:p>
    <w:p>
      <w:pPr>
        <w:pStyle w:val="6"/>
        <w:spacing w:before="275" w:beforeLines="0" w:after="0" w:afterLines="0"/>
        <w:ind w:firstLine="321" w:firstLineChars="100"/>
        <w:rPr>
          <w:rFonts w:hint="default" w:ascii="Times New Roman" w:hAnsi="Times New Roman" w:eastAsia="仿宋"/>
          <w:b/>
          <w:kern w:val="2"/>
          <w:sz w:val="32"/>
          <w:lang w:val="en-US" w:eastAsia="zh-CN"/>
        </w:rPr>
      </w:pPr>
      <w:r>
        <w:rPr>
          <w:rFonts w:hint="default" w:ascii="Times New Roman" w:hAnsi="Times New Roman" w:eastAsia="仿宋"/>
          <w:b/>
          <w:kern w:val="2"/>
          <w:sz w:val="32"/>
          <w:lang w:val="en-US" w:eastAsia="zh-CN"/>
        </w:rPr>
        <w:t>(</w:t>
      </w:r>
      <w:r>
        <w:rPr>
          <w:rFonts w:hint="eastAsia" w:ascii="Times New Roman" w:hAnsi="仿宋" w:eastAsia="仿宋"/>
          <w:b/>
          <w:kern w:val="2"/>
          <w:sz w:val="32"/>
          <w:lang w:val="en-US" w:eastAsia="zh-CN"/>
        </w:rPr>
        <w:t>一</w:t>
      </w:r>
      <w:r>
        <w:rPr>
          <w:rFonts w:hint="default" w:ascii="Times New Roman" w:hAnsi="Times New Roman" w:eastAsia="仿宋"/>
          <w:b/>
          <w:kern w:val="2"/>
          <w:sz w:val="32"/>
          <w:lang w:val="en-US" w:eastAsia="zh-CN"/>
        </w:rPr>
        <w:t>)</w:t>
      </w:r>
      <w:r>
        <w:rPr>
          <w:rFonts w:hint="eastAsia" w:ascii="Times New Roman" w:hAnsi="仿宋" w:eastAsia="仿宋"/>
          <w:b/>
          <w:kern w:val="2"/>
          <w:sz w:val="32"/>
          <w:lang w:val="en-US" w:eastAsia="zh-CN"/>
        </w:rPr>
        <w:t>检测原则</w:t>
      </w:r>
    </w:p>
    <w:p>
      <w:pPr>
        <w:pStyle w:val="6"/>
        <w:spacing w:before="286"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1</w:t>
      </w:r>
      <w:r>
        <w:rPr>
          <w:rFonts w:hint="eastAsia" w:ascii="Times New Roman" w:hAnsi="仿宋" w:eastAsia="仿宋"/>
          <w:kern w:val="2"/>
          <w:sz w:val="32"/>
          <w:lang w:val="en-US" w:eastAsia="zh-CN"/>
        </w:rPr>
        <w:t>、统一检测方法。承担单位应严格按照农业部监测计划规定的检测标准或方法进行检测</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不得随意更改检测方法。</w:t>
      </w:r>
    </w:p>
    <w:p>
      <w:pPr>
        <w:pStyle w:val="6"/>
        <w:spacing w:before="28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2</w:t>
      </w:r>
      <w:r>
        <w:rPr>
          <w:rFonts w:hint="eastAsia" w:ascii="Times New Roman" w:hAnsi="仿宋" w:eastAsia="仿宋"/>
          <w:kern w:val="2"/>
          <w:sz w:val="32"/>
          <w:lang w:val="en-US" w:eastAsia="zh-CN"/>
        </w:rPr>
        <w:t>、统一判定原则。检测结果按照监测计划中规定的判定标准进行判定。</w:t>
      </w:r>
    </w:p>
    <w:p>
      <w:pPr>
        <w:pStyle w:val="7"/>
        <w:spacing w:before="0"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二</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样品的接收与处理</w:t>
      </w:r>
    </w:p>
    <w:p>
      <w:pPr>
        <w:pStyle w:val="7"/>
        <w:spacing w:before="286"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1</w:t>
      </w:r>
      <w:r>
        <w:rPr>
          <w:rFonts w:hint="eastAsia" w:ascii="Times New Roman" w:hAnsi="仿宋" w:eastAsia="仿宋"/>
          <w:kern w:val="2"/>
          <w:sz w:val="32"/>
          <w:lang w:val="en-US" w:eastAsia="zh-CN"/>
        </w:rPr>
        <w:t>、样品移交到检测单位后</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接样人员应根据抽样单对样品的封样状态、数量、质量及样品编号等逐一进行核对。检查合格后方可填单入库</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并及时安排检测工作。</w:t>
      </w:r>
    </w:p>
    <w:p>
      <w:pPr>
        <w:pStyle w:val="7"/>
        <w:spacing w:before="28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2</w:t>
      </w:r>
      <w:r>
        <w:rPr>
          <w:rFonts w:hint="eastAsia" w:ascii="Times New Roman" w:hAnsi="仿宋" w:eastAsia="仿宋"/>
          <w:kern w:val="2"/>
          <w:sz w:val="32"/>
          <w:lang w:val="en-US" w:eastAsia="zh-CN"/>
        </w:rPr>
        <w:t>、每个样品制备、处理后所使用的粉碎机等设备应认真清洗干净后方可再次使用</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保证不对下一个样品造成交叉污染。</w:t>
      </w:r>
    </w:p>
    <w:p>
      <w:pPr>
        <w:pStyle w:val="7"/>
        <w:spacing w:before="287" w:beforeLines="0" w:after="0" w:afterLines="0"/>
        <w:ind w:firstLine="321" w:firstLineChars="100"/>
        <w:rPr>
          <w:rFonts w:hint="default" w:ascii="Times New Roman" w:hAnsi="Times New Roman" w:eastAsia="仿宋"/>
          <w:b/>
          <w:kern w:val="2"/>
          <w:sz w:val="32"/>
          <w:lang w:val="en-US" w:eastAsia="zh-CN"/>
        </w:rPr>
      </w:pPr>
      <w:r>
        <w:rPr>
          <w:rFonts w:hint="default" w:ascii="Times New Roman" w:hAnsi="Times New Roman" w:eastAsia="仿宋"/>
          <w:b/>
          <w:kern w:val="2"/>
          <w:sz w:val="32"/>
          <w:lang w:val="en-US" w:eastAsia="zh-CN"/>
        </w:rPr>
        <w:t>(</w:t>
      </w:r>
      <w:r>
        <w:rPr>
          <w:rFonts w:hint="eastAsia" w:ascii="Times New Roman" w:hAnsi="仿宋" w:eastAsia="仿宋"/>
          <w:b/>
          <w:kern w:val="2"/>
          <w:sz w:val="32"/>
          <w:lang w:val="en-US" w:eastAsia="zh-CN"/>
        </w:rPr>
        <w:t>三</w:t>
      </w:r>
      <w:r>
        <w:rPr>
          <w:rFonts w:hint="default" w:ascii="Times New Roman" w:hAnsi="Times New Roman" w:eastAsia="仿宋"/>
          <w:b/>
          <w:kern w:val="2"/>
          <w:sz w:val="32"/>
          <w:lang w:val="en-US" w:eastAsia="zh-CN"/>
        </w:rPr>
        <w:t>)</w:t>
      </w:r>
      <w:r>
        <w:rPr>
          <w:rFonts w:hint="eastAsia" w:ascii="Times New Roman" w:hAnsi="仿宋" w:eastAsia="仿宋"/>
          <w:b/>
          <w:kern w:val="2"/>
          <w:sz w:val="32"/>
          <w:lang w:val="en-US" w:eastAsia="zh-CN"/>
        </w:rPr>
        <w:t>检测要求</w:t>
      </w:r>
    </w:p>
    <w:p>
      <w:pPr>
        <w:pStyle w:val="7"/>
        <w:spacing w:before="284" w:beforeLines="0" w:after="0" w:afterLines="0"/>
        <w:ind w:firstLine="321" w:firstLineChars="100"/>
        <w:rPr>
          <w:rFonts w:hint="default" w:ascii="Times New Roman" w:hAnsi="Times New Roman" w:eastAsia="仿宋"/>
          <w:b/>
          <w:kern w:val="2"/>
          <w:sz w:val="32"/>
          <w:lang w:val="en-US" w:eastAsia="zh-CN"/>
        </w:rPr>
      </w:pPr>
      <w:r>
        <w:rPr>
          <w:rFonts w:hint="default" w:ascii="Times New Roman" w:hAnsi="Times New Roman" w:eastAsia="仿宋"/>
          <w:b/>
          <w:kern w:val="2"/>
          <w:sz w:val="32"/>
          <w:lang w:val="en-US" w:eastAsia="zh-CN"/>
        </w:rPr>
        <w:t>1</w:t>
      </w:r>
      <w:r>
        <w:rPr>
          <w:rFonts w:hint="eastAsia" w:ascii="Times New Roman" w:hAnsi="仿宋" w:eastAsia="仿宋"/>
          <w:b/>
          <w:kern w:val="2"/>
          <w:sz w:val="32"/>
          <w:lang w:val="en-US" w:eastAsia="zh-CN"/>
        </w:rPr>
        <w:t>、检测准备</w:t>
      </w:r>
    </w:p>
    <w:p>
      <w:pPr>
        <w:pStyle w:val="7"/>
        <w:spacing w:before="28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(1)</w:t>
      </w:r>
      <w:r>
        <w:rPr>
          <w:rFonts w:hint="eastAsia" w:ascii="Times New Roman" w:hAnsi="仿宋" w:eastAsia="仿宋"/>
          <w:kern w:val="2"/>
          <w:sz w:val="32"/>
          <w:lang w:val="en-US" w:eastAsia="zh-CN"/>
        </w:rPr>
        <w:t>检测人员应熟悉被检样品的检测技术标准及相关程序文件要求</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经过培训和考核后</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持证上岗。</w:t>
      </w:r>
    </w:p>
    <w:p>
      <w:pPr>
        <w:pStyle w:val="7"/>
        <w:spacing w:before="28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(2)</w:t>
      </w:r>
      <w:r>
        <w:rPr>
          <w:rFonts w:hint="eastAsia" w:ascii="Times New Roman" w:hAnsi="仿宋" w:eastAsia="仿宋"/>
          <w:kern w:val="2"/>
          <w:sz w:val="32"/>
          <w:lang w:val="en-US" w:eastAsia="zh-CN"/>
        </w:rPr>
        <w:t>检测用仪器设备应在检定有效期内</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试剂和标准物质应在有效期内</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实验环境条件应符合检测要求。</w:t>
      </w:r>
    </w:p>
    <w:p>
      <w:pPr>
        <w:pStyle w:val="7"/>
        <w:spacing w:before="281" w:beforeLines="0" w:after="0" w:afterLines="0"/>
        <w:ind w:firstLine="321" w:firstLineChars="100"/>
        <w:rPr>
          <w:rFonts w:hint="default" w:ascii="Times New Roman" w:hAnsi="Times New Roman" w:eastAsia="仿宋"/>
          <w:b/>
          <w:kern w:val="2"/>
          <w:sz w:val="32"/>
          <w:lang w:val="en-US" w:eastAsia="zh-CN"/>
        </w:rPr>
      </w:pPr>
      <w:r>
        <w:rPr>
          <w:rFonts w:hint="default" w:ascii="Times New Roman" w:hAnsi="Times New Roman" w:eastAsia="仿宋"/>
          <w:b/>
          <w:kern w:val="2"/>
          <w:sz w:val="32"/>
          <w:lang w:val="en-US" w:eastAsia="zh-CN"/>
        </w:rPr>
        <w:t>2</w:t>
      </w:r>
      <w:r>
        <w:rPr>
          <w:rFonts w:hint="eastAsia" w:ascii="Times New Roman" w:hAnsi="仿宋" w:eastAsia="仿宋"/>
          <w:b/>
          <w:kern w:val="2"/>
          <w:sz w:val="32"/>
          <w:lang w:val="en-US" w:eastAsia="zh-CN"/>
        </w:rPr>
        <w:t>、检测过程控制</w:t>
      </w:r>
    </w:p>
    <w:p>
      <w:pPr>
        <w:pStyle w:val="7"/>
        <w:spacing w:before="279"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(1)</w:t>
      </w:r>
      <w:r>
        <w:rPr>
          <w:rFonts w:hint="eastAsia" w:ascii="Times New Roman" w:hAnsi="仿宋" w:eastAsia="仿宋"/>
          <w:kern w:val="2"/>
          <w:sz w:val="32"/>
          <w:lang w:val="en-US" w:eastAsia="zh-CN"/>
        </w:rPr>
        <w:t>在每个检测批次中应加入内控样品、参考物质或标准品。</w:t>
      </w:r>
    </w:p>
    <w:p>
      <w:pPr>
        <w:pStyle w:val="7"/>
        <w:spacing w:before="28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(2)</w:t>
      </w:r>
      <w:r>
        <w:rPr>
          <w:rFonts w:hint="eastAsia" w:ascii="Times New Roman" w:hAnsi="仿宋" w:eastAsia="仿宋"/>
          <w:kern w:val="2"/>
          <w:sz w:val="32"/>
          <w:lang w:val="en-US" w:eastAsia="zh-CN"/>
        </w:rPr>
        <w:t>认真填写检测原始记录</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原始记录字迹要工整、清晰</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信息要全面。</w:t>
      </w:r>
    </w:p>
    <w:p>
      <w:pPr>
        <w:pStyle w:val="7"/>
        <w:spacing w:before="28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(3)</w:t>
      </w:r>
      <w:r>
        <w:rPr>
          <w:rFonts w:hint="eastAsia" w:ascii="Times New Roman" w:hAnsi="仿宋" w:eastAsia="仿宋"/>
          <w:kern w:val="2"/>
          <w:sz w:val="32"/>
          <w:lang w:val="en-US" w:eastAsia="zh-CN"/>
        </w:rPr>
        <w:t>准确使用计算公式、计量单位和相关符号</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计算结果允许误差应符合标准规定</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保证数据处理和计算无误。</w:t>
      </w:r>
    </w:p>
    <w:p>
      <w:pPr>
        <w:pStyle w:val="7"/>
        <w:spacing w:before="28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(4)</w:t>
      </w:r>
      <w:r>
        <w:rPr>
          <w:rFonts w:hint="eastAsia" w:ascii="Times New Roman" w:hAnsi="仿宋" w:eastAsia="仿宋"/>
          <w:kern w:val="2"/>
          <w:sz w:val="32"/>
          <w:lang w:val="en-US" w:eastAsia="zh-CN"/>
        </w:rPr>
        <w:t>对筛选出的疑似阳性样品应进行确证。</w:t>
      </w:r>
    </w:p>
    <w:p>
      <w:pPr>
        <w:pStyle w:val="7"/>
        <w:spacing w:before="279"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(5)</w:t>
      </w:r>
      <w:r>
        <w:rPr>
          <w:rFonts w:hint="eastAsia" w:ascii="Times New Roman" w:hAnsi="仿宋" w:eastAsia="仿宋"/>
          <w:kern w:val="2"/>
          <w:sz w:val="32"/>
          <w:lang w:val="en-US" w:eastAsia="zh-CN"/>
        </w:rPr>
        <w:t>在检测过程中</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如出现以下问题</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应按要求逐级申请复检。</w:t>
      </w:r>
    </w:p>
    <w:p>
      <w:pPr>
        <w:pStyle w:val="8"/>
        <w:spacing w:before="0" w:beforeLines="0" w:after="0" w:afterLines="0"/>
        <w:ind w:firstLine="480" w:firstLineChars="150"/>
        <w:rPr>
          <w:rFonts w:hint="default" w:ascii="Times New Roman" w:hAnsi="Times New Roman" w:eastAsia="仿宋"/>
          <w:kern w:val="2"/>
          <w:sz w:val="32"/>
          <w:lang w:val="en-US" w:eastAsia="zh-CN"/>
        </w:rPr>
      </w:pPr>
      <w:r>
        <w:rPr>
          <w:rFonts w:hint="eastAsia" w:ascii="仿宋" w:hAnsi="仿宋" w:eastAsia="仿宋"/>
          <w:kern w:val="2"/>
          <w:sz w:val="32"/>
          <w:lang w:val="en-US" w:eastAsia="zh-CN"/>
        </w:rPr>
        <w:t>①</w:t>
      </w:r>
      <w:r>
        <w:rPr>
          <w:rFonts w:hint="eastAsia" w:ascii="Times New Roman" w:hAnsi="仿宋" w:eastAsia="仿宋"/>
          <w:kern w:val="2"/>
          <w:sz w:val="32"/>
          <w:lang w:val="en-US" w:eastAsia="zh-CN"/>
        </w:rPr>
        <w:t>对临界值、离散数据、不符合标准规定的检出限的检测结果应进行复检。</w:t>
      </w:r>
    </w:p>
    <w:p>
      <w:pPr>
        <w:pStyle w:val="8"/>
        <w:spacing w:before="281" w:beforeLines="0" w:after="0" w:afterLines="0"/>
        <w:ind w:firstLine="320" w:firstLineChars="100"/>
        <w:rPr>
          <w:rFonts w:hint="default" w:ascii="Times New Roman" w:hAnsi="Times New Roman" w:eastAsia="仿宋"/>
          <w:kern w:val="2"/>
          <w:sz w:val="32"/>
          <w:lang w:val="en-US" w:eastAsia="zh-CN"/>
        </w:rPr>
      </w:pPr>
      <w:r>
        <w:rPr>
          <w:rFonts w:hint="eastAsia" w:ascii="仿宋" w:hAnsi="仿宋" w:eastAsia="仿宋"/>
          <w:kern w:val="2"/>
          <w:sz w:val="32"/>
          <w:lang w:val="en-US" w:eastAsia="zh-CN"/>
        </w:rPr>
        <w:t>②</w:t>
      </w:r>
      <w:r>
        <w:rPr>
          <w:rFonts w:hint="eastAsia" w:ascii="Times New Roman" w:hAnsi="仿宋" w:eastAsia="仿宋"/>
          <w:kern w:val="2"/>
          <w:sz w:val="32"/>
          <w:lang w:val="en-US" w:eastAsia="zh-CN"/>
        </w:rPr>
        <w:t>检测过程中发现异常情况</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如停水、停电、仪器故障、环境变化等</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有可能影响检验结果时应进行复检。</w:t>
      </w:r>
    </w:p>
    <w:p>
      <w:pPr>
        <w:pStyle w:val="8"/>
        <w:spacing w:before="281" w:beforeLines="0" w:after="0" w:afterLines="0"/>
        <w:ind w:firstLine="320" w:firstLineChars="100"/>
        <w:rPr>
          <w:rFonts w:hint="default" w:ascii="Times New Roman" w:hAnsi="Times New Roman" w:eastAsia="仿宋"/>
          <w:kern w:val="2"/>
          <w:sz w:val="32"/>
          <w:lang w:val="en-US" w:eastAsia="zh-CN"/>
        </w:rPr>
      </w:pPr>
      <w:r>
        <w:rPr>
          <w:rFonts w:hint="eastAsia" w:ascii="仿宋" w:hAnsi="仿宋" w:eastAsia="仿宋"/>
          <w:kern w:val="2"/>
          <w:sz w:val="32"/>
          <w:lang w:val="en-US" w:eastAsia="zh-CN"/>
        </w:rPr>
        <w:t>③</w:t>
      </w:r>
      <w:r>
        <w:rPr>
          <w:rFonts w:hint="eastAsia" w:ascii="Times New Roman" w:hAnsi="仿宋" w:eastAsia="仿宋"/>
          <w:kern w:val="2"/>
          <w:sz w:val="32"/>
          <w:lang w:val="en-US" w:eastAsia="zh-CN"/>
        </w:rPr>
        <w:t>各级审核人员对检测结果提出异议的</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检测人员又解释不清的</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应进行复检。</w:t>
      </w:r>
    </w:p>
    <w:p>
      <w:pPr>
        <w:pStyle w:val="8"/>
        <w:spacing w:before="287" w:beforeLines="0" w:after="0" w:afterLines="0"/>
        <w:ind w:firstLine="321" w:firstLineChars="100"/>
        <w:rPr>
          <w:rFonts w:hint="default" w:ascii="Times New Roman" w:hAnsi="Times New Roman" w:eastAsia="仿宋"/>
          <w:b/>
          <w:kern w:val="2"/>
          <w:sz w:val="32"/>
          <w:lang w:val="en-US" w:eastAsia="zh-CN"/>
        </w:rPr>
      </w:pPr>
      <w:r>
        <w:rPr>
          <w:rFonts w:hint="default" w:ascii="Times New Roman" w:hAnsi="Times New Roman" w:eastAsia="仿宋"/>
          <w:b/>
          <w:kern w:val="2"/>
          <w:sz w:val="32"/>
          <w:lang w:val="en-US" w:eastAsia="zh-CN"/>
        </w:rPr>
        <w:t>(</w:t>
      </w:r>
      <w:r>
        <w:rPr>
          <w:rFonts w:hint="eastAsia" w:ascii="Times New Roman" w:hAnsi="仿宋" w:eastAsia="仿宋"/>
          <w:b/>
          <w:kern w:val="2"/>
          <w:sz w:val="32"/>
          <w:lang w:val="en-US" w:eastAsia="zh-CN"/>
        </w:rPr>
        <w:t>四</w:t>
      </w:r>
      <w:r>
        <w:rPr>
          <w:rFonts w:hint="default" w:ascii="Times New Roman" w:hAnsi="Times New Roman" w:eastAsia="仿宋"/>
          <w:b/>
          <w:kern w:val="2"/>
          <w:sz w:val="32"/>
          <w:lang w:val="en-US" w:eastAsia="zh-CN"/>
        </w:rPr>
        <w:t>)</w:t>
      </w:r>
      <w:r>
        <w:rPr>
          <w:rFonts w:hint="eastAsia" w:ascii="Times New Roman" w:hAnsi="仿宋" w:eastAsia="仿宋"/>
          <w:b/>
          <w:kern w:val="2"/>
          <w:sz w:val="32"/>
          <w:lang w:val="en-US" w:eastAsia="zh-CN"/>
        </w:rPr>
        <w:t>检验结果的处置</w:t>
      </w:r>
    </w:p>
    <w:p>
      <w:pPr>
        <w:pStyle w:val="8"/>
        <w:spacing w:before="284" w:beforeLines="0" w:after="0" w:afterLines="0"/>
        <w:ind w:firstLine="640" w:firstLineChars="200"/>
        <w:rPr>
          <w:rFonts w:hint="default" w:ascii="Times New Roman" w:hAnsi="Times New Roman" w:eastAsia="仿宋"/>
          <w:kern w:val="2"/>
          <w:sz w:val="32"/>
          <w:lang w:val="en-US" w:eastAsia="zh-CN"/>
        </w:rPr>
      </w:pPr>
      <w:r>
        <w:rPr>
          <w:rFonts w:hint="eastAsia" w:ascii="Times New Roman" w:hAnsi="仿宋" w:eastAsia="仿宋"/>
          <w:kern w:val="2"/>
          <w:sz w:val="32"/>
          <w:lang w:val="en-US" w:eastAsia="zh-CN"/>
        </w:rPr>
        <w:t>承担单位完成检验后应及时将检验报告发送到被抽检单位。</w:t>
      </w:r>
    </w:p>
    <w:p>
      <w:pPr>
        <w:pStyle w:val="8"/>
        <w:spacing w:before="281" w:beforeLines="0" w:after="0" w:afterLines="0"/>
        <w:ind w:firstLine="320" w:firstLineChars="100"/>
        <w:rPr>
          <w:rFonts w:hint="default" w:ascii="Times New Roman" w:hAnsi="Times New Roman" w:eastAsia="仿宋"/>
          <w:kern w:val="2"/>
          <w:sz w:val="32"/>
          <w:lang w:val="en-US" w:eastAsia="zh-CN"/>
        </w:rPr>
      </w:pPr>
      <w:r>
        <w:rPr>
          <w:rFonts w:hint="eastAsia" w:ascii="Times New Roman" w:hAnsi="仿宋" w:eastAsia="仿宋"/>
          <w:kern w:val="2"/>
          <w:sz w:val="32"/>
          <w:lang w:val="en-US" w:eastAsia="zh-CN"/>
        </w:rPr>
        <w:t>对不合格产品</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应以特快专递将检验报告发送到被检单位</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在经营或使用企业</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户</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抽样的产品还应同时通知标称的生产企业</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确认送达并保留相关凭证。承担单位在发送检测报告的同时</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应告知异议处理程序。</w:t>
      </w:r>
    </w:p>
    <w:p>
      <w:pPr>
        <w:pStyle w:val="8"/>
        <w:spacing w:before="287" w:beforeLines="0" w:after="0" w:afterLines="0"/>
        <w:ind w:firstLine="321" w:firstLineChars="100"/>
        <w:rPr>
          <w:rFonts w:hint="default" w:ascii="Times New Roman" w:hAnsi="Times New Roman" w:eastAsia="仿宋"/>
          <w:b/>
          <w:kern w:val="2"/>
          <w:sz w:val="32"/>
          <w:lang w:val="en-US" w:eastAsia="zh-CN"/>
        </w:rPr>
      </w:pPr>
      <w:r>
        <w:rPr>
          <w:rFonts w:hint="default" w:ascii="Times New Roman" w:hAnsi="Times New Roman" w:eastAsia="仿宋"/>
          <w:b/>
          <w:kern w:val="2"/>
          <w:sz w:val="32"/>
          <w:lang w:val="en-US" w:eastAsia="zh-CN"/>
        </w:rPr>
        <w:t>(</w:t>
      </w:r>
      <w:r>
        <w:rPr>
          <w:rFonts w:hint="eastAsia" w:ascii="Times New Roman" w:hAnsi="仿宋" w:eastAsia="仿宋"/>
          <w:b/>
          <w:kern w:val="2"/>
          <w:sz w:val="32"/>
          <w:lang w:val="en-US" w:eastAsia="zh-CN"/>
        </w:rPr>
        <w:t>五</w:t>
      </w:r>
      <w:r>
        <w:rPr>
          <w:rFonts w:hint="default" w:ascii="Times New Roman" w:hAnsi="Times New Roman" w:eastAsia="仿宋"/>
          <w:b/>
          <w:kern w:val="2"/>
          <w:sz w:val="32"/>
          <w:lang w:val="en-US" w:eastAsia="zh-CN"/>
        </w:rPr>
        <w:t>)</w:t>
      </w:r>
      <w:r>
        <w:rPr>
          <w:rFonts w:hint="eastAsia" w:ascii="Times New Roman" w:hAnsi="仿宋" w:eastAsia="仿宋"/>
          <w:b/>
          <w:kern w:val="2"/>
          <w:sz w:val="32"/>
          <w:lang w:val="en-US" w:eastAsia="zh-CN"/>
        </w:rPr>
        <w:t>异议处理</w:t>
      </w:r>
    </w:p>
    <w:p>
      <w:pPr>
        <w:pStyle w:val="8"/>
        <w:spacing w:before="284" w:beforeLines="0" w:after="0" w:afterLines="0"/>
        <w:ind w:firstLine="480" w:firstLineChars="150"/>
        <w:rPr>
          <w:rFonts w:hint="default" w:ascii="Times New Roman" w:hAnsi="Times New Roman" w:eastAsia="仿宋"/>
          <w:kern w:val="2"/>
          <w:sz w:val="32"/>
          <w:lang w:val="en-US" w:eastAsia="zh-CN"/>
        </w:rPr>
      </w:pPr>
      <w:r>
        <w:rPr>
          <w:rFonts w:hint="eastAsia" w:ascii="Times New Roman" w:hAnsi="仿宋" w:eastAsia="仿宋"/>
          <w:kern w:val="2"/>
          <w:sz w:val="32"/>
          <w:lang w:val="en-US" w:eastAsia="zh-CN"/>
        </w:rPr>
        <w:t>被检单位对检验结果有异议的</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应当在接到《检验报告》之日起</w:t>
      </w:r>
      <w:r>
        <w:rPr>
          <w:rFonts w:hint="default" w:ascii="Times New Roman" w:hAnsi="Times New Roman" w:eastAsia="仿宋"/>
          <w:kern w:val="2"/>
          <w:sz w:val="32"/>
          <w:lang w:val="en-US" w:eastAsia="zh-CN"/>
        </w:rPr>
        <w:t>5</w:t>
      </w:r>
      <w:r>
        <w:rPr>
          <w:rFonts w:hint="eastAsia" w:ascii="Times New Roman" w:hAnsi="仿宋" w:eastAsia="仿宋"/>
          <w:kern w:val="2"/>
          <w:sz w:val="32"/>
          <w:lang w:val="en-US" w:eastAsia="zh-CN"/>
        </w:rPr>
        <w:t>日内</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向承担单位提出书面异议申请</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逾期未提出异议的</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视为认可检验结果。承担单位收到被检单位异议申请后</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应当在</w:t>
      </w:r>
      <w:r>
        <w:rPr>
          <w:rFonts w:hint="default" w:ascii="Times New Roman" w:hAnsi="Times New Roman" w:eastAsia="仿宋"/>
          <w:kern w:val="2"/>
          <w:sz w:val="32"/>
          <w:lang w:val="en-US" w:eastAsia="zh-CN"/>
        </w:rPr>
        <w:t>5</w:t>
      </w:r>
      <w:r>
        <w:rPr>
          <w:rFonts w:hint="eastAsia" w:ascii="Times New Roman" w:hAnsi="仿宋" w:eastAsia="仿宋"/>
          <w:kern w:val="2"/>
          <w:sz w:val="32"/>
          <w:lang w:val="en-US" w:eastAsia="zh-CN"/>
        </w:rPr>
        <w:t>日内做出书面答复。需复检的</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应与申请方共同确认留存样品的有效性后实施复检。微生物指标不接受复检。</w:t>
      </w:r>
    </w:p>
    <w:p>
      <w:pPr>
        <w:pStyle w:val="8"/>
        <w:spacing w:before="276" w:beforeLines="0" w:after="0" w:afterLines="0"/>
        <w:ind w:firstLine="321" w:firstLineChars="100"/>
        <w:rPr>
          <w:rFonts w:hint="default" w:ascii="Times New Roman" w:hAnsi="Times New Roman" w:eastAsia="仿宋"/>
          <w:b/>
          <w:kern w:val="2"/>
          <w:sz w:val="32"/>
          <w:lang w:val="en-US" w:eastAsia="zh-CN"/>
        </w:rPr>
      </w:pPr>
      <w:r>
        <w:rPr>
          <w:rFonts w:hint="eastAsia" w:ascii="Times New Roman" w:hAnsi="仿宋" w:eastAsia="仿宋"/>
          <w:b/>
          <w:kern w:val="2"/>
          <w:sz w:val="32"/>
          <w:lang w:val="en-US" w:eastAsia="zh-CN"/>
        </w:rPr>
        <w:t>三、监测结果的应用</w:t>
      </w:r>
    </w:p>
    <w:p>
      <w:pPr>
        <w:pStyle w:val="8"/>
        <w:spacing w:before="269"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一</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承担单位在异议处理程序完成后</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应在</w:t>
      </w:r>
      <w:r>
        <w:rPr>
          <w:rFonts w:hint="default" w:ascii="Times New Roman" w:hAnsi="Times New Roman" w:eastAsia="仿宋"/>
          <w:kern w:val="2"/>
          <w:sz w:val="32"/>
          <w:lang w:val="en-US" w:eastAsia="zh-CN"/>
        </w:rPr>
        <w:t>3</w:t>
      </w:r>
      <w:r>
        <w:rPr>
          <w:rFonts w:hint="eastAsia" w:ascii="Times New Roman" w:hAnsi="仿宋" w:eastAsia="仿宋"/>
          <w:kern w:val="2"/>
          <w:sz w:val="32"/>
          <w:lang w:val="en-US" w:eastAsia="zh-CN"/>
        </w:rPr>
        <w:t>个工作日内将不合格产品信息上报《饲料质量安全监测信息上报系统》。饲料监测工作小组应在</w:t>
      </w:r>
      <w:r>
        <w:rPr>
          <w:rFonts w:hint="default" w:ascii="Times New Roman" w:hAnsi="Times New Roman" w:eastAsia="仿宋"/>
          <w:kern w:val="2"/>
          <w:sz w:val="32"/>
          <w:lang w:val="en-US" w:eastAsia="zh-CN"/>
        </w:rPr>
        <w:t>2</w:t>
      </w:r>
      <w:r>
        <w:rPr>
          <w:rFonts w:hint="eastAsia" w:ascii="Times New Roman" w:hAnsi="仿宋" w:eastAsia="仿宋"/>
          <w:kern w:val="2"/>
          <w:sz w:val="32"/>
          <w:lang w:val="en-US" w:eastAsia="zh-CN"/>
        </w:rPr>
        <w:t>个工作日内审核上报的不合格产品信息</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并报农业部全国饲料工作办公室。省级畜牧饲料主管部门收到《饲料质量安全监测信息上报系统》自动发送不合格产品信息后</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应及时组织对不合格产品依法进行处理。</w:t>
      </w:r>
    </w:p>
    <w:p>
      <w:pPr>
        <w:pStyle w:val="9"/>
        <w:spacing w:before="28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二</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承担单位应协助当地畜牧饲料主管部门依法查处不合格企业和产品。畜牧饲料主管部门应将处理情况及时上报农业部全国饲料工作办公室。</w:t>
      </w:r>
    </w:p>
    <w:p>
      <w:pPr>
        <w:pStyle w:val="9"/>
        <w:spacing w:before="279"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三</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在饲料经营和使用环节检出的不合格产品属其他省饲料企业生产的</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还应同时向生产企业所在省级畜牧饲料主管部门发送检验报告。</w:t>
      </w:r>
    </w:p>
    <w:p>
      <w:pPr>
        <w:pStyle w:val="9"/>
        <w:spacing w:before="28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四</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省级畜牧饲料主管部门收到外省饲料监测机构发送的不合格饲料产品检验报告后</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应依法对不合格产品进行查处</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同时对该企业和产品进行跟踪监测。</w:t>
      </w:r>
    </w:p>
    <w:p>
      <w:pPr>
        <w:pStyle w:val="9"/>
        <w:spacing w:before="275" w:beforeLines="0" w:after="0" w:afterLines="0"/>
        <w:ind w:firstLine="321" w:firstLineChars="100"/>
        <w:rPr>
          <w:rFonts w:hint="default" w:ascii="Times New Roman" w:hAnsi="Times New Roman" w:eastAsia="仿宋"/>
          <w:b/>
          <w:kern w:val="2"/>
          <w:sz w:val="32"/>
          <w:lang w:val="en-US" w:eastAsia="zh-CN"/>
        </w:rPr>
      </w:pPr>
      <w:r>
        <w:rPr>
          <w:rFonts w:hint="eastAsia" w:ascii="Times New Roman" w:hAnsi="仿宋" w:eastAsia="仿宋"/>
          <w:b/>
          <w:kern w:val="2"/>
          <w:sz w:val="32"/>
          <w:lang w:val="en-US" w:eastAsia="zh-CN"/>
        </w:rPr>
        <w:t>四、监测结果汇总分析</w:t>
      </w:r>
    </w:p>
    <w:p>
      <w:pPr>
        <w:pStyle w:val="9"/>
        <w:spacing w:before="27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一</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承担单位应如实上报监测结果</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保证监测结果准确、客观。</w:t>
      </w:r>
      <w:r>
        <w:rPr>
          <w:rFonts w:hint="default" w:ascii="Times New Roman" w:hAnsi="Times New Roman" w:eastAsia="仿宋"/>
          <w:kern w:val="2"/>
          <w:sz w:val="32"/>
          <w:lang w:val="en-US" w:eastAsia="zh-CN"/>
        </w:rPr>
        <w:t xml:space="preserve"> </w:t>
      </w:r>
      <w:r>
        <w:rPr>
          <w:rFonts w:hint="eastAsia" w:ascii="Times New Roman" w:hAnsi="仿宋" w:eastAsia="仿宋"/>
          <w:kern w:val="2"/>
          <w:sz w:val="32"/>
          <w:lang w:val="en-US" w:eastAsia="zh-CN"/>
        </w:rPr>
        <w:t>对所提供的数据、材料的真实性和公正性负责。</w:t>
      </w:r>
    </w:p>
    <w:p>
      <w:pPr>
        <w:pStyle w:val="9"/>
        <w:spacing w:before="28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二</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承担单位应按照监测结果汇总表的要求</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认真填写各种信息</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并进行监测结果分析和总结。</w:t>
      </w:r>
    </w:p>
    <w:p>
      <w:pPr>
        <w:pStyle w:val="9"/>
        <w:spacing w:before="28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三</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承担单位应在监测计划规定的要求和时间内</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将监测结果及总结分析报告报送监测结果汇总单位</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同时抄报饲料监测工作小组。</w:t>
      </w:r>
    </w:p>
    <w:p>
      <w:pPr>
        <w:pStyle w:val="10"/>
        <w:spacing w:before="0"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四</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监测结果汇总单位应加强对监测工作的组织和协调</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提供必要的技术支持</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按监测要求汇总、分析数据</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及时将监测结果和工作总结报饲料监测工作小组</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同时抄报农业部全国饲料工作办公室。</w:t>
      </w:r>
    </w:p>
    <w:p>
      <w:pPr>
        <w:pStyle w:val="10"/>
        <w:spacing w:before="28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五</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饲料监测工作小组应组织专家对监测结果进行审核、统计、分析、汇总。对监测工作进行全面分析总结</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并在规定的时间内将监测结果和工作总结上报农业部全国饲料工作办公室。饲料监测工作小组还应加强对监测工作的调研</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及时组织相关的培训和宣传工作。</w:t>
      </w:r>
    </w:p>
    <w:p>
      <w:pPr>
        <w:pStyle w:val="10"/>
        <w:spacing w:before="279"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六</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农业部全国饲料工作办公室组织专家对所有承担单位的工作质量进行评价。对不按时完成任务、监测数据差错多、总结分析报告质量差以及检验能力比对考核不合格的单位给予通报批评</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并根据实际情况在下一个年度减少或停止其承担饲料监测任务。</w:t>
      </w:r>
    </w:p>
    <w:p>
      <w:pPr>
        <w:pStyle w:val="10"/>
        <w:spacing w:before="28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七</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饲料监测领导小组应组织专家对承担单位的工作质量进行监督抽查。</w:t>
      </w:r>
    </w:p>
    <w:p>
      <w:pPr>
        <w:pStyle w:val="10"/>
        <w:spacing w:before="276" w:beforeLines="0" w:after="0" w:afterLines="0"/>
        <w:ind w:firstLine="320" w:firstLineChars="100"/>
        <w:rPr>
          <w:rFonts w:hint="default" w:ascii="Times New Roman" w:hAnsi="Times New Roman" w:eastAsia="仿宋"/>
          <w:kern w:val="2"/>
          <w:sz w:val="32"/>
          <w:lang w:val="en-US" w:eastAsia="zh-CN"/>
        </w:rPr>
      </w:pPr>
      <w:r>
        <w:rPr>
          <w:rFonts w:hint="eastAsia" w:ascii="Times New Roman" w:hAnsi="仿宋" w:eastAsia="仿宋"/>
          <w:kern w:val="2"/>
          <w:sz w:val="32"/>
          <w:lang w:val="en-US" w:eastAsia="zh-CN"/>
        </w:rPr>
        <w:t>五、监测纪律</w:t>
      </w:r>
    </w:p>
    <w:p>
      <w:pPr>
        <w:pStyle w:val="10"/>
        <w:spacing w:before="269"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一</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承担单位不得参与以饲料监督检查等名目开展的有偿活动</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不得向企业颁发饲料监督检查合格证书等。</w:t>
      </w:r>
    </w:p>
    <w:p>
      <w:pPr>
        <w:pStyle w:val="10"/>
        <w:spacing w:before="279"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二</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承担单位不得向被检单位收取检测费用。</w:t>
      </w:r>
    </w:p>
    <w:p>
      <w:pPr>
        <w:pStyle w:val="10"/>
        <w:spacing w:before="281"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三</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承担单位对有关抽样方案、被检单位名单等具体安排应严格保密。检测结果和被检单位信息只能由任务下达部门发布。</w:t>
      </w:r>
    </w:p>
    <w:p>
      <w:pPr>
        <w:pStyle w:val="11"/>
        <w:spacing w:before="287"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四</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已封样品在送达实验室之前</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任何人不得擅自开封或更换</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否则该样品作废</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并追究相关人员的责任。</w:t>
      </w:r>
    </w:p>
    <w:p>
      <w:pPr>
        <w:pStyle w:val="11"/>
        <w:spacing w:before="287"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五</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承担单位如发现抽样人员抽样行为不规范</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应立即停止有关抽样人员的抽样工作</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并按有关规定及时纠正。</w:t>
      </w:r>
    </w:p>
    <w:p>
      <w:pPr>
        <w:pStyle w:val="11"/>
        <w:spacing w:before="287" w:beforeLines="0" w:after="0" w:afterLines="0"/>
        <w:ind w:firstLine="320" w:firstLineChars="100"/>
        <w:rPr>
          <w:rFonts w:hint="default" w:ascii="Times New Roman" w:hAnsi="Times New Roman" w:eastAsia="仿宋"/>
          <w:kern w:val="2"/>
          <w:sz w:val="32"/>
          <w:lang w:val="en-US" w:eastAsia="zh-CN"/>
        </w:rPr>
      </w:pP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六</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承担单位在监测过程中发现问题或遇到特殊情况</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应及时向监测汇总单位报告</w:t>
      </w:r>
      <w:r>
        <w:rPr>
          <w:rFonts w:hint="default" w:ascii="Times New Roman" w:hAnsi="Times New Roman" w:eastAsia="仿宋"/>
          <w:kern w:val="2"/>
          <w:sz w:val="32"/>
          <w:lang w:val="en-US" w:eastAsia="zh-CN"/>
        </w:rPr>
        <w:t>,</w:t>
      </w:r>
      <w:r>
        <w:rPr>
          <w:rFonts w:hint="eastAsia" w:ascii="Times New Roman" w:hAnsi="仿宋" w:eastAsia="仿宋"/>
          <w:kern w:val="2"/>
          <w:sz w:val="32"/>
          <w:lang w:val="en-US" w:eastAsia="zh-CN"/>
        </w:rPr>
        <w:t>监测汇总单位应及时将处理情况上报农业部全国饲料工作办公室。</w:t>
      </w:r>
    </w:p>
    <w:p>
      <w:pPr>
        <w:rPr>
          <w:rFonts w:hint="eastAsia" w:eastAsia="宋体"/>
          <w:lang w:val="en-US" w:eastAsia="zh-CN"/>
        </w:rPr>
      </w:pPr>
      <w:r>
        <w:rPr>
          <w:rFonts w:hint="default" w:ascii="Times New Roman" w:hAnsi="Times New Roman" w:eastAsia="仿宋"/>
          <w:sz w:val="32"/>
        </w:rPr>
        <w:t>(</w:t>
      </w:r>
      <w:r>
        <w:rPr>
          <w:rFonts w:hint="eastAsia" w:ascii="Times New Roman" w:hAnsi="仿宋" w:eastAsia="仿宋"/>
          <w:sz w:val="32"/>
        </w:rPr>
        <w:t>七</w:t>
      </w:r>
      <w:r>
        <w:rPr>
          <w:rFonts w:hint="default" w:ascii="Times New Roman" w:hAnsi="Times New Roman" w:eastAsia="仿宋"/>
          <w:sz w:val="32"/>
        </w:rPr>
        <w:t>)</w:t>
      </w:r>
      <w:r>
        <w:rPr>
          <w:rFonts w:hint="eastAsia" w:ascii="Times New Roman" w:hAnsi="仿宋" w:eastAsia="仿宋"/>
          <w:sz w:val="32"/>
        </w:rPr>
        <w:t>抽样人员应衣着整齐</w:t>
      </w:r>
      <w:r>
        <w:rPr>
          <w:rFonts w:hint="default" w:ascii="Times New Roman" w:hAnsi="Times New Roman" w:eastAsia="仿宋"/>
          <w:sz w:val="32"/>
        </w:rPr>
        <w:t>,</w:t>
      </w:r>
      <w:r>
        <w:rPr>
          <w:rFonts w:hint="eastAsia" w:ascii="Times New Roman" w:hAnsi="仿宋" w:eastAsia="仿宋"/>
          <w:sz w:val="32"/>
        </w:rPr>
        <w:t>态度端正</w:t>
      </w:r>
      <w:r>
        <w:rPr>
          <w:rFonts w:hint="default" w:ascii="Times New Roman" w:hAnsi="Times New Roman" w:eastAsia="仿宋"/>
          <w:sz w:val="32"/>
        </w:rPr>
        <w:t>,</w:t>
      </w:r>
      <w:r>
        <w:rPr>
          <w:rFonts w:hint="eastAsia" w:ascii="Times New Roman" w:hAnsi="仿宋" w:eastAsia="仿宋"/>
          <w:sz w:val="32"/>
        </w:rPr>
        <w:t>秉公办事</w:t>
      </w:r>
      <w:r>
        <w:rPr>
          <w:rFonts w:hint="default" w:ascii="Times New Roman" w:hAnsi="Times New Roman" w:eastAsia="仿宋"/>
          <w:sz w:val="32"/>
        </w:rPr>
        <w:t>,</w:t>
      </w:r>
      <w:r>
        <w:rPr>
          <w:rFonts w:hint="eastAsia" w:ascii="Times New Roman" w:hAnsi="仿宋" w:eastAsia="仿宋"/>
          <w:sz w:val="32"/>
        </w:rPr>
        <w:t>严格执法</w:t>
      </w:r>
      <w:r>
        <w:rPr>
          <w:rFonts w:hint="default" w:ascii="Times New Roman" w:hAnsi="Times New Roman" w:eastAsia="仿宋"/>
          <w:sz w:val="32"/>
        </w:rPr>
        <w:t>,</w:t>
      </w:r>
      <w:r>
        <w:rPr>
          <w:rFonts w:hint="eastAsia" w:ascii="Times New Roman" w:hAnsi="仿宋" w:eastAsia="仿宋"/>
          <w:sz w:val="32"/>
        </w:rPr>
        <w:t>树立饲料质量监测工作人员的良好形象。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1"/>
    <w:family w:val="roman"/>
    <w:pitch w:val="default"/>
    <w:sig w:usb0="00000000" w:usb1="00000000" w:usb2="00000000" w:usb3="00000000" w:csb0="00040001" w:csb1="00000000"/>
  </w:font>
  <w:font w:name="Verdana">
    <w:panose1 w:val="020B0604030504040204"/>
    <w:charset w:val="00"/>
    <w:family w:val="swiss"/>
    <w:pitch w:val="default"/>
    <w:sig w:usb0="00000287" w:usb1="00000000"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宋体_x0002_胭.鳬..">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
    <w:altName w:val="宋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VEGUP+ArialUnicodeMS">
    <w:altName w:val="Segoe Print"/>
    <w:panose1 w:val="00000000000000000000"/>
    <w:charset w:val="01"/>
    <w:family w:val="swiss"/>
    <w:pitch w:val="default"/>
    <w:sig w:usb0="00000000" w:usb1="00000000" w:usb2="01010101" w:usb3="01010101" w:csb0="01010101" w:csb1="01010101"/>
  </w:font>
  <w:font w:name="AKLRBT+ArialUnicodeMS">
    <w:altName w:val="Segoe Print"/>
    <w:panose1 w:val="00000000000000000000"/>
    <w:charset w:val="01"/>
    <w:family w:val="swiss"/>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81AAA"/>
    <w:rsid w:val="03A8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Normal_43"/>
    <w:unhideWhenUsed/>
    <w:qFormat/>
    <w:uiPriority w:val="0"/>
    <w:pPr>
      <w:spacing w:before="120" w:beforeLines="0" w:after="240" w:afterLines="0"/>
      <w:jc w:val="both"/>
    </w:pPr>
    <w:rPr>
      <w:rFonts w:hint="default" w:ascii="Calibri" w:hAnsi="Calibri" w:eastAsia="Calibri"/>
      <w:sz w:val="22"/>
      <w:szCs w:val="22"/>
      <w:lang w:val="ru-RU" w:eastAsia="en-US"/>
    </w:rPr>
  </w:style>
  <w:style w:type="paragraph" w:customStyle="1" w:styleId="5">
    <w:name w:val="Normal_44"/>
    <w:unhideWhenUsed/>
    <w:qFormat/>
    <w:uiPriority w:val="0"/>
    <w:pPr>
      <w:spacing w:before="120" w:beforeLines="0" w:after="240" w:afterLines="0"/>
      <w:jc w:val="both"/>
    </w:pPr>
    <w:rPr>
      <w:rFonts w:hint="default" w:ascii="Calibri" w:hAnsi="Calibri" w:eastAsia="Calibri"/>
      <w:sz w:val="22"/>
      <w:szCs w:val="22"/>
      <w:lang w:val="ru-RU" w:eastAsia="en-US"/>
    </w:rPr>
  </w:style>
  <w:style w:type="paragraph" w:customStyle="1" w:styleId="6">
    <w:name w:val="Normal_45"/>
    <w:unhideWhenUsed/>
    <w:qFormat/>
    <w:uiPriority w:val="0"/>
    <w:pPr>
      <w:spacing w:before="120" w:beforeLines="0" w:after="240" w:afterLines="0"/>
      <w:jc w:val="both"/>
    </w:pPr>
    <w:rPr>
      <w:rFonts w:hint="default" w:ascii="Calibri" w:hAnsi="Calibri" w:eastAsia="Calibri"/>
      <w:sz w:val="22"/>
      <w:szCs w:val="22"/>
      <w:lang w:val="ru-RU" w:eastAsia="en-US"/>
    </w:rPr>
  </w:style>
  <w:style w:type="paragraph" w:customStyle="1" w:styleId="7">
    <w:name w:val="Normal_46"/>
    <w:unhideWhenUsed/>
    <w:qFormat/>
    <w:uiPriority w:val="0"/>
    <w:pPr>
      <w:spacing w:before="120" w:beforeLines="0" w:after="240" w:afterLines="0"/>
      <w:jc w:val="both"/>
    </w:pPr>
    <w:rPr>
      <w:rFonts w:hint="default" w:ascii="Calibri" w:hAnsi="Calibri" w:eastAsia="Calibri"/>
      <w:sz w:val="22"/>
      <w:szCs w:val="22"/>
      <w:lang w:val="ru-RU" w:eastAsia="en-US"/>
    </w:rPr>
  </w:style>
  <w:style w:type="paragraph" w:customStyle="1" w:styleId="8">
    <w:name w:val="Normal_47"/>
    <w:unhideWhenUsed/>
    <w:qFormat/>
    <w:uiPriority w:val="0"/>
    <w:pPr>
      <w:spacing w:before="120" w:beforeLines="0" w:after="240" w:afterLines="0"/>
      <w:jc w:val="both"/>
    </w:pPr>
    <w:rPr>
      <w:rFonts w:hint="default" w:ascii="Calibri" w:hAnsi="Calibri" w:eastAsia="Calibri"/>
      <w:sz w:val="22"/>
      <w:szCs w:val="22"/>
      <w:lang w:val="ru-RU" w:eastAsia="en-US"/>
    </w:rPr>
  </w:style>
  <w:style w:type="paragraph" w:customStyle="1" w:styleId="9">
    <w:name w:val="Normal_48"/>
    <w:unhideWhenUsed/>
    <w:qFormat/>
    <w:uiPriority w:val="0"/>
    <w:pPr>
      <w:spacing w:before="120" w:beforeLines="0" w:after="240" w:afterLines="0"/>
      <w:jc w:val="both"/>
    </w:pPr>
    <w:rPr>
      <w:rFonts w:hint="default" w:ascii="Calibri" w:hAnsi="Calibri" w:eastAsia="Calibri"/>
      <w:sz w:val="22"/>
      <w:szCs w:val="22"/>
      <w:lang w:val="ru-RU" w:eastAsia="en-US"/>
    </w:rPr>
  </w:style>
  <w:style w:type="paragraph" w:customStyle="1" w:styleId="10">
    <w:name w:val="Normal_49"/>
    <w:unhideWhenUsed/>
    <w:qFormat/>
    <w:uiPriority w:val="0"/>
    <w:pPr>
      <w:spacing w:before="120" w:beforeLines="0" w:after="240" w:afterLines="0"/>
      <w:jc w:val="both"/>
    </w:pPr>
    <w:rPr>
      <w:rFonts w:hint="default" w:ascii="Calibri" w:hAnsi="Calibri" w:eastAsia="Calibri"/>
      <w:sz w:val="22"/>
      <w:szCs w:val="22"/>
      <w:lang w:val="ru-RU" w:eastAsia="en-US"/>
    </w:rPr>
  </w:style>
  <w:style w:type="paragraph" w:customStyle="1" w:styleId="11">
    <w:name w:val="Normal_50"/>
    <w:unhideWhenUsed/>
    <w:qFormat/>
    <w:uiPriority w:val="0"/>
    <w:pPr>
      <w:spacing w:before="120" w:beforeLines="0" w:after="240" w:afterLines="0"/>
      <w:jc w:val="both"/>
    </w:pPr>
    <w:rPr>
      <w:rFonts w:hint="default" w:ascii="Calibri" w:hAnsi="Calibri" w:eastAsia="Calibri"/>
      <w:sz w:val="22"/>
      <w:szCs w:val="22"/>
      <w:lang w:val="ru-RU"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2018-01-17T09:02:00Z</dcterms:created>
  <dc:creator>Administrator</dc:creator>
  <cp:lastModifiedBy>Administrator</cp:lastModifiedBy>
  <dcterms:modified xsi:type="dcterms:W3CDTF">2018-01-17T09:02:52Z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