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both"/>
        <w:textAlignment w:val="auto"/>
        <w:outlineLvl w:val="9"/>
        <w:rPr>
          <w:rFonts w:hint="eastAsia" w:ascii="黑体" w:hAnsi="黑体" w:eastAsia="黑体" w:cs="黑体"/>
          <w:sz w:val="32"/>
          <w:szCs w:val="32"/>
          <w:lang w:val="en-US" w:eastAsia="zh-CN"/>
        </w:rPr>
      </w:pPr>
      <w:r>
        <w:rPr>
          <w:rFonts w:hint="eastAsia" w:eastAsia="方正仿宋简体"/>
          <w:color w:val="000000"/>
          <w:sz w:val="24"/>
          <w:szCs w:val="24"/>
          <w:lang w:val="en-US" w:eastAsia="zh-CN"/>
        </w:rPr>
        <w:t>附件</w:t>
      </w:r>
      <w:r>
        <w:rPr>
          <w:rFonts w:hint="eastAsia" w:ascii="黑体" w:hAnsi="黑体" w:eastAsia="黑体" w:cs="黑体"/>
          <w:sz w:val="24"/>
          <w:szCs w:val="24"/>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center"/>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国务院决定第三批取消中央指定地方实施的行政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许可事项的目录（农业部分）</w:t>
      </w:r>
    </w:p>
    <w:bookmarkEnd w:id="0"/>
    <w:tbl>
      <w:tblPr>
        <w:tblStyle w:val="6"/>
        <w:tblpPr w:leftFromText="180" w:rightFromText="180" w:vertAnchor="text" w:horzAnchor="page" w:tblpX="1417" w:tblpY="360"/>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874"/>
        <w:gridCol w:w="1327"/>
        <w:gridCol w:w="850"/>
        <w:gridCol w:w="1191"/>
        <w:gridCol w:w="296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23"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序号</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《决定》中的名称</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审批部门</w:t>
            </w:r>
          </w:p>
        </w:tc>
        <w:tc>
          <w:tcPr>
            <w:tcW w:w="850"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 xml:space="preserve"> 省直部门权责清单中的名称（合并或下放后的事项名称）</w:t>
            </w:r>
          </w:p>
        </w:tc>
        <w:tc>
          <w:tcPr>
            <w:tcW w:w="1191" w:type="dxa"/>
            <w:vAlign w:val="top"/>
          </w:tcPr>
          <w:p>
            <w:pPr>
              <w:jc w:val="both"/>
              <w:rPr>
                <w:rFonts w:hint="eastAsia" w:ascii="宋体" w:hAnsi="宋体" w:cs="宋体"/>
                <w:sz w:val="18"/>
                <w:szCs w:val="18"/>
                <w:vertAlign w:val="baseline"/>
                <w:lang w:eastAsia="zh-CN"/>
              </w:rPr>
            </w:pPr>
          </w:p>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设定依据</w:t>
            </w:r>
          </w:p>
        </w:tc>
        <w:tc>
          <w:tcPr>
            <w:tcW w:w="2965" w:type="dxa"/>
            <w:vAlign w:val="top"/>
          </w:tcPr>
          <w:p>
            <w:pPr>
              <w:jc w:val="both"/>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加强事中事后监管措施</w:t>
            </w:r>
          </w:p>
        </w:tc>
        <w:tc>
          <w:tcPr>
            <w:tcW w:w="1389"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重大动物疫病病料采集审批</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省级兽医行政主管部门</w:t>
            </w:r>
          </w:p>
        </w:tc>
        <w:tc>
          <w:tcPr>
            <w:tcW w:w="850"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重大动物疫病病料采集审批</w:t>
            </w: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《重大动物疫情应急条例》《国务院关于取消和下放一批行政审批项目的决定》（国发</w:t>
            </w:r>
            <w:r>
              <w:rPr>
                <w:rFonts w:hint="eastAsia" w:ascii="宋体" w:hAnsi="宋体" w:cs="宋体"/>
                <w:sz w:val="18"/>
                <w:szCs w:val="18"/>
                <w:vertAlign w:val="baseline"/>
                <w:lang w:val="en-US" w:eastAsia="zh-CN"/>
              </w:rPr>
              <w:t>[2013]44号</w:t>
            </w:r>
            <w:r>
              <w:rPr>
                <w:rFonts w:hint="eastAsia" w:ascii="宋体" w:hAnsi="宋体" w:cs="宋体"/>
                <w:sz w:val="18"/>
                <w:szCs w:val="18"/>
                <w:vertAlign w:val="baseline"/>
                <w:lang w:eastAsia="zh-CN"/>
              </w:rPr>
              <w:t>）</w:t>
            </w:r>
          </w:p>
        </w:tc>
        <w:tc>
          <w:tcPr>
            <w:tcW w:w="2965"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取消审批后，兽医行政主管部门要强化“从事高致性或疑似高致病性病原微生物实验活动审批”，严格把关。</w:t>
            </w:r>
            <w:r>
              <w:rPr>
                <w:rFonts w:hint="eastAsia" w:ascii="宋体" w:hAnsi="宋体" w:eastAsia="宋体" w:cs="宋体"/>
                <w:color w:val="333333"/>
                <w:sz w:val="20"/>
                <w:szCs w:val="20"/>
              </w:rPr>
              <w:t>农业部要加快制定实施《动物疫情报告、通报和公布管理办法》，进一步加强和规范动物疫情管理工作，防控动物疫病风险。</w:t>
            </w:r>
          </w:p>
        </w:tc>
        <w:tc>
          <w:tcPr>
            <w:tcW w:w="1389" w:type="dxa"/>
            <w:vAlign w:val="top"/>
          </w:tcPr>
          <w:p>
            <w:pPr>
              <w:jc w:val="both"/>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2</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在渔港内的航道、港池、锚地和停泊区从事捕捞、养殖等生产活动审批</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市、县级渔政渔港监督管理机关</w:t>
            </w:r>
          </w:p>
        </w:tc>
        <w:tc>
          <w:tcPr>
            <w:tcW w:w="850" w:type="dxa"/>
            <w:vAlign w:val="top"/>
          </w:tcPr>
          <w:p>
            <w:pPr>
              <w:jc w:val="both"/>
              <w:rPr>
                <w:rFonts w:hint="eastAsia" w:ascii="宋体" w:hAnsi="宋体" w:cs="宋体"/>
                <w:sz w:val="18"/>
                <w:szCs w:val="18"/>
                <w:vertAlign w:val="baseline"/>
                <w:lang w:eastAsia="zh-CN"/>
              </w:rPr>
            </w:pP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《中华人民共和国渔港水域交通安全管理条例》</w:t>
            </w:r>
          </w:p>
        </w:tc>
        <w:tc>
          <w:tcPr>
            <w:tcW w:w="2965"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取消审批后，渔政渔港监督管理机关要严格执行“在渔港内的航道、港池、锚地和停泊区，禁止从事有碍海上交通安全的捕捞、养殖等生产活动”的规定，加大执法监督力度，加强政策宣传，畅通举报渠道，加强日常巡查检查，严格查处违法违规行为。</w:t>
            </w:r>
          </w:p>
        </w:tc>
        <w:tc>
          <w:tcPr>
            <w:tcW w:w="1389" w:type="dxa"/>
            <w:vAlign w:val="top"/>
          </w:tcPr>
          <w:p>
            <w:pPr>
              <w:jc w:val="both"/>
              <w:rPr>
                <w:rFonts w:hint="eastAsia" w:ascii="宋体" w:hAnsi="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3</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境内申请肥料临时登记</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省级农业行政主管部门</w:t>
            </w:r>
          </w:p>
        </w:tc>
        <w:tc>
          <w:tcPr>
            <w:tcW w:w="850"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复混肥、配方肥（不含叶面肥）、精制有机肥、床土调酸剂的登记审批</w:t>
            </w: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《中华人民共和国农业法》《肥料登记管理办法》（农业部令</w:t>
            </w:r>
            <w:r>
              <w:rPr>
                <w:rFonts w:hint="eastAsia" w:ascii="宋体" w:hAnsi="宋体" w:cs="宋体"/>
                <w:sz w:val="18"/>
                <w:szCs w:val="18"/>
                <w:vertAlign w:val="baseline"/>
                <w:lang w:val="en-US" w:eastAsia="zh-CN"/>
              </w:rPr>
              <w:t>2000年第32号，2004年7月1日予以修改</w:t>
            </w:r>
            <w:r>
              <w:rPr>
                <w:rFonts w:hint="eastAsia" w:ascii="宋体" w:hAnsi="宋体" w:cs="宋体"/>
                <w:sz w:val="18"/>
                <w:szCs w:val="18"/>
                <w:vertAlign w:val="baseline"/>
                <w:lang w:eastAsia="zh-CN"/>
              </w:rPr>
              <w:t>）</w:t>
            </w:r>
          </w:p>
        </w:tc>
        <w:tc>
          <w:tcPr>
            <w:tcW w:w="2965"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取消审批后，农业行政主管部门直接受理肥料登记申请，要加大肥料打假力度，对肥料产品质量开展“双随机”抽查，并将抽查结果向社会公布。</w:t>
            </w:r>
          </w:p>
        </w:tc>
        <w:tc>
          <w:tcPr>
            <w:tcW w:w="1389"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“境内申请肥料临时登记</w:t>
            </w:r>
            <w:r>
              <w:rPr>
                <w:rFonts w:hint="eastAsia" w:ascii="宋体" w:hAnsi="宋体" w:cs="宋体"/>
                <w:sz w:val="18"/>
                <w:szCs w:val="18"/>
                <w:vertAlign w:val="baseline"/>
                <w:lang w:val="en-US" w:eastAsia="zh-CN"/>
              </w:rPr>
              <w:t>”仅为“</w:t>
            </w:r>
            <w:r>
              <w:rPr>
                <w:rFonts w:hint="eastAsia" w:ascii="宋体" w:hAnsi="宋体" w:cs="宋体"/>
                <w:sz w:val="18"/>
                <w:szCs w:val="18"/>
                <w:vertAlign w:val="baseline"/>
                <w:lang w:eastAsia="zh-CN"/>
              </w:rPr>
              <w:t>复混肥、配方肥（不含叶面肥）、精制有机肥、床土调酸剂的登记审批”中的一项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国内农业转基因生物标识审查</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省、市、县级农业行政主管部门</w:t>
            </w:r>
          </w:p>
        </w:tc>
        <w:tc>
          <w:tcPr>
            <w:tcW w:w="850" w:type="dxa"/>
            <w:vAlign w:val="top"/>
          </w:tcPr>
          <w:p>
            <w:pPr>
              <w:jc w:val="both"/>
              <w:rPr>
                <w:rFonts w:hint="eastAsia" w:ascii="宋体" w:hAnsi="宋体" w:cs="宋体"/>
                <w:sz w:val="18"/>
                <w:szCs w:val="18"/>
                <w:vertAlign w:val="baseline"/>
                <w:lang w:eastAsia="zh-CN"/>
              </w:rPr>
            </w:pP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《农业转基因生物安全管理条例》《农业转基因生物标识管理办法》（农业部令</w:t>
            </w:r>
            <w:r>
              <w:rPr>
                <w:rFonts w:hint="eastAsia" w:ascii="宋体" w:hAnsi="宋体" w:cs="宋体"/>
                <w:sz w:val="18"/>
                <w:szCs w:val="18"/>
                <w:vertAlign w:val="baseline"/>
                <w:lang w:val="en-US" w:eastAsia="zh-CN"/>
              </w:rPr>
              <w:t>2002年第10号，2004年7月1日予以修改</w:t>
            </w:r>
            <w:r>
              <w:rPr>
                <w:rFonts w:hint="eastAsia" w:ascii="宋体" w:hAnsi="宋体" w:cs="宋体"/>
                <w:sz w:val="18"/>
                <w:szCs w:val="18"/>
                <w:vertAlign w:val="baseline"/>
                <w:lang w:eastAsia="zh-CN"/>
              </w:rPr>
              <w:t>）</w:t>
            </w:r>
          </w:p>
        </w:tc>
        <w:tc>
          <w:tcPr>
            <w:tcW w:w="2965"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农业行政主管部门要通过开展随机抽查、设立举报平台、建立黑名单制度等方式，加强对农业转基因生物标识的监督检查，及时公开不按规定标识的企业信息。</w:t>
            </w:r>
          </w:p>
        </w:tc>
        <w:tc>
          <w:tcPr>
            <w:tcW w:w="1389"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 xml:space="preserve">已由省政府法制办[2015]1号公告取消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5</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从境外引进蚕遗传资源初审</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省级畜牧兽医行政主管部门</w:t>
            </w:r>
          </w:p>
        </w:tc>
        <w:tc>
          <w:tcPr>
            <w:tcW w:w="850"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从境外引进畜禽遗传资源的初审</w:t>
            </w: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《中华人民共和国畜牧法》</w:t>
            </w:r>
          </w:p>
        </w:tc>
        <w:tc>
          <w:tcPr>
            <w:tcW w:w="2965"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取消地方初审后，农业部直接受理审批，直接承担相应责任，并进一步明确各级畜牧兽医行政主管部门的监管责任</w:t>
            </w:r>
            <w:r>
              <w:rPr>
                <w:rFonts w:hint="eastAsia" w:ascii="宋体" w:hAnsi="宋体" w:cs="宋体"/>
                <w:sz w:val="18"/>
                <w:szCs w:val="18"/>
                <w:vertAlign w:val="baseline"/>
                <w:lang w:val="en-US" w:eastAsia="zh-CN"/>
              </w:rPr>
              <w:t>。</w:t>
            </w:r>
          </w:p>
        </w:tc>
        <w:tc>
          <w:tcPr>
            <w:tcW w:w="1389"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蚕遗传资源仅为畜禽遗传资源中的一类。</w:t>
            </w:r>
            <w:r>
              <w:rPr>
                <w:rFonts w:hint="eastAsia" w:ascii="宋体" w:hAnsi="宋体" w:cs="宋体"/>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 w:type="dxa"/>
            <w:vAlign w:val="top"/>
          </w:tcPr>
          <w:p>
            <w:pPr>
              <w:jc w:val="both"/>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874"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在渔业行政主管部门管理的自然保护区的实验区开展参观、旅游活动审批</w:t>
            </w:r>
          </w:p>
        </w:tc>
        <w:tc>
          <w:tcPr>
            <w:tcW w:w="1327"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省级渔业行政主管部门</w:t>
            </w:r>
          </w:p>
        </w:tc>
        <w:tc>
          <w:tcPr>
            <w:tcW w:w="850" w:type="dxa"/>
            <w:vAlign w:val="top"/>
          </w:tcPr>
          <w:p>
            <w:pPr>
              <w:jc w:val="both"/>
              <w:rPr>
                <w:rFonts w:hint="eastAsia" w:ascii="宋体" w:hAnsi="宋体" w:cs="宋体"/>
                <w:sz w:val="18"/>
                <w:szCs w:val="18"/>
                <w:vertAlign w:val="baseline"/>
                <w:lang w:eastAsia="zh-CN"/>
              </w:rPr>
            </w:pPr>
          </w:p>
        </w:tc>
        <w:tc>
          <w:tcPr>
            <w:tcW w:w="1191" w:type="dxa"/>
            <w:vAlign w:val="top"/>
          </w:tcPr>
          <w:p>
            <w:pPr>
              <w:jc w:val="both"/>
              <w:rPr>
                <w:rFonts w:hint="eastAsia" w:ascii="宋体" w:hAnsi="宋体" w:cs="宋体"/>
                <w:sz w:val="18"/>
                <w:szCs w:val="18"/>
                <w:vertAlign w:val="baseline"/>
                <w:lang w:eastAsia="zh-CN"/>
              </w:rPr>
            </w:pPr>
            <w:r>
              <w:rPr>
                <w:rFonts w:hint="eastAsia" w:ascii="宋体" w:hAnsi="宋体" w:cs="宋体"/>
                <w:sz w:val="18"/>
                <w:szCs w:val="18"/>
                <w:vertAlign w:val="baseline"/>
                <w:lang w:eastAsia="zh-CN"/>
              </w:rPr>
              <w:t>《中华人民共和国自然保护区条例》《国务院关于第六批取消和调整行政审批项目的决定》（国发</w:t>
            </w:r>
            <w:r>
              <w:rPr>
                <w:rFonts w:hint="eastAsia" w:ascii="宋体" w:hAnsi="宋体" w:cs="宋体"/>
                <w:sz w:val="18"/>
                <w:szCs w:val="18"/>
                <w:vertAlign w:val="baseline"/>
                <w:lang w:val="en-US" w:eastAsia="zh-CN"/>
              </w:rPr>
              <w:t>[2012]52号</w:t>
            </w:r>
            <w:r>
              <w:rPr>
                <w:rFonts w:hint="eastAsia" w:ascii="宋体" w:hAnsi="宋体" w:cs="宋体"/>
                <w:sz w:val="18"/>
                <w:szCs w:val="18"/>
                <w:vertAlign w:val="baseline"/>
                <w:lang w:eastAsia="zh-CN"/>
              </w:rPr>
              <w:t>）</w:t>
            </w:r>
          </w:p>
        </w:tc>
        <w:tc>
          <w:tcPr>
            <w:tcW w:w="2965" w:type="dxa"/>
            <w:vAlign w:val="top"/>
          </w:tcPr>
          <w:p>
            <w:pPr>
              <w:pStyle w:val="3"/>
              <w:keepNext w:val="0"/>
              <w:keepLines w:val="0"/>
              <w:widowControl/>
              <w:suppressLineNumbers w:val="0"/>
              <w:spacing w:before="0" w:beforeAutospacing="0" w:after="0" w:afterAutospacing="0" w:line="30" w:lineRule="atLeast"/>
              <w:ind w:left="0" w:right="0"/>
              <w:jc w:val="both"/>
              <w:rPr>
                <w:rFonts w:hint="default" w:ascii="Times New Roman" w:hAnsi="Times New Roman" w:cs="Times New Roman"/>
                <w:sz w:val="21"/>
                <w:szCs w:val="21"/>
              </w:rPr>
            </w:pPr>
            <w:r>
              <w:rPr>
                <w:rFonts w:hint="eastAsia" w:ascii="宋体" w:hAnsi="宋体" w:eastAsia="宋体" w:cs="宋体"/>
                <w:color w:val="333333"/>
                <w:sz w:val="20"/>
                <w:szCs w:val="20"/>
              </w:rPr>
              <w:t>取消审批后，渔业行政主管部门要在制定自然保护区总体规划和管理制度时提出具体要求，加大对保护区管理机构执行规划和制度的监督力度，同时完善应急预案，通过畅通举报渠道、开展随机抽查等方式加强监管。</w:t>
            </w:r>
          </w:p>
          <w:p>
            <w:pPr>
              <w:jc w:val="both"/>
              <w:rPr>
                <w:rFonts w:hint="eastAsia" w:ascii="宋体" w:hAnsi="宋体" w:cs="宋体"/>
                <w:sz w:val="18"/>
                <w:szCs w:val="18"/>
                <w:vertAlign w:val="baseline"/>
                <w:lang w:eastAsia="zh-CN"/>
              </w:rPr>
            </w:pPr>
          </w:p>
        </w:tc>
        <w:tc>
          <w:tcPr>
            <w:tcW w:w="1389" w:type="dxa"/>
            <w:vAlign w:val="top"/>
          </w:tcPr>
          <w:p>
            <w:pPr>
              <w:jc w:val="both"/>
              <w:rPr>
                <w:rFonts w:hint="eastAsia" w:ascii="宋体" w:hAnsi="宋体" w:cs="宋体"/>
                <w:sz w:val="18"/>
                <w:szCs w:val="18"/>
                <w:vertAlign w:val="baseline"/>
                <w:lang w:eastAsia="zh-CN"/>
              </w:rPr>
            </w:pPr>
          </w:p>
        </w:tc>
      </w:tr>
    </w:tbl>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40" w:lineRule="exact"/>
        <w:ind w:right="0" w:rightChars="0"/>
        <w:jc w:val="both"/>
        <w:textAlignment w:val="auto"/>
        <w:outlineLvl w:val="9"/>
        <w:rPr>
          <w:rFonts w:hint="eastAsia" w:eastAsia="方正仿宋简体"/>
          <w:color w:val="000000"/>
          <w:sz w:val="32"/>
          <w:szCs w:val="32"/>
          <w:lang w:val="en-US" w:eastAsia="zh-CN"/>
        </w:rPr>
      </w:pPr>
    </w:p>
    <w:p/>
    <w:sectPr>
      <w:headerReference r:id="rId3" w:type="default"/>
      <w:footerReference r:id="rId4" w:type="default"/>
      <w:pgSz w:w="11906" w:h="16838"/>
      <w:pgMar w:top="179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auto"/>
    <w:pitch w:val="default"/>
    <w:sig w:usb0="A00002EF" w:usb1="4000207B" w:usb2="00000000" w:usb3="00000000" w:csb0="2000009F" w:csb1="00000000"/>
  </w:font>
  <w:font w:name="方正大标宋简体">
    <w:altName w:val="宋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rect id="文本框5"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ooKvV7EB&#10;AABJAwAADgAAAAAAAAABACAAAAAfAQAAZHJzL2Uyb0RvYy54bWxQSwUGAAAAAAYABgBZAQAAQgUA&#10;AAAA&#10;">
              <v:path/>
              <v:fill on="f" focussize="0,0"/>
              <v:stroke on="f"/>
              <v:imagedata o:title=""/>
              <o:lock v:ext="edit" grouping="f" rotation="f" text="f"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E0E0B"/>
    <w:rsid w:val="775E0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2017-05-10T01:31:00Z</dcterms:created>
  <dc:creator>User</dc:creator>
  <cp:lastModifiedBy>User</cp:lastModifiedBy>
  <dcterms:modified xsi:type="dcterms:W3CDTF">2017-05-10T01:31:55Z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