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  <w:t xml:space="preserve">附表1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  <w:t xml:space="preserve">      </w:t>
      </w:r>
      <w:bookmarkStart w:id="0" w:name="_GoBack"/>
      <w:r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  <w:t>省人民政府决定取消的事项目录（其中涉及我委3项</w:t>
      </w:r>
      <w:r>
        <w:rPr>
          <w:rFonts w:hint="eastAsia" w:eastAsia="仿宋_GB2312" w:cs="Times New Roman"/>
          <w:b w:val="0"/>
          <w:snapToGrid/>
          <w:color w:val="000000"/>
          <w:sz w:val="32"/>
          <w:szCs w:val="32"/>
          <w:lang w:val="en-US" w:eastAsia="zh-CN"/>
        </w:rPr>
        <w:t>）</w:t>
      </w:r>
      <w:bookmarkEnd w:id="0"/>
      <w:r>
        <w:rPr>
          <w:rFonts w:hint="eastAsia" w:ascii="Times New Roman" w:hAnsi="Times New Roman" w:eastAsia="仿宋_GB2312" w:cs="Times New Roman"/>
          <w:b w:val="0"/>
          <w:snapToGrid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541"/>
        <w:gridCol w:w="223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取消依据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原实施机关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种子质量检验的机构及人员考核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《国务院关于取消和调整一批行政审批项目等事项的决定》（国发〔2014〕50号）已经将该审批事项下放省级农业行政主管部门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兽药生产初审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《国务院关于取消和调整一批行政审批项目等事项的决定》（国发〔2015〕11号）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3</w:t>
            </w:r>
          </w:p>
        </w:tc>
        <w:tc>
          <w:tcPr>
            <w:tcW w:w="3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国内农业转基因生物标识审查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原设定缺乏法律法规依据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省农委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1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_x0002_胭.鳬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4837"/>
    <w:rsid w:val="64974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2017-05-10T01:48:00Z</dcterms:created>
  <dc:creator>User</dc:creator>
  <cp:lastModifiedBy>User</cp:lastModifiedBy>
  <dcterms:modified xsi:type="dcterms:W3CDTF">2017-05-10T01:50:32Z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