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  <w:t xml:space="preserve">         </w:t>
      </w:r>
      <w:bookmarkStart w:id="0" w:name="_GoBack"/>
      <w:r>
        <w:rPr>
          <w:rFonts w:hint="eastAsia" w:eastAsia="仿宋_GB2312" w:cs="Times New Roman"/>
          <w:b/>
          <w:bCs/>
          <w:snapToGrid/>
          <w:color w:val="000000"/>
          <w:sz w:val="32"/>
          <w:szCs w:val="32"/>
          <w:lang w:val="en-US" w:eastAsia="zh-CN"/>
        </w:rPr>
        <w:t>合并后转为行政许可（其中涉及我委2项）</w:t>
      </w:r>
    </w:p>
    <w:bookmarkEnd w:id="0"/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41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合并前项目实施名称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合并后名称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法律依据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主要农作物品种推广应用前审定</w:t>
            </w:r>
          </w:p>
        </w:tc>
        <w:tc>
          <w:tcPr>
            <w:tcW w:w="17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主要农作物广应用前审定和引种审批</w:t>
            </w:r>
          </w:p>
        </w:tc>
        <w:tc>
          <w:tcPr>
            <w:tcW w:w="17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《中华人民共和国种子法》</w:t>
            </w:r>
          </w:p>
        </w:tc>
        <w:tc>
          <w:tcPr>
            <w:tcW w:w="17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主要农作物品种引种核准</w:t>
            </w:r>
          </w:p>
        </w:tc>
        <w:tc>
          <w:tcPr>
            <w:tcW w:w="17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40" w:lineRule="exact"/>
              <w:ind w:right="0" w:rightChars="0"/>
              <w:jc w:val="both"/>
              <w:textAlignment w:val="auto"/>
              <w:outlineLvl w:val="9"/>
              <w:rPr>
                <w:rFonts w:hint="eastAsia" w:eastAsia="仿宋_GB2312" w:cs="Times New Roman"/>
                <w:b w:val="0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b w:val="0"/>
          <w:snapToGrid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1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_x0002_胭.鳬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02C3D"/>
    <w:rsid w:val="45102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2017-05-10T01:48:00Z</dcterms:created>
  <dc:creator>User</dc:creator>
  <cp:lastModifiedBy>User</cp:lastModifiedBy>
  <dcterms:modified xsi:type="dcterms:W3CDTF">2017-05-10T01:51:08Z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