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bCs/>
          <w:snapToGrid/>
          <w:color w:val="000000"/>
          <w:sz w:val="32"/>
          <w:szCs w:val="32"/>
          <w:lang w:val="en-US" w:eastAsia="zh-CN"/>
        </w:rPr>
      </w:pPr>
      <w:r>
        <w:rPr>
          <w:rFonts w:hint="eastAsia" w:eastAsia="仿宋_GB2312" w:cs="Times New Roman"/>
          <w:b/>
          <w:bCs/>
          <w:snapToGrid/>
          <w:color w:val="000000"/>
          <w:sz w:val="32"/>
          <w:szCs w:val="32"/>
          <w:lang w:val="en-US" w:eastAsia="zh-CN"/>
        </w:rPr>
        <w:t xml:space="preserve">附表3 </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bCs/>
          <w:snapToGrid/>
          <w:color w:val="000000"/>
          <w:sz w:val="32"/>
          <w:szCs w:val="32"/>
          <w:lang w:val="en-US" w:eastAsia="zh-CN"/>
        </w:rPr>
      </w:pPr>
      <w:r>
        <w:rPr>
          <w:rFonts w:hint="eastAsia" w:eastAsia="仿宋_GB2312" w:cs="Times New Roman"/>
          <w:b/>
          <w:bCs/>
          <w:snapToGrid/>
          <w:color w:val="000000"/>
          <w:sz w:val="32"/>
          <w:szCs w:val="32"/>
          <w:lang w:val="en-US" w:eastAsia="zh-CN"/>
        </w:rPr>
        <w:t xml:space="preserve">           </w:t>
      </w:r>
      <w:bookmarkStart w:id="0" w:name="_GoBack"/>
      <w:r>
        <w:rPr>
          <w:rFonts w:hint="eastAsia" w:eastAsia="仿宋_GB2312" w:cs="Times New Roman"/>
          <w:b/>
          <w:bCs/>
          <w:snapToGrid/>
          <w:color w:val="000000"/>
          <w:sz w:val="32"/>
          <w:szCs w:val="32"/>
          <w:lang w:val="en-US" w:eastAsia="zh-CN"/>
        </w:rPr>
        <w:t>直接转为其他类（其中涉及我委11项）</w:t>
      </w:r>
    </w:p>
    <w:bookmarkEnd w:id="0"/>
    <w:tbl>
      <w:tblPr>
        <w:tblStyle w:val="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3321"/>
        <w:gridCol w:w="339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7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序号</w:t>
            </w:r>
          </w:p>
        </w:tc>
        <w:tc>
          <w:tcPr>
            <w:tcW w:w="332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项目名称</w:t>
            </w:r>
          </w:p>
        </w:tc>
        <w:tc>
          <w:tcPr>
            <w:tcW w:w="339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法律依据</w:t>
            </w:r>
          </w:p>
        </w:tc>
        <w:tc>
          <w:tcPr>
            <w:tcW w:w="120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7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1</w:t>
            </w:r>
          </w:p>
        </w:tc>
        <w:tc>
          <w:tcPr>
            <w:tcW w:w="332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★进出口农作物种子（苗）审核</w:t>
            </w:r>
          </w:p>
        </w:tc>
        <w:tc>
          <w:tcPr>
            <w:tcW w:w="339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《中华人民共和国种子法》《进出口农作物种子（苗）管理暂行办法》（农业部令第14号）</w:t>
            </w:r>
          </w:p>
        </w:tc>
        <w:tc>
          <w:tcPr>
            <w:tcW w:w="120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省农委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7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2</w:t>
            </w:r>
          </w:p>
        </w:tc>
        <w:tc>
          <w:tcPr>
            <w:tcW w:w="332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★农药田间药效试验申请初审</w:t>
            </w:r>
          </w:p>
        </w:tc>
        <w:tc>
          <w:tcPr>
            <w:tcW w:w="339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《农药管理条例》（国务院令第326号）</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《农药管理条例实施办法》（农业部令第20号）</w:t>
            </w:r>
          </w:p>
        </w:tc>
        <w:tc>
          <w:tcPr>
            <w:tcW w:w="120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省农委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7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3</w:t>
            </w:r>
          </w:p>
        </w:tc>
        <w:tc>
          <w:tcPr>
            <w:tcW w:w="332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★建立国家级种畜禽场初审</w:t>
            </w:r>
          </w:p>
        </w:tc>
        <w:tc>
          <w:tcPr>
            <w:tcW w:w="339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《种畜禽管理条例》（国务院令第153号）</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《省人民政府关于2012年度取消和调整行政许可项目的决定》（省政府令138号</w:t>
            </w:r>
          </w:p>
        </w:tc>
        <w:tc>
          <w:tcPr>
            <w:tcW w:w="120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省农委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7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4</w:t>
            </w:r>
          </w:p>
        </w:tc>
        <w:tc>
          <w:tcPr>
            <w:tcW w:w="332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★跨省、自治区、直辖市或者运往国外的</w:t>
            </w:r>
            <w:r>
              <w:rPr>
                <w:rFonts w:hint="eastAsia" w:eastAsia="仿宋_GB2312" w:cs="Times New Roman"/>
                <w:sz w:val="32"/>
                <w:szCs w:val="32"/>
                <w:lang w:val="en-US" w:eastAsia="zh-CN"/>
              </w:rPr>
              <w:t>高致病性病原微生物（毒）种或者样本的初审</w:t>
            </w:r>
          </w:p>
        </w:tc>
        <w:tc>
          <w:tcPr>
            <w:tcW w:w="339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《病原微生物实验室生物安全管理条例》（国务院令第424号）</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《省人民政府关于2012年度取消和调整行政许可项目的决定》（省政府令138号</w:t>
            </w:r>
          </w:p>
        </w:tc>
        <w:tc>
          <w:tcPr>
            <w:tcW w:w="120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省农委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7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5</w:t>
            </w:r>
          </w:p>
        </w:tc>
        <w:tc>
          <w:tcPr>
            <w:tcW w:w="332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★出口国家</w:t>
            </w:r>
            <w:r>
              <w:rPr>
                <w:rFonts w:hint="eastAsia" w:eastAsia="仿宋_GB2312" w:cs="Times New Roman"/>
                <w:sz w:val="32"/>
                <w:szCs w:val="32"/>
                <w:lang w:val="en-US" w:eastAsia="zh-CN"/>
              </w:rPr>
              <w:t xml:space="preserve">重点保护野生植物或者进口中国参加的国际公约所限制进出口的野生植物的初审 </w:t>
            </w:r>
          </w:p>
        </w:tc>
        <w:tc>
          <w:tcPr>
            <w:tcW w:w="339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《野生植物保护条例》（国务院令第204号）</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《省人民政府关于2012年度取消和调整行政许可项目的决定》（省政府令138号</w:t>
            </w:r>
          </w:p>
        </w:tc>
        <w:tc>
          <w:tcPr>
            <w:tcW w:w="120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省农委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7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6</w:t>
            </w:r>
          </w:p>
        </w:tc>
        <w:tc>
          <w:tcPr>
            <w:tcW w:w="332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★农药登记（农药临时登记、续展登记、正式登记、分装登记）初审</w:t>
            </w:r>
          </w:p>
        </w:tc>
        <w:tc>
          <w:tcPr>
            <w:tcW w:w="339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《农药管理条例》（国务院令第326号）</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《农药管理条例实施办法》（农业部令第38号）</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《省人民政府关于2012年度取消和调整行政许可项目的决定》（省政府令138号</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tc>
        <w:tc>
          <w:tcPr>
            <w:tcW w:w="120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省农委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7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7</w:t>
            </w:r>
          </w:p>
        </w:tc>
        <w:tc>
          <w:tcPr>
            <w:tcW w:w="332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★从境外引进畜禽遗传资源的初审</w:t>
            </w:r>
          </w:p>
        </w:tc>
        <w:tc>
          <w:tcPr>
            <w:tcW w:w="339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《中华人民共和国畜牧法》</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《省人民政府关于2012年度取消和调整行政许可项目的决定》（省政府令138号）</w:t>
            </w:r>
          </w:p>
        </w:tc>
        <w:tc>
          <w:tcPr>
            <w:tcW w:w="120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省农委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7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8</w:t>
            </w:r>
          </w:p>
        </w:tc>
        <w:tc>
          <w:tcPr>
            <w:tcW w:w="332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★向境外输出或者在境内与境外机构、个人合作研究利用列入保护名录的畜禽遗传资源的初审</w:t>
            </w:r>
          </w:p>
        </w:tc>
        <w:tc>
          <w:tcPr>
            <w:tcW w:w="339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《中华人民共和国畜牧法》</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《省人民政府关于2012年度取消和调整行政许可项目的决定》（省政府令138号）</w:t>
            </w:r>
          </w:p>
        </w:tc>
        <w:tc>
          <w:tcPr>
            <w:tcW w:w="120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省农委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7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9</w:t>
            </w:r>
          </w:p>
        </w:tc>
        <w:tc>
          <w:tcPr>
            <w:tcW w:w="332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★家畜卵子、冷冻精液、胚胎或者其他遗传材料生产许可证初审</w:t>
            </w:r>
          </w:p>
        </w:tc>
        <w:tc>
          <w:tcPr>
            <w:tcW w:w="339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《中华人民共和国畜牧法》</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《省人民政府关于2012年度取消和调整行政许可项目的决定》（省政府令138号）</w:t>
            </w:r>
          </w:p>
        </w:tc>
        <w:tc>
          <w:tcPr>
            <w:tcW w:w="120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省农委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7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10</w:t>
            </w:r>
          </w:p>
        </w:tc>
        <w:tc>
          <w:tcPr>
            <w:tcW w:w="332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农产品地理标志的受理和初审</w:t>
            </w:r>
          </w:p>
        </w:tc>
        <w:tc>
          <w:tcPr>
            <w:tcW w:w="339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《农产品地理标志管理办法 》（农业部令第11号）</w:t>
            </w:r>
          </w:p>
        </w:tc>
        <w:tc>
          <w:tcPr>
            <w:tcW w:w="120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省农委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27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11</w:t>
            </w:r>
          </w:p>
        </w:tc>
        <w:tc>
          <w:tcPr>
            <w:tcW w:w="332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农业机械推广鉴定</w:t>
            </w:r>
          </w:p>
        </w:tc>
        <w:tc>
          <w:tcPr>
            <w:tcW w:w="3399"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《农业机械试验鉴定办法》（农业部令第54号）《农业机械推广鉴定实施办法》（农业部公告第1438号）</w:t>
            </w:r>
          </w:p>
        </w:tc>
        <w:tc>
          <w:tcPr>
            <w:tcW w:w="1201"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省农机监理总站</w:t>
            </w:r>
          </w:p>
        </w:tc>
      </w:tr>
    </w:tbl>
    <w:p>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right="0" w:rightChars="0"/>
        <w:jc w:val="both"/>
        <w:textAlignment w:val="auto"/>
        <w:outlineLvl w:val="9"/>
        <w:rPr>
          <w:rFonts w:hint="eastAsia" w:ascii="Times New Roman" w:hAnsi="Times New Roman" w:eastAsia="仿宋_GB2312" w:cs="Times New Roman"/>
          <w:b w:val="0"/>
          <w:snapToGrid/>
          <w:color w:val="000000"/>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right="0" w:rightChars="0"/>
        <w:jc w:val="both"/>
        <w:textAlignment w:val="auto"/>
        <w:outlineLvl w:val="9"/>
        <w:rPr>
          <w:rFonts w:hint="eastAsia" w:ascii="Times New Roman" w:hAnsi="Times New Roman" w:eastAsia="仿宋_GB2312" w:cs="Times New Roman"/>
          <w:b w:val="0"/>
          <w:snapToGrid/>
          <w:color w:val="000000"/>
          <w:sz w:val="32"/>
          <w:szCs w:val="32"/>
          <w:lang w:val="en-US" w:eastAsia="zh-CN"/>
        </w:rPr>
      </w:pPr>
      <w:r>
        <w:rPr>
          <w:rFonts w:hint="eastAsia" w:eastAsia="仿宋_GB2312" w:cs="Times New Roman"/>
          <w:b w:val="0"/>
          <w:snapToGrid/>
          <w:color w:val="000000"/>
          <w:sz w:val="32"/>
          <w:szCs w:val="32"/>
          <w:vertAlign w:val="baseline"/>
          <w:lang w:val="en-US" w:eastAsia="zh-CN"/>
        </w:rPr>
        <w:t>注：标注“★”的为原行政许可和非行政许可事项</w:t>
      </w:r>
    </w:p>
    <w:p>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right="0" w:rightChars="0"/>
        <w:jc w:val="both"/>
        <w:textAlignment w:val="auto"/>
        <w:outlineLvl w:val="9"/>
        <w:rPr>
          <w:rFonts w:hint="eastAsia" w:ascii="Times New Roman" w:hAnsi="Times New Roman" w:eastAsia="仿宋_GB2312" w:cs="Times New Roman"/>
          <w:b w:val="0"/>
          <w:snapToGrid/>
          <w:color w:val="000000"/>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firstLine="640" w:firstLineChars="200"/>
        <w:jc w:val="right"/>
        <w:textAlignment w:val="auto"/>
        <w:outlineLvl w:val="9"/>
        <w:rPr>
          <w:rFonts w:hint="eastAsia" w:ascii="Times New Roman" w:hAnsi="Times New Roman" w:eastAsia="仿宋_GB2312" w:cs="Times New Roman"/>
          <w:b w:val="0"/>
          <w:snapToGrid/>
          <w:color w:val="000000"/>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firstLine="640" w:firstLineChars="200"/>
        <w:jc w:val="right"/>
        <w:textAlignment w:val="auto"/>
        <w:outlineLvl w:val="9"/>
        <w:rPr>
          <w:rFonts w:hint="eastAsia" w:ascii="Times New Roman" w:hAnsi="Times New Roman" w:eastAsia="仿宋_GB2312" w:cs="Times New Roman"/>
          <w:b w:val="0"/>
          <w:snapToGrid/>
          <w:color w:val="000000"/>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firstLine="640" w:firstLineChars="200"/>
        <w:jc w:val="right"/>
        <w:textAlignment w:val="auto"/>
        <w:outlineLvl w:val="9"/>
        <w:rPr>
          <w:rFonts w:hint="eastAsia" w:ascii="Times New Roman" w:hAnsi="Times New Roman" w:eastAsia="仿宋_GB2312" w:cs="Times New Roman"/>
          <w:b w:val="0"/>
          <w:snapToGrid/>
          <w:color w:val="00000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FF"/>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01"/>
    <w:family w:val="auto"/>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大标宋简体">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 w:name="华文仿宋">
    <w:altName w:val="宋体"/>
    <w:panose1 w:val="02010600040101010101"/>
    <w:charset w:val="86"/>
    <w:family w:val="auto"/>
    <w:pitch w:val="default"/>
    <w:sig w:usb0="00000000" w:usb1="00000000" w:usb2="00000000" w:usb3="00000000" w:csb0="0004009F" w:csb1="DFD70000"/>
  </w:font>
  <w:font w:name="宋体_x0002_胭.鳬..">
    <w:altName w:val="宋体"/>
    <w:panose1 w:val="00000000000000000000"/>
    <w:charset w:val="86"/>
    <w:family w:val="roma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
    <w:altName w:val="宋体"/>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7241A"/>
    <w:rsid w:val="1D8724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2017-05-10T01:49:00Z</dcterms:created>
  <dc:creator>User</dc:creator>
  <cp:lastModifiedBy>User</cp:lastModifiedBy>
  <dcterms:modified xsi:type="dcterms:W3CDTF">2017-05-10T01:51:52Z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