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05" w:rsidRDefault="00164B2B">
      <w:pPr>
        <w:spacing w:line="640" w:lineRule="exact"/>
        <w:jc w:val="left"/>
        <w:rPr>
          <w:rFonts w:ascii="黑体" w:eastAsia="黑体" w:hAnsi="黑体" w:cs="Times New Roman"/>
          <w:color w:val="000000"/>
          <w:sz w:val="28"/>
          <w:szCs w:val="32"/>
          <w:lang w:bidi="th-TH"/>
        </w:rPr>
      </w:pPr>
      <w:bookmarkStart w:id="0" w:name="_GoBack"/>
      <w:bookmarkEnd w:id="0"/>
      <w:r>
        <w:rPr>
          <w:rFonts w:ascii="黑体" w:eastAsia="黑体" w:hAnsi="黑体" w:cs="Times New Roman" w:hint="eastAsia"/>
          <w:color w:val="000000"/>
          <w:sz w:val="28"/>
          <w:szCs w:val="32"/>
          <w:lang w:bidi="th-TH"/>
        </w:rPr>
        <w:t>附件1</w:t>
      </w:r>
    </w:p>
    <w:p w:rsidR="00022A05" w:rsidRDefault="00022A05">
      <w:pPr>
        <w:spacing w:line="640" w:lineRule="exact"/>
        <w:jc w:val="center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</w:p>
    <w:p w:rsidR="00022A05" w:rsidRDefault="00164B2B">
      <w:pPr>
        <w:spacing w:line="640" w:lineRule="exact"/>
        <w:jc w:val="center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lang w:bidi="th-TH"/>
        </w:rPr>
        <w:t>2017年***县（市、区）绿色高产高效创建项目</w:t>
      </w:r>
    </w:p>
    <w:p w:rsidR="00022A05" w:rsidRDefault="00164B2B">
      <w:pPr>
        <w:spacing w:line="640" w:lineRule="exact"/>
        <w:jc w:val="center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lang w:bidi="th-TH"/>
        </w:rPr>
        <w:t>实施情况总结（提纲）</w:t>
      </w:r>
    </w:p>
    <w:p w:rsidR="00022A05" w:rsidRDefault="00022A05">
      <w:pPr>
        <w:spacing w:line="640" w:lineRule="exact"/>
        <w:jc w:val="center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</w:p>
    <w:p w:rsidR="00022A05" w:rsidRDefault="00164B2B">
      <w:pPr>
        <w:spacing w:line="640" w:lineRule="exac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lang w:bidi="th-TH"/>
        </w:rPr>
        <w:t>一、引言</w:t>
      </w:r>
    </w:p>
    <w:p w:rsidR="00022A05" w:rsidRDefault="00022A05">
      <w:pPr>
        <w:spacing w:line="640" w:lineRule="exac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</w:p>
    <w:p w:rsidR="00022A05" w:rsidRDefault="00164B2B">
      <w:pPr>
        <w:spacing w:line="640" w:lineRule="exac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lang w:bidi="th-TH"/>
        </w:rPr>
        <w:t>二、项目基本情况</w:t>
      </w:r>
    </w:p>
    <w:p w:rsidR="00022A05" w:rsidRDefault="00022A05">
      <w:pPr>
        <w:spacing w:line="640" w:lineRule="exac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</w:p>
    <w:p w:rsidR="00022A05" w:rsidRDefault="00164B2B">
      <w:pPr>
        <w:spacing w:line="640" w:lineRule="exac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lang w:bidi="th-TH"/>
        </w:rPr>
        <w:t>三、项目实施成效</w:t>
      </w:r>
    </w:p>
    <w:p w:rsidR="00022A05" w:rsidRDefault="00022A05">
      <w:pPr>
        <w:spacing w:line="640" w:lineRule="exac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</w:p>
    <w:p w:rsidR="00022A05" w:rsidRDefault="00164B2B">
      <w:pPr>
        <w:spacing w:line="640" w:lineRule="exac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lang w:bidi="th-TH"/>
        </w:rPr>
        <w:t>四、主要做法</w:t>
      </w:r>
    </w:p>
    <w:p w:rsidR="00022A05" w:rsidRDefault="00022A05">
      <w:pPr>
        <w:spacing w:line="640" w:lineRule="exac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</w:p>
    <w:p w:rsidR="00022A05" w:rsidRDefault="00164B2B">
      <w:pPr>
        <w:spacing w:line="640" w:lineRule="exac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lang w:bidi="th-TH"/>
        </w:rPr>
        <w:t>五、机制创新</w:t>
      </w:r>
    </w:p>
    <w:p w:rsidR="00022A05" w:rsidRDefault="00022A05">
      <w:pPr>
        <w:spacing w:line="640" w:lineRule="exac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</w:p>
    <w:p w:rsidR="00022A05" w:rsidRDefault="00164B2B">
      <w:pPr>
        <w:spacing w:line="640" w:lineRule="exac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lang w:bidi="th-TH"/>
        </w:rPr>
        <w:t>六、存在的问题</w:t>
      </w:r>
    </w:p>
    <w:p w:rsidR="00022A05" w:rsidRDefault="00022A05">
      <w:pPr>
        <w:spacing w:line="640" w:lineRule="exac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</w:p>
    <w:p w:rsidR="00022A05" w:rsidRDefault="00164B2B">
      <w:pPr>
        <w:spacing w:line="640" w:lineRule="exac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lang w:bidi="th-TH"/>
        </w:rPr>
        <w:t>七、建议</w:t>
      </w:r>
    </w:p>
    <w:p w:rsidR="00022A05" w:rsidRDefault="00164B2B">
      <w:pPr>
        <w:widowControl/>
        <w:jc w:val="left"/>
        <w:rPr>
          <w:rFonts w:ascii="黑体" w:eastAsia="黑体" w:hAnsi="黑体" w:cs="Times New Roman"/>
          <w:color w:val="000000"/>
          <w:sz w:val="28"/>
          <w:szCs w:val="32"/>
          <w:lang w:bidi="th-TH"/>
        </w:rPr>
        <w:sectPr w:rsidR="00022A05">
          <w:pgSz w:w="11906" w:h="16838"/>
          <w:pgMar w:top="1440" w:right="1502" w:bottom="1440" w:left="1502" w:header="851" w:footer="992" w:gutter="0"/>
          <w:cols w:space="0"/>
          <w:docGrid w:type="lines" w:linePitch="312"/>
        </w:sectPr>
      </w:pPr>
      <w:r>
        <w:rPr>
          <w:rFonts w:ascii="黑体" w:eastAsia="黑体" w:hAnsi="黑体" w:cs="Times New Roman"/>
          <w:color w:val="000000"/>
          <w:sz w:val="32"/>
          <w:szCs w:val="32"/>
          <w:lang w:bidi="th-TH"/>
        </w:rPr>
        <w:br w:type="page"/>
      </w:r>
    </w:p>
    <w:p w:rsidR="00022A05" w:rsidRDefault="00164B2B">
      <w:pPr>
        <w:spacing w:line="640" w:lineRule="exact"/>
        <w:jc w:val="left"/>
        <w:rPr>
          <w:rFonts w:ascii="黑体" w:eastAsia="黑体" w:hAnsi="黑体" w:cs="Times New Roman"/>
          <w:color w:val="000000"/>
          <w:sz w:val="28"/>
          <w:szCs w:val="32"/>
          <w:lang w:bidi="th-TH"/>
        </w:rPr>
      </w:pPr>
      <w:r>
        <w:rPr>
          <w:rFonts w:ascii="黑体" w:eastAsia="黑体" w:hAnsi="黑体" w:cs="Times New Roman" w:hint="eastAsia"/>
          <w:color w:val="000000"/>
          <w:sz w:val="28"/>
          <w:szCs w:val="32"/>
          <w:lang w:bidi="th-TH"/>
        </w:rPr>
        <w:lastRenderedPageBreak/>
        <w:t>附件2</w:t>
      </w:r>
    </w:p>
    <w:p w:rsidR="00022A05" w:rsidRDefault="00164B2B">
      <w:pPr>
        <w:spacing w:line="640" w:lineRule="exact"/>
        <w:jc w:val="center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lang w:bidi="th-TH"/>
        </w:rPr>
        <w:t>2017年贵州省绿色高产高效</w:t>
      </w:r>
      <w:proofErr w:type="gramStart"/>
      <w:r>
        <w:rPr>
          <w:rFonts w:ascii="黑体" w:eastAsia="黑体" w:hAnsi="黑体" w:cs="Times New Roman" w:hint="eastAsia"/>
          <w:color w:val="000000"/>
          <w:sz w:val="32"/>
          <w:szCs w:val="32"/>
          <w:lang w:bidi="th-TH"/>
        </w:rPr>
        <w:t>创建县</w:t>
      </w:r>
      <w:proofErr w:type="gramEnd"/>
      <w:r>
        <w:rPr>
          <w:rFonts w:ascii="黑体" w:eastAsia="黑体" w:hAnsi="黑体" w:cs="Times New Roman" w:hint="eastAsia"/>
          <w:color w:val="000000"/>
          <w:sz w:val="32"/>
          <w:szCs w:val="32"/>
          <w:lang w:bidi="th-TH"/>
        </w:rPr>
        <w:t>绩效考核评价表</w:t>
      </w:r>
    </w:p>
    <w:tbl>
      <w:tblPr>
        <w:tblW w:w="1390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997"/>
        <w:gridCol w:w="2835"/>
        <w:gridCol w:w="5670"/>
        <w:gridCol w:w="850"/>
        <w:gridCol w:w="2552"/>
      </w:tblGrid>
      <w:tr w:rsidR="00022A05">
        <w:trPr>
          <w:trHeight w:hRule="exact" w:val="482"/>
          <w:tblHeader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考核项目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满分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提供材料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一、面积、亩产、效益</w:t>
            </w:r>
          </w:p>
          <w:p w:rsidR="00022A05" w:rsidRDefault="00164B2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1.实施面积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完成和超额完成计划任务得5分；每少1个百分点，扣1分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应用证明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2.亩产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完成和超额计划亩产得5分；每低1个百分点扣1分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测产材料和应用证明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3.效益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完成和超额计划效益得5分；每低1个百分点扣1分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应用证明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二、技术指标</w:t>
            </w:r>
          </w:p>
          <w:p w:rsidR="00022A05" w:rsidRDefault="00164B2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1.绿色增产模式应用率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完成和超额计划面积得4分；每低1个百分点扣0.5分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图片和相关材料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2.良种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完成和超额计划面积得4分；每低1个百分点扣0.5分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销供种证明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3.规范化栽培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完成计划面积得4分；每低1个百分点扣0.5分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图片和相关材料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4.无公害栽培技术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完成计划面积得4分；每低1个百分点扣0.5分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图片和相关材料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5.绿色防控技术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完成和超额计划面积得4分；每低1个百分点扣0.5分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图片和相关材料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6.配方肥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完成和超额计划面积得4分；每低1个百分点扣0.5分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图片和相关材料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7.化肥和化学农药使用量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完成指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标记4分，每低于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一个百分点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减1分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22A05">
        <w:trPr>
          <w:trHeight w:hRule="exact" w:val="48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8.耕种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收综合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机械化水平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完成指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标记4分，每低于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一个百分点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减1分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22A05">
        <w:trPr>
          <w:trHeight w:hRule="exact" w:val="48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9.新技术应用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完成和超额计划面积得4分；每低1个百分点扣0.5分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图片、购货单和应用证明</w:t>
            </w:r>
          </w:p>
        </w:tc>
      </w:tr>
      <w:tr w:rsidR="00022A05">
        <w:trPr>
          <w:trHeight w:hRule="exact" w:val="817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10.配套试验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试验多、有创新性的得4分；试验较多得3分；试验较少得1-2.5分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图片、试验总结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三、项目管理</w:t>
            </w:r>
          </w:p>
          <w:p w:rsidR="00022A05" w:rsidRDefault="00164B2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1.标识标牌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建立统一规范的项目标牌，得5分，否则不得分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22A05">
        <w:trPr>
          <w:trHeight w:hRule="exact" w:val="727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2.领导与技术小组建设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领导小组和技术小组建全、项目县主要领导任组长得2分；建全、分管领导任组长得1分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文件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3.力量整合情况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力量整合好得2分；较好得1分；未整合得0分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文件</w:t>
            </w:r>
          </w:p>
        </w:tc>
      </w:tr>
      <w:tr w:rsidR="00022A05">
        <w:trPr>
          <w:trHeight w:hRule="exact" w:val="637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4.责任制落实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制定有目标考核责任制，任务落实到人的得2分，否则不得分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合同</w:t>
            </w:r>
          </w:p>
        </w:tc>
      </w:tr>
      <w:tr w:rsidR="00022A05">
        <w:trPr>
          <w:trHeight w:hRule="exact" w:val="62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5.市（州）级督促检查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市（州）组织交叉检查、并进行3次以上督查的得2分；只进行重点督查的得1分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文件和督促检查材料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6.目标考核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制定奖惩办法、进行了目标考核的得2分；没进行的计0分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文件和考核材料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7.测产验收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测产验收严谨的得2分；测产验收不严谨的计1分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测产验收材料</w:t>
            </w:r>
          </w:p>
        </w:tc>
      </w:tr>
      <w:tr w:rsidR="00022A05">
        <w:trPr>
          <w:trHeight w:hRule="exact" w:val="577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8.与产业和新型经营主体结合情况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结合好有突破得2分，结合较好得1分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图片和相关材料</w:t>
            </w:r>
          </w:p>
        </w:tc>
      </w:tr>
      <w:tr w:rsidR="00022A05">
        <w:trPr>
          <w:trHeight w:hRule="exact" w:val="607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9.技术培训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完成和超额完成计划任务得3分；每少1个百分点，扣0.5分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培训名册、图片</w:t>
            </w:r>
          </w:p>
        </w:tc>
      </w:tr>
      <w:tr w:rsidR="00022A05">
        <w:trPr>
          <w:trHeight w:hRule="exact" w:val="1067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10.宣传报道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在省级媒体宣传报道绿色高产高效创建成效，得3分；在当地媒体宣传报道本省绿色高产高效创建成效，得2分（两项不累加）；否则不得分。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图片和相关材料</w:t>
            </w:r>
          </w:p>
        </w:tc>
      </w:tr>
      <w:tr w:rsidR="00022A05">
        <w:trPr>
          <w:trHeight w:hRule="exact" w:val="482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11.项目档案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档案完整分类管理得2分，较完整得1分，不完整得0分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图片和相关材料</w:t>
            </w:r>
          </w:p>
        </w:tc>
      </w:tr>
      <w:tr w:rsidR="00022A05">
        <w:trPr>
          <w:trHeight w:hRule="exact" w:val="667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12.总结材料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完全符合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省文件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要求得3分，基本符合得2分，有差距的计1分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总结材料</w:t>
            </w:r>
          </w:p>
        </w:tc>
      </w:tr>
      <w:tr w:rsidR="00022A05">
        <w:trPr>
          <w:trHeight w:hRule="exact" w:val="787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四、资金使用</w:t>
            </w:r>
          </w:p>
          <w:p w:rsidR="00022A05" w:rsidRDefault="00164B2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1.配套资金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县（市）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级配套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20万元以上得4分，10万元以上得5分，5万元计2分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资金下达文件</w:t>
            </w:r>
          </w:p>
        </w:tc>
      </w:tr>
      <w:tr w:rsidR="00022A05">
        <w:trPr>
          <w:trHeight w:hRule="exact" w:val="1047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2.管理规范化程度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专帐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、按批复使用、有决算和审计报告得6分；按批复使用、有决算和审计报告得4分；按批复使用计3分；未按批复使用得0分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决算审计报告及相关附件</w:t>
            </w:r>
          </w:p>
        </w:tc>
      </w:tr>
      <w:tr w:rsidR="00022A05">
        <w:trPr>
          <w:trHeight w:hRule="exact" w:val="757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3.物资采购分配情况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重要物资公开招标、物资分配公示得5分，物资分配公示、未招标计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3分；未招标、未公示0分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招标、公示材料</w:t>
            </w:r>
          </w:p>
        </w:tc>
      </w:tr>
      <w:tr w:rsidR="00022A05">
        <w:trPr>
          <w:trHeight w:hRule="exact" w:val="48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总分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022A05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22A05">
        <w:trPr>
          <w:trHeight w:hRule="exact" w:val="680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五、加减分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1.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加分因素</w:t>
            </w:r>
          </w:p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15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省级以上领导肯定性批示，加5分。市级以上领导肯定性批示，加3分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文件或相关材料</w:t>
            </w:r>
          </w:p>
        </w:tc>
      </w:tr>
      <w:tr w:rsidR="00022A05">
        <w:trPr>
          <w:trHeight w:hRule="exact" w:val="68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在中央媒体中正面宣传报道，加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分；在省级媒体正面宣传报道，加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分；在市州、县级媒体正面宣传报道，加2分。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图片和相关材料</w:t>
            </w:r>
          </w:p>
        </w:tc>
      </w:tr>
      <w:tr w:rsidR="00022A05">
        <w:trPr>
          <w:trHeight w:hRule="exact" w:val="68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报送工作简报符合要求、不少于5期的，加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分，每减少1期扣1分，扣完为止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简报材料</w:t>
            </w:r>
          </w:p>
        </w:tc>
      </w:tr>
      <w:tr w:rsidR="00022A05">
        <w:trPr>
          <w:trHeight w:hRule="exact" w:val="68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2.扣分因素</w:t>
            </w:r>
          </w:p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（不设限）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出现资金使用违规，被群众举报、媒体曝光并查实的，每出现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次扣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22A05">
        <w:trPr>
          <w:trHeight w:hRule="exact" w:val="68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A05" w:rsidRDefault="00022A0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纪检、监察、审计等部门检查出违纪违法行为的，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每查处</w:t>
            </w:r>
            <w:proofErr w:type="gramEnd"/>
            <w:r>
              <w:rPr>
                <w:rFonts w:ascii="宋体" w:eastAsia="宋体" w:hAnsi="宋体" w:cs="Times New Roman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起扣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164B2B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A05" w:rsidRDefault="00022A0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164B2B" w:rsidRDefault="00164B2B">
      <w:pPr>
        <w:spacing w:line="640" w:lineRule="exact"/>
        <w:jc w:val="center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</w:p>
    <w:p w:rsidR="00164B2B" w:rsidRDefault="00164B2B">
      <w:pPr>
        <w:widowControl/>
        <w:jc w:val="lef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  <w:r>
        <w:rPr>
          <w:rFonts w:ascii="黑体" w:eastAsia="黑体" w:hAnsi="黑体" w:cs="Times New Roman"/>
          <w:color w:val="000000"/>
          <w:sz w:val="32"/>
          <w:szCs w:val="32"/>
          <w:lang w:bidi="th-TH"/>
        </w:rPr>
        <w:br w:type="page"/>
      </w:r>
    </w:p>
    <w:p w:rsidR="00164B2B" w:rsidRDefault="00164B2B">
      <w:pPr>
        <w:spacing w:line="640" w:lineRule="exact"/>
        <w:jc w:val="center"/>
        <w:rPr>
          <w:rFonts w:ascii="黑体" w:eastAsia="黑体" w:hAnsi="黑体" w:cs="Times New Roman"/>
          <w:color w:val="000000"/>
          <w:sz w:val="32"/>
          <w:szCs w:val="32"/>
          <w:lang w:bidi="th-TH"/>
        </w:rPr>
        <w:sectPr w:rsidR="00164B2B">
          <w:pgSz w:w="16838" w:h="11906" w:orient="landscape"/>
          <w:pgMar w:top="1134" w:right="1588" w:bottom="850" w:left="1701" w:header="851" w:footer="992" w:gutter="0"/>
          <w:cols w:space="0"/>
          <w:docGrid w:type="linesAndChars" w:linePitch="312"/>
        </w:sectPr>
      </w:pPr>
    </w:p>
    <w:p w:rsidR="00164B2B" w:rsidRPr="00164B2B" w:rsidRDefault="00164B2B" w:rsidP="00164B2B">
      <w:pPr>
        <w:spacing w:line="640" w:lineRule="exact"/>
        <w:jc w:val="left"/>
        <w:rPr>
          <w:rFonts w:ascii="黑体" w:eastAsia="黑体" w:hAnsi="黑体" w:cs="Times New Roman"/>
          <w:color w:val="000000"/>
          <w:sz w:val="28"/>
          <w:szCs w:val="32"/>
          <w:lang w:bidi="th-TH"/>
        </w:rPr>
      </w:pPr>
      <w:r w:rsidRPr="00164B2B">
        <w:rPr>
          <w:rFonts w:ascii="黑体" w:eastAsia="黑体" w:hAnsi="黑体" w:cs="Times New Roman"/>
          <w:color w:val="000000"/>
          <w:sz w:val="28"/>
          <w:szCs w:val="32"/>
          <w:lang w:bidi="th-TH"/>
        </w:rPr>
        <w:lastRenderedPageBreak/>
        <w:t>附件</w:t>
      </w:r>
      <w:r w:rsidRPr="00164B2B">
        <w:rPr>
          <w:rFonts w:ascii="黑体" w:eastAsia="黑体" w:hAnsi="黑体" w:cs="Times New Roman" w:hint="eastAsia"/>
          <w:color w:val="000000"/>
          <w:sz w:val="28"/>
          <w:szCs w:val="32"/>
          <w:lang w:bidi="th-TH"/>
        </w:rPr>
        <w:t>3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:rsidR="00164B2B" w:rsidRPr="00164B2B" w:rsidRDefault="00164B2B" w:rsidP="00164B2B">
      <w:pPr>
        <w:spacing w:line="360" w:lineRule="auto"/>
        <w:jc w:val="center"/>
        <w:rPr>
          <w:rFonts w:ascii="Calibri" w:eastAsia="宋体" w:hAnsi="Calibri" w:cs="Times New Roman"/>
          <w:b/>
          <w:sz w:val="32"/>
          <w:szCs w:val="24"/>
        </w:rPr>
      </w:pPr>
      <w:r w:rsidRPr="00164B2B">
        <w:rPr>
          <w:rFonts w:ascii="Calibri" w:eastAsia="宋体" w:hAnsi="Calibri" w:cs="Times New Roman" w:hint="eastAsia"/>
          <w:b/>
          <w:sz w:val="32"/>
          <w:szCs w:val="24"/>
        </w:rPr>
        <w:t>2017</w:t>
      </w:r>
      <w:r w:rsidRPr="00164B2B">
        <w:rPr>
          <w:rFonts w:ascii="Calibri" w:eastAsia="宋体" w:hAnsi="Calibri" w:cs="Times New Roman" w:hint="eastAsia"/>
          <w:b/>
          <w:sz w:val="32"/>
          <w:szCs w:val="24"/>
        </w:rPr>
        <w:t>年度绿色高产高效创建调度问卷</w:t>
      </w:r>
    </w:p>
    <w:p w:rsidR="00164B2B" w:rsidRPr="00164B2B" w:rsidRDefault="00164B2B" w:rsidP="00164B2B">
      <w:pPr>
        <w:spacing w:line="360" w:lineRule="auto"/>
        <w:jc w:val="center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（标注底纹</w:t>
      </w:r>
      <w:r>
        <w:rPr>
          <w:rFonts w:ascii="Calibri" w:eastAsia="宋体" w:hAnsi="Calibri" w:cs="Times New Roman" w:hint="eastAsia"/>
          <w:sz w:val="24"/>
          <w:szCs w:val="24"/>
          <w:highlight w:val="yellow"/>
        </w:rPr>
        <w:t>部分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由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创建县填报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）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164B2B">
        <w:rPr>
          <w:rFonts w:ascii="Calibri" w:eastAsia="宋体" w:hAnsi="Calibri" w:cs="Times New Roman" w:hint="eastAsia"/>
          <w:b/>
          <w:sz w:val="28"/>
          <w:szCs w:val="28"/>
        </w:rPr>
        <w:t>一、基本情况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164B2B">
        <w:rPr>
          <w:rFonts w:ascii="Calibri" w:eastAsia="宋体" w:hAnsi="Calibri" w:cs="Times New Roman" w:hint="eastAsia"/>
          <w:b/>
          <w:sz w:val="28"/>
          <w:szCs w:val="28"/>
        </w:rPr>
        <w:t>（一）组织领导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</w:rPr>
        <w:t xml:space="preserve">1. </w:t>
      </w:r>
      <w:r w:rsidRPr="00164B2B">
        <w:rPr>
          <w:rFonts w:ascii="Calibri" w:eastAsia="宋体" w:hAnsi="Calibri" w:cs="Times New Roman" w:hint="eastAsia"/>
          <w:sz w:val="24"/>
          <w:szCs w:val="24"/>
        </w:rPr>
        <w:t>省级领导小组组长：</w:t>
      </w:r>
      <w:r w:rsidRPr="00164B2B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</w:t>
      </w:r>
      <w:r w:rsidRPr="00164B2B">
        <w:rPr>
          <w:rFonts w:ascii="Calibri" w:eastAsia="宋体" w:hAnsi="Calibri" w:cs="Times New Roman" w:hint="eastAsia"/>
          <w:sz w:val="24"/>
          <w:szCs w:val="24"/>
        </w:rPr>
        <w:t>（单位、职务）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</w:rPr>
        <w:t xml:space="preserve">2. </w:t>
      </w:r>
      <w:r w:rsidRPr="00164B2B">
        <w:rPr>
          <w:rFonts w:ascii="Calibri" w:eastAsia="宋体" w:hAnsi="Calibri" w:cs="Times New Roman" w:hint="eastAsia"/>
          <w:sz w:val="24"/>
          <w:szCs w:val="24"/>
        </w:rPr>
        <w:t>省专家指导组组长：</w:t>
      </w:r>
      <w:r w:rsidRPr="00164B2B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</w:t>
      </w:r>
      <w:r w:rsidRPr="00164B2B">
        <w:rPr>
          <w:rFonts w:ascii="Calibri" w:eastAsia="宋体" w:hAnsi="Calibri" w:cs="Times New Roman" w:hint="eastAsia"/>
          <w:sz w:val="24"/>
          <w:szCs w:val="24"/>
        </w:rPr>
        <w:t>（单位、职务）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</w:rPr>
        <w:t xml:space="preserve">3. </w:t>
      </w:r>
      <w:r w:rsidRPr="00164B2B">
        <w:rPr>
          <w:rFonts w:ascii="Calibri" w:eastAsia="宋体" w:hAnsi="Calibri" w:cs="Times New Roman" w:hint="eastAsia"/>
          <w:sz w:val="24"/>
          <w:szCs w:val="24"/>
        </w:rPr>
        <w:t>地方配套资金，省财政</w:t>
      </w:r>
      <w:r w:rsidRPr="00164B2B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</w:t>
      </w:r>
      <w:r w:rsidRPr="00164B2B">
        <w:rPr>
          <w:rFonts w:ascii="Calibri" w:eastAsia="宋体" w:hAnsi="Calibri" w:cs="Times New Roman" w:hint="eastAsia"/>
          <w:sz w:val="24"/>
          <w:szCs w:val="24"/>
        </w:rPr>
        <w:t>万元，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市县财政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万元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</w:rPr>
        <w:t xml:space="preserve">4. </w:t>
      </w:r>
      <w:r w:rsidRPr="00164B2B">
        <w:rPr>
          <w:rFonts w:ascii="Calibri" w:eastAsia="宋体" w:hAnsi="Calibri" w:cs="Times New Roman" w:hint="eastAsia"/>
          <w:sz w:val="24"/>
          <w:szCs w:val="24"/>
        </w:rPr>
        <w:t>省级开展督导检查：</w:t>
      </w:r>
      <w:r w:rsidRPr="00164B2B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</w:rPr>
        <w:t>次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164B2B">
        <w:rPr>
          <w:rFonts w:ascii="Calibri" w:eastAsia="宋体" w:hAnsi="Calibri" w:cs="Times New Roman" w:hint="eastAsia"/>
          <w:b/>
          <w:sz w:val="28"/>
          <w:szCs w:val="28"/>
        </w:rPr>
        <w:t>（二）技术指导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</w:rPr>
        <w:t xml:space="preserve">1. </w:t>
      </w:r>
      <w:r w:rsidRPr="00164B2B">
        <w:rPr>
          <w:rFonts w:ascii="Calibri" w:eastAsia="宋体" w:hAnsi="Calibri" w:cs="Times New Roman" w:hint="eastAsia"/>
          <w:sz w:val="24"/>
          <w:szCs w:val="24"/>
        </w:rPr>
        <w:t>制定省级技术指导意见：</w:t>
      </w:r>
      <w:r w:rsidRPr="00164B2B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</w:rPr>
        <w:t>个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</w:rPr>
        <w:t xml:space="preserve">2. </w:t>
      </w:r>
      <w:r w:rsidRPr="00164B2B">
        <w:rPr>
          <w:rFonts w:ascii="Calibri" w:eastAsia="宋体" w:hAnsi="Calibri" w:cs="Times New Roman" w:hint="eastAsia"/>
          <w:sz w:val="24"/>
          <w:szCs w:val="24"/>
        </w:rPr>
        <w:t>组织省级专家指导组开展巡回指导：</w:t>
      </w:r>
      <w:r w:rsidRPr="00164B2B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</w:rPr>
        <w:t>次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</w:rPr>
        <w:t xml:space="preserve">3. </w:t>
      </w:r>
      <w:r w:rsidRPr="00164B2B">
        <w:rPr>
          <w:rFonts w:ascii="Calibri" w:eastAsia="宋体" w:hAnsi="Calibri" w:cs="Times New Roman" w:hint="eastAsia"/>
          <w:sz w:val="24"/>
          <w:szCs w:val="24"/>
        </w:rPr>
        <w:t>省级开展观摩培训：</w:t>
      </w:r>
      <w:r w:rsidRPr="00164B2B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</w:rPr>
        <w:t>次，培训人数：</w:t>
      </w:r>
      <w:r w:rsidRPr="00164B2B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</w:rPr>
        <w:t>人次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开展观摩培训：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次，培训人数：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人次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164B2B">
        <w:rPr>
          <w:rFonts w:ascii="Calibri" w:eastAsia="宋体" w:hAnsi="Calibri" w:cs="Times New Roman" w:hint="eastAsia"/>
          <w:b/>
          <w:sz w:val="28"/>
          <w:szCs w:val="28"/>
        </w:rPr>
        <w:t>二、项目实施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164B2B">
        <w:rPr>
          <w:rFonts w:ascii="Calibri" w:eastAsia="宋体" w:hAnsi="Calibri" w:cs="Times New Roman" w:hint="eastAsia"/>
          <w:b/>
          <w:sz w:val="28"/>
          <w:szCs w:val="28"/>
        </w:rPr>
        <w:t>（一）任务落实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</w:rPr>
        <w:t xml:space="preserve">1. </w:t>
      </w:r>
      <w:r w:rsidRPr="00164B2B">
        <w:rPr>
          <w:rFonts w:ascii="Calibri" w:eastAsia="宋体" w:hAnsi="Calibri" w:cs="Times New Roman" w:hint="eastAsia"/>
          <w:sz w:val="24"/>
          <w:szCs w:val="24"/>
        </w:rPr>
        <w:t>全省创建县：</w:t>
      </w:r>
      <w:r w:rsidRPr="00164B2B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</w:rPr>
        <w:t>个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</w:rPr>
        <w:t>，其中国家级</w:t>
      </w:r>
      <w:r w:rsidRPr="00164B2B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</w:rPr>
        <w:t>个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</w:rPr>
        <w:t>，省级</w:t>
      </w:r>
      <w:r w:rsidRPr="00164B2B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</w:rPr>
        <w:t>个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</w:rPr>
        <w:t xml:space="preserve">2.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全县创建面积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万亩，示范带动面积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万亩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创建作物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1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：项目区平均亩产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公斤，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平均亩产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公斤，全省平均亩产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公斤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创建作物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2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：项目区平均亩产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公斤，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平均亩产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公斤，全省平均亩产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公斤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创建作物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3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：项目区平均亩产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公斤，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平均亩产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公斤，全省平均亩产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公斤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164B2B">
        <w:rPr>
          <w:rFonts w:ascii="Calibri" w:eastAsia="宋体" w:hAnsi="Calibri" w:cs="Times New Roman" w:hint="eastAsia"/>
          <w:sz w:val="24"/>
          <w:szCs w:val="24"/>
        </w:rPr>
        <w:t>……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</w:rPr>
        <w:t>……</w:t>
      </w:r>
      <w:proofErr w:type="gramEnd"/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</w:rPr>
        <w:t xml:space="preserve">3.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全县标牌设立数量：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164B2B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（二）技术模式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1.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全县集成推广绿色高产高效技术模式：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套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2.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代表性技术模式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模式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1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：名称：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      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，推广面积：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万亩，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特点描述：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                           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（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150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字）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模式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2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：名称：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      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，推广面积：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万亩，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特点描述：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                           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（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150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字）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……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……</w:t>
      </w:r>
      <w:proofErr w:type="gramEnd"/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3.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瓶颈技术突破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技术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1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，名称：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                             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特点描述：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                           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（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150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字）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技术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2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，名称：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                             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特点描述：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                           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（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150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字）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……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……</w:t>
      </w:r>
      <w:proofErr w:type="gramEnd"/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164B2B">
        <w:rPr>
          <w:rFonts w:ascii="Calibri" w:eastAsia="宋体" w:hAnsi="Calibri" w:cs="Times New Roman" w:hint="eastAsia"/>
          <w:b/>
          <w:sz w:val="28"/>
          <w:szCs w:val="28"/>
        </w:rPr>
        <w:t>三、实施成效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164B2B">
        <w:rPr>
          <w:rFonts w:ascii="Calibri" w:eastAsia="宋体" w:hAnsi="Calibri" w:cs="Times New Roman" w:hint="eastAsia"/>
          <w:b/>
          <w:sz w:val="28"/>
          <w:szCs w:val="28"/>
        </w:rPr>
        <w:t>（一）示范带动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1.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高产高效典型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典型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1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县（市、区），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创建亮点：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                    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（侧重某个方面，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150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字）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典型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2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县（市、区），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创建亮点：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                    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（侧重某个方面，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150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字）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……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……</w:t>
      </w:r>
      <w:proofErr w:type="gramEnd"/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2.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节本增效水平，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平均节水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%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、节药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%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、节肥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%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；也可概括描述：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                                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（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100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字）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3.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全省果菜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茶创建县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产品优质率（蔬菜、茶叶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创建县填报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）</w:t>
      </w:r>
    </w:p>
    <w:p w:rsidR="00164B2B" w:rsidRPr="00164B2B" w:rsidRDefault="00164B2B" w:rsidP="00164B2B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  <w:highlight w:val="yellow"/>
        </w:rPr>
      </w:pP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1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：品种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，产品优质率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%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，高于全省平均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百分点</w:t>
      </w:r>
    </w:p>
    <w:p w:rsidR="00164B2B" w:rsidRPr="00164B2B" w:rsidRDefault="00164B2B" w:rsidP="00164B2B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2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：品种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，产品优质率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%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，高于全省平均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百分点</w:t>
      </w:r>
    </w:p>
    <w:p w:rsidR="00164B2B" w:rsidRPr="00164B2B" w:rsidRDefault="00164B2B" w:rsidP="00164B2B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3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：品种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，产品优质率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%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，高于全省平均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百分点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lastRenderedPageBreak/>
        <w:t xml:space="preserve">4.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全省果菜茶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床架县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质量安全合格率（蔬菜、茶叶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创建县填报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）</w:t>
      </w:r>
    </w:p>
    <w:p w:rsidR="00164B2B" w:rsidRPr="00164B2B" w:rsidRDefault="00164B2B" w:rsidP="00164B2B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  <w:highlight w:val="yellow"/>
        </w:rPr>
      </w:pPr>
      <w:proofErr w:type="gramStart"/>
      <w:r w:rsidRPr="00164B2B">
        <w:rPr>
          <w:rFonts w:ascii="Calibri" w:eastAsia="宋体" w:hAnsi="Calibri" w:cs="Times New Roman"/>
          <w:sz w:val="24"/>
          <w:szCs w:val="24"/>
          <w:highlight w:val="yellow"/>
        </w:rPr>
        <w:t>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1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：品种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，质量安全合格率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%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，高于全省平均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百分点</w:t>
      </w:r>
    </w:p>
    <w:p w:rsidR="00164B2B" w:rsidRPr="00164B2B" w:rsidRDefault="00164B2B" w:rsidP="00164B2B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  <w:highlight w:val="yellow"/>
        </w:rPr>
      </w:pPr>
      <w:proofErr w:type="gramStart"/>
      <w:r w:rsidRPr="00164B2B">
        <w:rPr>
          <w:rFonts w:ascii="Calibri" w:eastAsia="宋体" w:hAnsi="Calibri" w:cs="Times New Roman"/>
          <w:sz w:val="24"/>
          <w:szCs w:val="24"/>
          <w:highlight w:val="yellow"/>
        </w:rPr>
        <w:t>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2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：品种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，质量安全合格率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%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，高于全省平均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百分点</w:t>
      </w:r>
    </w:p>
    <w:p w:rsidR="00164B2B" w:rsidRPr="00164B2B" w:rsidRDefault="00164B2B" w:rsidP="00164B2B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proofErr w:type="gramStart"/>
      <w:r w:rsidRPr="00164B2B">
        <w:rPr>
          <w:rFonts w:ascii="Calibri" w:eastAsia="宋体" w:hAnsi="Calibri" w:cs="Times New Roman"/>
          <w:sz w:val="24"/>
          <w:szCs w:val="24"/>
          <w:highlight w:val="yellow"/>
        </w:rPr>
        <w:t>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3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：品种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，质量安全合格率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%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，高于全省平均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百分点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164B2B">
        <w:rPr>
          <w:rFonts w:ascii="Calibri" w:eastAsia="宋体" w:hAnsi="Calibri" w:cs="Times New Roman" w:hint="eastAsia"/>
          <w:b/>
          <w:sz w:val="28"/>
          <w:szCs w:val="28"/>
        </w:rPr>
        <w:t>（二）机制创新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1.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共培育带动农业新型经营主体数量：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2.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专业化社会化服务面积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万亩，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占创建县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总面积的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%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3.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创建县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订单生产情况，参与企业数量：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；订单种植面积：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万亩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164B2B">
        <w:rPr>
          <w:rFonts w:ascii="Calibri" w:eastAsia="宋体" w:hAnsi="Calibri" w:cs="Times New Roman" w:hint="eastAsia"/>
          <w:b/>
          <w:sz w:val="28"/>
          <w:szCs w:val="28"/>
        </w:rPr>
        <w:t>（三）宣传引导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  <w:highlight w:val="yellow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1.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媒体宣传次数，中央媒体：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次，省级媒体：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次，市县媒体：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次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 xml:space="preserve">2.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通过开展创建，新增优质特色品牌数量，其中，无公害农产品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，绿色农产品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、有机农产品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、区域公用品牌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、地方知名品牌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proofErr w:type="gramStart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  <w:proofErr w:type="gramEnd"/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、地理标志品牌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  <w:u w:val="single"/>
        </w:rPr>
        <w:t xml:space="preserve">     </w:t>
      </w: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个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164B2B">
        <w:rPr>
          <w:rFonts w:ascii="Calibri" w:eastAsia="宋体" w:hAnsi="Calibri" w:cs="Times New Roman" w:hint="eastAsia"/>
          <w:b/>
          <w:sz w:val="28"/>
          <w:szCs w:val="28"/>
        </w:rPr>
        <w:t>四、其它工作成效及亮点</w:t>
      </w:r>
    </w:p>
    <w:p w:rsidR="00164B2B" w:rsidRPr="00164B2B" w:rsidRDefault="00164B2B" w:rsidP="00164B2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164B2B">
        <w:rPr>
          <w:rFonts w:ascii="Calibri" w:eastAsia="宋体" w:hAnsi="Calibri" w:cs="Times New Roman" w:hint="eastAsia"/>
          <w:sz w:val="24"/>
          <w:szCs w:val="24"/>
          <w:highlight w:val="yellow"/>
        </w:rPr>
        <w:t>可补充说明，也可提供有关文字材料，字数不限。</w:t>
      </w:r>
    </w:p>
    <w:p w:rsidR="00022A05" w:rsidRPr="00164B2B" w:rsidRDefault="00022A05" w:rsidP="00164B2B">
      <w:pPr>
        <w:spacing w:line="640" w:lineRule="exact"/>
        <w:rPr>
          <w:rFonts w:ascii="黑体" w:eastAsia="黑体" w:hAnsi="黑体" w:cs="Times New Roman"/>
          <w:color w:val="000000"/>
          <w:sz w:val="32"/>
          <w:szCs w:val="32"/>
          <w:lang w:bidi="th-TH"/>
        </w:rPr>
      </w:pPr>
    </w:p>
    <w:sectPr w:rsidR="00022A05" w:rsidRPr="0016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D4C"/>
    <w:rsid w:val="00022A05"/>
    <w:rsid w:val="00084FD0"/>
    <w:rsid w:val="000D7489"/>
    <w:rsid w:val="000F62B0"/>
    <w:rsid w:val="001112E4"/>
    <w:rsid w:val="00164B2B"/>
    <w:rsid w:val="001C742E"/>
    <w:rsid w:val="001D7D44"/>
    <w:rsid w:val="001E02D9"/>
    <w:rsid w:val="001F6F86"/>
    <w:rsid w:val="00223326"/>
    <w:rsid w:val="002541D4"/>
    <w:rsid w:val="00303538"/>
    <w:rsid w:val="00321FA6"/>
    <w:rsid w:val="003B3BE8"/>
    <w:rsid w:val="00411351"/>
    <w:rsid w:val="004203DB"/>
    <w:rsid w:val="0049284D"/>
    <w:rsid w:val="00497C92"/>
    <w:rsid w:val="004A25D4"/>
    <w:rsid w:val="005B120C"/>
    <w:rsid w:val="0064574D"/>
    <w:rsid w:val="00665BB4"/>
    <w:rsid w:val="00673EE1"/>
    <w:rsid w:val="007F7DBD"/>
    <w:rsid w:val="008F251D"/>
    <w:rsid w:val="0099131B"/>
    <w:rsid w:val="009F5537"/>
    <w:rsid w:val="00A169F9"/>
    <w:rsid w:val="00A407E6"/>
    <w:rsid w:val="00AE487F"/>
    <w:rsid w:val="00AF222C"/>
    <w:rsid w:val="00D43CE8"/>
    <w:rsid w:val="00DF38B3"/>
    <w:rsid w:val="00E94A2B"/>
    <w:rsid w:val="00EC4479"/>
    <w:rsid w:val="00EF5D4C"/>
    <w:rsid w:val="00F1243A"/>
    <w:rsid w:val="00F42449"/>
    <w:rsid w:val="00FA4E9A"/>
    <w:rsid w:val="4E991005"/>
    <w:rsid w:val="54141C66"/>
    <w:rsid w:val="747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574</Words>
  <Characters>3276</Characters>
  <Application>Microsoft Office Word</Application>
  <DocSecurity>0</DocSecurity>
  <Lines>27</Lines>
  <Paragraphs>7</Paragraphs>
  <ScaleCrop>false</ScaleCrop>
  <Company>Company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19</cp:revision>
  <cp:lastPrinted>2017-10-30T03:24:00Z</cp:lastPrinted>
  <dcterms:created xsi:type="dcterms:W3CDTF">2016-10-09T06:52:00Z</dcterms:created>
  <dcterms:modified xsi:type="dcterms:W3CDTF">2017-10-31T06:44:00Z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