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jc w:val="center"/>
        <w:textAlignment w:val="auto"/>
        <w:outlineLvl w:val="9"/>
        <w:rPr>
          <w:rFonts w:hint="eastAsia" w:ascii="黑体" w:hAnsi="黑体" w:eastAsia="黑体"/>
          <w:sz w:val="44"/>
          <w:szCs w:val="44"/>
          <w:lang w:eastAsia="zh-CN"/>
        </w:rPr>
      </w:pPr>
      <w:r>
        <w:rPr>
          <w:rFonts w:hint="eastAsia" w:ascii="宋体" w:hAnsi="宋体" w:eastAsia="宋体" w:cs="宋体"/>
          <w:sz w:val="44"/>
          <w:szCs w:val="44"/>
          <w:lang w:eastAsia="zh-CN"/>
        </w:rPr>
        <w:t>Ⅰ</w:t>
      </w:r>
      <w:r>
        <w:rPr>
          <w:rFonts w:hint="eastAsia" w:ascii="Arial" w:hAnsi="Arial" w:eastAsia="黑体" w:cs="Arial"/>
          <w:sz w:val="44"/>
          <w:szCs w:val="44"/>
          <w:lang w:eastAsia="zh-CN"/>
        </w:rPr>
        <w:t>“</w:t>
      </w:r>
      <w:r>
        <w:rPr>
          <w:rFonts w:hint="default" w:ascii="Arial" w:hAnsi="Arial" w:eastAsia="黑体" w:cs="Arial"/>
          <w:sz w:val="44"/>
          <w:szCs w:val="44"/>
        </w:rPr>
        <w:t>××</w:t>
      </w:r>
      <w:r>
        <w:rPr>
          <w:rFonts w:hint="eastAsia" w:ascii="Arial" w:hAnsi="Arial" w:eastAsia="黑体" w:cs="Arial"/>
          <w:sz w:val="44"/>
          <w:szCs w:val="44"/>
          <w:lang w:eastAsia="zh-CN"/>
        </w:rPr>
        <w:t>县</w:t>
      </w:r>
      <w:r>
        <w:rPr>
          <w:rFonts w:hint="eastAsia" w:ascii="黑体" w:hAnsi="黑体" w:eastAsia="黑体"/>
          <w:sz w:val="44"/>
          <w:szCs w:val="44"/>
        </w:rPr>
        <w:t>休耕耕地质量监测初始报告</w:t>
      </w:r>
      <w:r>
        <w:rPr>
          <w:rFonts w:hint="eastAsia" w:ascii="黑体" w:hAnsi="黑体" w:eastAsia="黑体"/>
          <w:sz w:val="44"/>
          <w:szCs w:val="44"/>
          <w:lang w:eastAsia="zh-CN"/>
        </w:rPr>
        <w:t>”</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jc w:val="center"/>
        <w:textAlignment w:val="auto"/>
        <w:outlineLvl w:val="9"/>
        <w:rPr>
          <w:rFonts w:ascii="仿宋" w:hAnsi="仿宋" w:eastAsia="仿宋"/>
          <w:sz w:val="32"/>
          <w:szCs w:val="32"/>
        </w:rPr>
      </w:pPr>
      <w:r>
        <w:rPr>
          <w:rFonts w:hint="eastAsia" w:ascii="黑体" w:hAnsi="黑体" w:eastAsia="黑体"/>
          <w:sz w:val="44"/>
          <w:szCs w:val="44"/>
        </w:rPr>
        <w:t>编写提纲</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hint="eastAsia" w:ascii="黑体" w:hAnsi="黑体" w:eastAsia="黑体"/>
          <w:sz w:val="32"/>
          <w:szCs w:val="32"/>
        </w:rPr>
      </w:pPr>
      <w:r>
        <w:rPr>
          <w:rFonts w:hint="eastAsia" w:ascii="黑体" w:hAnsi="黑体" w:eastAsia="黑体"/>
          <w:sz w:val="32"/>
          <w:szCs w:val="32"/>
        </w:rPr>
        <w:t>一、项目区基本情况</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hint="eastAsia" w:ascii="仿宋" w:hAnsi="仿宋" w:eastAsia="仿宋"/>
          <w:sz w:val="32"/>
          <w:szCs w:val="32"/>
        </w:rPr>
      </w:pPr>
      <w:r>
        <w:rPr>
          <w:rFonts w:hint="eastAsia" w:ascii="仿宋" w:hAnsi="仿宋" w:eastAsia="仿宋"/>
          <w:sz w:val="32"/>
          <w:szCs w:val="32"/>
          <w:lang w:eastAsia="zh-CN"/>
        </w:rPr>
        <w:t>（一）项目区的</w:t>
      </w:r>
      <w:r>
        <w:rPr>
          <w:rFonts w:hint="eastAsia" w:ascii="仿宋" w:hAnsi="仿宋" w:eastAsia="仿宋"/>
          <w:sz w:val="32"/>
          <w:szCs w:val="32"/>
        </w:rPr>
        <w:t xml:space="preserve"> GPS经纬度坐标、土壤名称（土类、亚类、土属、土种）、地貌类型、地形部位、坡度、海拔高度、常年降雨量、≥0℃有效积温、≥10℃有效积温、有效土层厚度、耕层厚度、灌溉能力、排水能力、耕地质量等级（一至十等）、主栽作物产量。</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项目区休耕实施面积</w:t>
      </w:r>
      <w:r>
        <w:rPr>
          <w:rFonts w:hint="eastAsia" w:ascii="仿宋" w:hAnsi="仿宋" w:eastAsia="仿宋"/>
          <w:sz w:val="32"/>
          <w:szCs w:val="32"/>
          <w:lang w:eastAsia="zh-CN"/>
        </w:rPr>
        <w:t>；</w:t>
      </w:r>
      <w:r>
        <w:rPr>
          <w:rFonts w:hint="eastAsia" w:ascii="仿宋" w:hAnsi="仿宋" w:eastAsia="仿宋"/>
          <w:sz w:val="32"/>
          <w:szCs w:val="32"/>
        </w:rPr>
        <w:t>休耕模式，采取的主要技术路经、措施，详细细化。</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二、项目区耕地质量监测工作开展情况</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xml:space="preserve">   （一）项目区耕地质量监测点布设的密度和情况，对照监测点设置情况，试验区监测点和对照区监测点之间的关系等。</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hint="eastAsia" w:ascii="黑体" w:hAnsi="黑体" w:eastAsia="黑体"/>
          <w:sz w:val="32"/>
          <w:szCs w:val="32"/>
        </w:rPr>
      </w:pPr>
      <w:r>
        <w:rPr>
          <w:rFonts w:hint="eastAsia" w:ascii="仿宋" w:hAnsi="仿宋" w:eastAsia="仿宋"/>
          <w:sz w:val="32"/>
          <w:szCs w:val="32"/>
        </w:rPr>
        <w:t xml:space="preserve">    （二）耕地质量监测点初始监测的主要调查和监测的指标，土壤样品调查和采集的时间，调查和采样的主要方法、技术标准等。</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 xml:space="preserve"> 三、耕地质量监测结果</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640"/>
        <w:textAlignment w:val="auto"/>
        <w:outlineLvl w:val="9"/>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b/>
          <w:bCs/>
          <w:color w:val="auto"/>
          <w:sz w:val="32"/>
          <w:szCs w:val="32"/>
        </w:rPr>
        <w:t>耕地质量主要性状指标现状</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640"/>
        <w:textAlignment w:val="auto"/>
        <w:outlineLvl w:val="9"/>
        <w:rPr>
          <w:rFonts w:hint="eastAsia" w:ascii="仿宋" w:hAnsi="仿宋" w:eastAsia="仿宋"/>
          <w:sz w:val="32"/>
          <w:szCs w:val="32"/>
        </w:rPr>
      </w:pPr>
      <w:r>
        <w:rPr>
          <w:rFonts w:hint="eastAsia" w:ascii="仿宋" w:hAnsi="仿宋" w:eastAsia="仿宋"/>
          <w:sz w:val="32"/>
          <w:szCs w:val="32"/>
        </w:rPr>
        <w:t>按照不同休耕类型，分别分析同一年度对照区监测点与试验区监测点主要性状指标（重点是区域补充指标）现状与对比情况</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640"/>
        <w:textAlignment w:val="auto"/>
        <w:outlineLvl w:val="9"/>
        <w:rPr>
          <w:rFonts w:hint="eastAsia" w:ascii="仿宋" w:hAnsi="仿宋" w:eastAsia="仿宋"/>
          <w:b/>
          <w:bCs/>
          <w:color w:val="auto"/>
          <w:sz w:val="32"/>
          <w:szCs w:val="32"/>
        </w:rPr>
      </w:pPr>
      <w:r>
        <w:rPr>
          <w:rFonts w:hint="eastAsia" w:ascii="仿宋" w:hAnsi="仿宋" w:eastAsia="仿宋"/>
          <w:b/>
          <w:bCs/>
          <w:color w:val="auto"/>
          <w:sz w:val="32"/>
          <w:szCs w:val="32"/>
        </w:rPr>
        <w:t>（二）分析肥料养分投入与结构现状</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640"/>
        <w:textAlignment w:val="auto"/>
        <w:outlineLvl w:val="9"/>
        <w:rPr>
          <w:rFonts w:ascii="仿宋" w:hAnsi="仿宋" w:eastAsia="仿宋"/>
          <w:sz w:val="32"/>
          <w:szCs w:val="32"/>
        </w:rPr>
      </w:pPr>
      <w:r>
        <w:rPr>
          <w:rFonts w:hint="eastAsia" w:ascii="仿宋" w:hAnsi="仿宋" w:eastAsia="仿宋"/>
          <w:sz w:val="32"/>
          <w:szCs w:val="32"/>
        </w:rPr>
        <w:t>按照不同休耕类型，分别分析同一年度对照区监测点和试验区监测点不同肥料品种投入情况及变化趋势。</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hint="eastAsia" w:ascii="仿宋" w:hAnsi="仿宋" w:eastAsia="仿宋"/>
          <w:b/>
          <w:bCs/>
          <w:color w:val="auto"/>
          <w:sz w:val="32"/>
          <w:szCs w:val="32"/>
        </w:rPr>
      </w:pPr>
      <w:r>
        <w:rPr>
          <w:rFonts w:hint="eastAsia" w:ascii="仿宋" w:hAnsi="仿宋" w:eastAsia="仿宋"/>
          <w:sz w:val="32"/>
          <w:szCs w:val="32"/>
        </w:rPr>
        <w:tab/>
      </w:r>
      <w:r>
        <w:rPr>
          <w:rFonts w:hint="eastAsia" w:ascii="仿宋" w:hAnsi="仿宋" w:eastAsia="仿宋"/>
          <w:b/>
          <w:bCs/>
          <w:color w:val="auto"/>
          <w:sz w:val="32"/>
          <w:szCs w:val="32"/>
        </w:rPr>
        <w:t xml:space="preserve"> （三）分析作物产量现状</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firstLine="640" w:firstLineChars="200"/>
        <w:textAlignment w:val="auto"/>
        <w:outlineLvl w:val="9"/>
        <w:rPr>
          <w:rFonts w:ascii="仿宋" w:hAnsi="仿宋" w:eastAsia="仿宋"/>
          <w:color w:val="FF0000"/>
          <w:sz w:val="32"/>
          <w:szCs w:val="32"/>
        </w:rPr>
      </w:pPr>
      <w:r>
        <w:rPr>
          <w:rFonts w:hint="eastAsia" w:ascii="仿宋" w:hAnsi="仿宋" w:eastAsia="仿宋"/>
          <w:sz w:val="32"/>
          <w:szCs w:val="32"/>
        </w:rPr>
        <w:t>对照区监测点产量现状及变化趋势</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 xml:space="preserve"> （四）综合评价休耕技术措施对耕地质量变化的影响及变化趋势。</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附检测项次：</w:t>
      </w:r>
      <w:r>
        <w:rPr>
          <w:rFonts w:hint="eastAsia" w:ascii="仿宋_GB2312" w:eastAsia="仿宋_GB2312"/>
          <w:color w:val="C00000"/>
          <w:sz w:val="24"/>
          <w:szCs w:val="32"/>
        </w:rPr>
        <w:t>耕层土壤质地</w:t>
      </w:r>
      <w:r>
        <w:rPr>
          <w:rFonts w:hint="eastAsia" w:ascii="仿宋_GB2312" w:eastAsia="仿宋_GB2312"/>
          <w:color w:val="C00000"/>
          <w:sz w:val="24"/>
          <w:szCs w:val="32"/>
          <w:lang w:eastAsia="zh-CN"/>
        </w:rPr>
        <w:t>、</w:t>
      </w:r>
      <w:r>
        <w:rPr>
          <w:rFonts w:hint="eastAsia" w:ascii="仿宋_GB2312" w:eastAsia="仿宋_GB2312"/>
          <w:color w:val="C00000"/>
          <w:sz w:val="24"/>
          <w:szCs w:val="32"/>
        </w:rPr>
        <w:t>耕层容重</w:t>
      </w:r>
      <w:r>
        <w:rPr>
          <w:rFonts w:hint="eastAsia" w:ascii="仿宋_GB2312" w:eastAsia="仿宋_GB2312"/>
          <w:color w:val="C00000"/>
          <w:sz w:val="24"/>
          <w:szCs w:val="32"/>
          <w:lang w:eastAsia="zh-CN"/>
        </w:rPr>
        <w:t>、</w:t>
      </w:r>
      <w:r>
        <w:rPr>
          <w:rFonts w:hint="eastAsia" w:ascii="仿宋_GB2312" w:eastAsia="仿宋_GB2312"/>
          <w:color w:val="C00000"/>
          <w:sz w:val="24"/>
          <w:szCs w:val="32"/>
        </w:rPr>
        <w:t>土壤pH、土壤养分状况（</w:t>
      </w:r>
      <w:r>
        <w:rPr>
          <w:rFonts w:hint="eastAsia" w:ascii="仿宋_GB2312" w:eastAsia="仿宋_GB2312"/>
          <w:b/>
          <w:bCs/>
          <w:color w:val="C00000"/>
          <w:sz w:val="24"/>
          <w:szCs w:val="32"/>
        </w:rPr>
        <w:t>有机质、全氮、有效磷、速效钾、缓效钾含量，交换性钙、镁含量，有效硫、硅、铁、锰、铜、锌、硼、钼含量</w:t>
      </w:r>
      <w:r>
        <w:rPr>
          <w:rFonts w:hint="eastAsia" w:ascii="仿宋_GB2312" w:eastAsia="仿宋_GB2312"/>
          <w:color w:val="C00000"/>
          <w:sz w:val="24"/>
          <w:szCs w:val="32"/>
        </w:rPr>
        <w:t>）</w:t>
      </w:r>
    </w:p>
    <w:p>
      <w:pPr>
        <w:keepNext w:val="0"/>
        <w:keepLines w:val="0"/>
        <w:pageBreakBefore w:val="0"/>
        <w:widowControl w:val="0"/>
        <w:kinsoku/>
        <w:wordWrap/>
        <w:overflowPunct/>
        <w:topLinePunct w:val="0"/>
        <w:autoSpaceDE/>
        <w:autoSpaceDN/>
        <w:bidi w:val="0"/>
        <w:adjustRightInd w:val="0"/>
        <w:snapToGrid/>
        <w:spacing w:line="420" w:lineRule="exact"/>
        <w:ind w:left="0" w:leftChars="0" w:right="0" w:rightChars="0"/>
        <w:textAlignment w:val="auto"/>
        <w:outlineLvl w:val="9"/>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sz w:val="44"/>
          <w:szCs w:val="44"/>
          <w:lang w:eastAsia="zh-CN"/>
        </w:rPr>
      </w:pPr>
      <w:r>
        <w:rPr>
          <w:rFonts w:hint="eastAsia" w:ascii="宋体" w:hAnsi="宋体" w:eastAsia="宋体" w:cs="宋体"/>
          <w:sz w:val="44"/>
          <w:szCs w:val="44"/>
          <w:lang w:eastAsia="zh-CN"/>
        </w:rPr>
        <w:t>Ⅱ</w:t>
      </w:r>
      <w:r>
        <w:rPr>
          <w:rFonts w:hint="eastAsia" w:ascii="Arial" w:hAnsi="Arial" w:eastAsia="黑体" w:cs="Arial"/>
          <w:sz w:val="44"/>
          <w:szCs w:val="44"/>
          <w:lang w:eastAsia="zh-CN"/>
        </w:rPr>
        <w:t>“</w:t>
      </w:r>
      <w:r>
        <w:rPr>
          <w:rFonts w:hint="default" w:ascii="Arial" w:hAnsi="Arial" w:eastAsia="黑体" w:cs="Arial"/>
          <w:sz w:val="44"/>
          <w:szCs w:val="44"/>
        </w:rPr>
        <w:t>××</w:t>
      </w:r>
      <w:r>
        <w:rPr>
          <w:rFonts w:hint="eastAsia" w:ascii="Arial" w:hAnsi="Arial" w:eastAsia="黑体" w:cs="Arial"/>
          <w:sz w:val="44"/>
          <w:szCs w:val="44"/>
          <w:lang w:eastAsia="zh-CN"/>
        </w:rPr>
        <w:t>县</w:t>
      </w:r>
      <w:r>
        <w:rPr>
          <w:rFonts w:hint="eastAsia" w:ascii="黑体" w:hAnsi="黑体" w:eastAsia="黑体"/>
          <w:sz w:val="44"/>
          <w:szCs w:val="44"/>
        </w:rPr>
        <w:t>休耕耕地质量监测年度报告</w:t>
      </w:r>
      <w:r>
        <w:rPr>
          <w:rFonts w:hint="eastAsia" w:ascii="黑体" w:hAnsi="黑体" w:eastAsia="黑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黑体" w:hAnsi="黑体" w:eastAsia="黑体"/>
          <w:sz w:val="44"/>
          <w:szCs w:val="44"/>
        </w:rPr>
      </w:pPr>
      <w:bookmarkStart w:id="0" w:name="_GoBack"/>
      <w:bookmarkEnd w:id="0"/>
      <w:r>
        <w:rPr>
          <w:rFonts w:hint="eastAsia" w:ascii="黑体" w:hAnsi="黑体" w:eastAsia="黑体"/>
          <w:sz w:val="44"/>
          <w:szCs w:val="44"/>
        </w:rPr>
        <w:t>编写提纲</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黑体" w:hAnsi="黑体" w:eastAsia="黑体"/>
          <w:sz w:val="32"/>
          <w:szCs w:val="32"/>
        </w:rPr>
      </w:pPr>
      <w:r>
        <w:rPr>
          <w:rFonts w:hint="eastAsia" w:ascii="仿宋" w:hAnsi="仿宋" w:eastAsia="仿宋"/>
          <w:sz w:val="32"/>
          <w:szCs w:val="32"/>
        </w:rPr>
        <w:tab/>
      </w:r>
      <w:r>
        <w:rPr>
          <w:rFonts w:hint="eastAsia" w:ascii="仿宋" w:hAnsi="仿宋" w:eastAsia="仿宋"/>
          <w:sz w:val="32"/>
          <w:szCs w:val="32"/>
        </w:rPr>
        <w:t xml:space="preserve"> </w:t>
      </w:r>
      <w:r>
        <w:rPr>
          <w:rFonts w:hint="eastAsia" w:ascii="黑体" w:hAnsi="黑体" w:eastAsia="黑体"/>
          <w:sz w:val="32"/>
          <w:szCs w:val="32"/>
        </w:rPr>
        <w:t>一、项目区基本情况</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（一）项目县基本情况。主要包括项目县地理位置、自然条件、地形地貌、种植情况、土壤类型、耕地质量和产量水平等。</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xml:space="preserve">    (二）项目县农田保护措施实施情况。主要包括农田保护的政策法规、实施重大项目、推广重大技术等。</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 xml:space="preserve"> （三）项目区休耕实施的地理位置、地形部位、区域范围等，项目实施面积等情况。</w:t>
      </w:r>
    </w:p>
    <w:p>
      <w:pPr>
        <w:keepNext w:val="0"/>
        <w:keepLines w:val="0"/>
        <w:pageBreakBefore w:val="0"/>
        <w:widowControl w:val="0"/>
        <w:kinsoku/>
        <w:wordWrap/>
        <w:overflowPunct/>
        <w:topLinePunct w:val="0"/>
        <w:autoSpaceDE/>
        <w:autoSpaceDN/>
        <w:bidi w:val="0"/>
        <w:spacing w:line="40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（四）休耕模式，采取的主要技术路经、措施，详细细化。</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仿宋_GB2312" w:eastAsia="仿宋_GB2312"/>
          <w:color w:val="C00000"/>
          <w:sz w:val="24"/>
          <w:szCs w:val="32"/>
        </w:rPr>
      </w:pPr>
      <w:r>
        <w:rPr>
          <w:rFonts w:hint="eastAsia" w:ascii="黑体" w:hAnsi="黑体" w:eastAsia="黑体"/>
          <w:sz w:val="32"/>
          <w:szCs w:val="32"/>
        </w:rPr>
        <w:t xml:space="preserve">  </w:t>
      </w:r>
      <w:r>
        <w:rPr>
          <w:rFonts w:hint="eastAsia" w:ascii="仿宋_GB2312" w:eastAsia="仿宋_GB2312"/>
          <w:color w:val="C00000"/>
          <w:sz w:val="24"/>
          <w:szCs w:val="32"/>
        </w:rPr>
        <w:t>每季作物（有几季填几季，实行休耕未种植作物的不填写）的名称、品种、播种日期、收获日期、果实产量、茎叶产量、有机肥与化肥投入的折纯量。</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黑体" w:hAnsi="黑体" w:eastAsia="黑体"/>
          <w:sz w:val="32"/>
          <w:szCs w:val="32"/>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 xml:space="preserve"> 二、项目区耕地质量监测工作开展情况</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xml:space="preserve">   （一）项目区耕地质量监测点布设的指导思路、基本依据和原则，项目区耕地质量监测点布设的密度和情况，对照监测点设置情况，试验区监测点和对照区监测点之间的关系等。</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xml:space="preserve">    （二）耕地质量监测点初始监测、年度监测的主要调查和监测的指标，土壤样品调查和采集的时间，调查和采样的主要方法、技术标准等。</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 xml:space="preserve"> （三）耕地土壤样品检测主要项目、检测标准和质量控制的主要措施等。</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 xml:space="preserve">    三、耕地质量监测评价结果</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xml:space="preserve">    （一）</w:t>
      </w:r>
      <w:r>
        <w:rPr>
          <w:rFonts w:hint="eastAsia" w:ascii="仿宋" w:hAnsi="仿宋" w:eastAsia="仿宋"/>
          <w:b/>
          <w:bCs/>
          <w:color w:val="auto"/>
          <w:sz w:val="32"/>
          <w:szCs w:val="32"/>
        </w:rPr>
        <w:t>耕地质量主要性状指标现状</w:t>
      </w:r>
      <w:r>
        <w:rPr>
          <w:rFonts w:hint="eastAsia" w:ascii="仿宋" w:hAnsi="仿宋" w:eastAsia="仿宋"/>
          <w:sz w:val="32"/>
          <w:szCs w:val="32"/>
        </w:rPr>
        <w:t>与变化趋势。按照不同休耕类型，分别分析同一年度对照区监测点与试验区监测点主要性状指标（重点是区域补充指标</w:t>
      </w:r>
      <w:r>
        <w:rPr>
          <w:rFonts w:hint="eastAsia" w:ascii="仿宋_GB2312" w:eastAsia="仿宋_GB2312"/>
          <w:color w:val="C00000"/>
          <w:sz w:val="24"/>
          <w:szCs w:val="32"/>
        </w:rPr>
        <w:t>耕层土壤质地。</w:t>
      </w:r>
      <w:r>
        <w:rPr>
          <w:rFonts w:hint="eastAsia" w:ascii="仿宋" w:hAnsi="仿宋" w:eastAsia="仿宋"/>
          <w:sz w:val="32"/>
          <w:szCs w:val="32"/>
        </w:rPr>
        <w:t>）现状与对比情况；分析对照区监测点不同年度主要性状指标（重点是区域补充指标）现状与变化趋势；分析试验区监测点不同年度主要性状指标（重点是区域补充指标）现状与变化趋势。同时，分析耕地质量主要性状指标变化的主要原因。</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color w:val="C00000"/>
          <w:sz w:val="32"/>
          <w:szCs w:val="32"/>
        </w:rPr>
      </w:pPr>
      <w:r>
        <w:rPr>
          <w:rFonts w:hint="eastAsia" w:ascii="仿宋" w:hAnsi="仿宋" w:eastAsia="仿宋"/>
          <w:sz w:val="32"/>
          <w:szCs w:val="32"/>
        </w:rPr>
        <w:t xml:space="preserve">   </w:t>
      </w:r>
      <w:r>
        <w:rPr>
          <w:rFonts w:hint="eastAsia" w:ascii="仿宋_GB2312" w:eastAsia="仿宋_GB2312"/>
          <w:b/>
          <w:bCs/>
          <w:color w:val="C00000"/>
          <w:sz w:val="24"/>
          <w:szCs w:val="32"/>
        </w:rPr>
        <w:t>有效土层厚度、耕层容重、耕层土壤质地</w:t>
      </w:r>
      <w:r>
        <w:rPr>
          <w:rFonts w:hint="eastAsia" w:ascii="仿宋_GB2312" w:eastAsia="仿宋_GB2312"/>
          <w:b/>
          <w:bCs/>
          <w:color w:val="C00000"/>
          <w:sz w:val="24"/>
          <w:szCs w:val="32"/>
          <w:lang w:eastAsia="zh-CN"/>
        </w:rPr>
        <w:t>、</w:t>
      </w:r>
      <w:r>
        <w:rPr>
          <w:rFonts w:hint="eastAsia" w:ascii="仿宋_GB2312" w:eastAsia="仿宋_GB2312"/>
          <w:color w:val="C00000"/>
          <w:sz w:val="24"/>
          <w:szCs w:val="32"/>
        </w:rPr>
        <w:t>土壤pH、土壤养分状况（有机质、全氮、有效磷、速效钾含量，交换性钙、镁含量，有效硫、硅、铁、锰、铜、锌、硼、钼含量）</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xml:space="preserve"> （二）</w:t>
      </w:r>
      <w:r>
        <w:rPr>
          <w:rFonts w:hint="eastAsia" w:ascii="仿宋" w:hAnsi="仿宋" w:eastAsia="仿宋"/>
          <w:color w:val="FF0000"/>
          <w:sz w:val="32"/>
          <w:szCs w:val="32"/>
        </w:rPr>
        <w:t>分析肥料养分投入与结构现状</w:t>
      </w:r>
      <w:r>
        <w:rPr>
          <w:rFonts w:hint="eastAsia" w:ascii="仿宋" w:hAnsi="仿宋" w:eastAsia="仿宋"/>
          <w:sz w:val="32"/>
          <w:szCs w:val="32"/>
        </w:rPr>
        <w:t>及变化趋势。按照不同轮作休耕类型，分别分析同一年度对照区监测点和试验区监测点不同肥料品种投入情况及变化趋势；分析不同年度对照区监测点肥料品种投入情况及变化趋势；分析不同年度试验点不同肥料品种投入情况及变化趋势。同时，分析肥料投入变化的主要原因。</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color w:val="FF0000"/>
          <w:sz w:val="32"/>
          <w:szCs w:val="32"/>
        </w:rPr>
      </w:pPr>
      <w:r>
        <w:rPr>
          <w:rFonts w:hint="eastAsia" w:ascii="仿宋" w:hAnsi="仿宋" w:eastAsia="仿宋"/>
          <w:sz w:val="32"/>
          <w:szCs w:val="32"/>
        </w:rPr>
        <w:tab/>
      </w:r>
      <w:r>
        <w:rPr>
          <w:rFonts w:hint="eastAsia" w:ascii="仿宋" w:hAnsi="仿宋" w:eastAsia="仿宋"/>
          <w:sz w:val="32"/>
          <w:szCs w:val="32"/>
        </w:rPr>
        <w:t xml:space="preserve"> （三）</w:t>
      </w:r>
      <w:r>
        <w:rPr>
          <w:rFonts w:hint="eastAsia" w:ascii="仿宋" w:hAnsi="仿宋" w:eastAsia="仿宋"/>
          <w:color w:val="FF0000"/>
          <w:sz w:val="32"/>
          <w:szCs w:val="32"/>
        </w:rPr>
        <w:t>分析作物产量现状</w:t>
      </w:r>
      <w:r>
        <w:rPr>
          <w:rFonts w:hint="eastAsia" w:ascii="仿宋" w:hAnsi="仿宋" w:eastAsia="仿宋"/>
          <w:sz w:val="32"/>
          <w:szCs w:val="32"/>
        </w:rPr>
        <w:t>与变化趋势，分析不同年度对照区监测点产量现状及变化趋势；分析不同年度试验区监测点产量现状及变化趋势。同时，分析其变化的主要原因。</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 xml:space="preserve"> （四）综合评价轮作休耕技术措施对耕地质量变化的影响及变化趋势。</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四、提高耕地质量的对策建议</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 xml:space="preserve"> （一）从种植制度调整角度，提出提高耕地质量的对策建议；</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xml:space="preserve">    （二）从培肥改良角度，提出提高耕地质量的对策建议；</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xml:space="preserve">    （三）从政策体系角度，提出提高耕地质量的对策建议；</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xml:space="preserve">    （四）从组织方式角度，提出提高耕地质量的对策建议；</w:t>
      </w:r>
    </w:p>
    <w:p>
      <w:pPr>
        <w:keepNext w:val="0"/>
        <w:keepLines w:val="0"/>
        <w:pageBreakBefore w:val="0"/>
        <w:widowControl w:val="0"/>
        <w:kinsoku/>
        <w:wordWrap/>
        <w:overflowPunct/>
        <w:topLinePunct w:val="0"/>
        <w:autoSpaceDE/>
        <w:autoSpaceDN/>
        <w:bidi w:val="0"/>
        <w:spacing w:line="40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（五）从其他角度，提出提高耕地质量的对策建议。</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2CD4"/>
    <w:rsid w:val="00047ED5"/>
    <w:rsid w:val="00082296"/>
    <w:rsid w:val="000C5351"/>
    <w:rsid w:val="00256A4C"/>
    <w:rsid w:val="0031698E"/>
    <w:rsid w:val="00380FF1"/>
    <w:rsid w:val="00402CD4"/>
    <w:rsid w:val="0040300A"/>
    <w:rsid w:val="00456F09"/>
    <w:rsid w:val="00543835"/>
    <w:rsid w:val="00775A17"/>
    <w:rsid w:val="007C52E3"/>
    <w:rsid w:val="00847294"/>
    <w:rsid w:val="00934EDC"/>
    <w:rsid w:val="009D2D72"/>
    <w:rsid w:val="00A15412"/>
    <w:rsid w:val="00AE3F03"/>
    <w:rsid w:val="00CE1526"/>
    <w:rsid w:val="00E442DD"/>
    <w:rsid w:val="00E470DF"/>
    <w:rsid w:val="00E85851"/>
    <w:rsid w:val="00FF6B16"/>
    <w:rsid w:val="02595F4E"/>
    <w:rsid w:val="05B1704A"/>
    <w:rsid w:val="105A7B99"/>
    <w:rsid w:val="1C154861"/>
    <w:rsid w:val="222772CD"/>
    <w:rsid w:val="223918D2"/>
    <w:rsid w:val="32CB1420"/>
    <w:rsid w:val="3CCA6347"/>
    <w:rsid w:val="3FB71980"/>
    <w:rsid w:val="45BA412C"/>
    <w:rsid w:val="4B0D211C"/>
    <w:rsid w:val="4D0820ED"/>
    <w:rsid w:val="4DFB7868"/>
    <w:rsid w:val="52AF7FEF"/>
    <w:rsid w:val="58C63A8A"/>
    <w:rsid w:val="6CFE2250"/>
    <w:rsid w:val="76F52162"/>
    <w:rsid w:val="7EF57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915EE-2389-4594-BFD0-857617215A8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156</Words>
  <Characters>894</Characters>
  <Lines>7</Lines>
  <Paragraphs>2</Paragraphs>
  <ScaleCrop>false</ScaleCrop>
  <LinksUpToDate>false</LinksUpToDate>
  <CharactersWithSpaces>1048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2017-07-06T08:04:00Z</dcterms:created>
  <dc:creator>lenovo</dc:creator>
  <cp:lastModifiedBy>TZJ</cp:lastModifiedBy>
  <cp:lastPrinted>2017-10-10T08:24:00Z</cp:lastPrinted>
  <dcterms:modified xsi:type="dcterms:W3CDTF">2017-10-12T03:29:55Z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