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jc w:val="center"/>
        <w:rPr>
          <w:rFonts w:ascii="黑体" w:hAnsi="黑体" w:eastAsia="黑体"/>
          <w:sz w:val="32"/>
          <w:szCs w:val="32"/>
        </w:rPr>
      </w:pPr>
      <w:r>
        <w:rPr>
          <w:rFonts w:hint="eastAsia" w:ascii="黑体" w:hAnsi="黑体" w:eastAsia="黑体"/>
          <w:sz w:val="32"/>
          <w:szCs w:val="32"/>
        </w:rPr>
        <w:t>贵州省畜牧生产性项目（工作）绩效评价方案（试行）</w:t>
      </w:r>
    </w:p>
    <w:p>
      <w:pPr>
        <w:ind w:firstLine="643" w:firstLineChars="201"/>
        <w:rPr>
          <w:rFonts w:ascii="仿宋" w:hAnsi="仿宋" w:eastAsia="仿宋"/>
          <w:sz w:val="32"/>
          <w:szCs w:val="32"/>
        </w:rPr>
      </w:pPr>
    </w:p>
    <w:p>
      <w:pPr>
        <w:ind w:firstLine="562" w:firstLineChars="201"/>
        <w:rPr>
          <w:rFonts w:ascii="仿宋" w:hAnsi="仿宋" w:eastAsia="仿宋"/>
          <w:sz w:val="28"/>
          <w:szCs w:val="28"/>
        </w:rPr>
      </w:pPr>
      <w:r>
        <w:rPr>
          <w:rFonts w:hint="eastAsia" w:ascii="仿宋" w:hAnsi="仿宋" w:eastAsia="仿宋"/>
          <w:sz w:val="28"/>
          <w:szCs w:val="28"/>
        </w:rPr>
        <w:t>根据《贵州省农业委员会省级财政资金管理办法》和《贵州省农业委员会省级财政专项资金绩效评价方案》等相关规定，为强化畜牧项目建设管理，科学评价财政资金使用成效，特制定本方案。</w:t>
      </w:r>
    </w:p>
    <w:p>
      <w:pPr>
        <w:ind w:firstLine="562" w:firstLineChars="201"/>
        <w:rPr>
          <w:rFonts w:ascii="黑体" w:hAnsi="黑体" w:eastAsia="黑体"/>
          <w:sz w:val="28"/>
          <w:szCs w:val="28"/>
        </w:rPr>
      </w:pPr>
      <w:r>
        <w:rPr>
          <w:rFonts w:hint="eastAsia" w:ascii="黑体" w:hAnsi="黑体" w:eastAsia="黑体"/>
          <w:sz w:val="28"/>
          <w:szCs w:val="28"/>
        </w:rPr>
        <w:t>一、评价方法</w:t>
      </w:r>
    </w:p>
    <w:p>
      <w:pPr>
        <w:ind w:firstLine="560" w:firstLineChars="200"/>
        <w:rPr>
          <w:rFonts w:ascii="仿宋" w:hAnsi="仿宋" w:eastAsia="仿宋"/>
          <w:sz w:val="28"/>
          <w:szCs w:val="28"/>
        </w:rPr>
      </w:pPr>
      <w:r>
        <w:rPr>
          <w:rFonts w:hint="eastAsia" w:ascii="仿宋" w:hAnsi="仿宋" w:eastAsia="仿宋"/>
          <w:sz w:val="28"/>
          <w:szCs w:val="28"/>
        </w:rPr>
        <w:t>本方案适用于采取因素法分配财政资金的各类项目（工作任务）评价，根据《贵州省农业委员会省级财政资金管理办法》相关要求，资金通过因素法分配至各地后，由市（州</w:t>
      </w:r>
      <w:r>
        <w:rPr>
          <w:rFonts w:ascii="仿宋" w:hAnsi="仿宋" w:eastAsia="仿宋"/>
          <w:sz w:val="28"/>
          <w:szCs w:val="28"/>
        </w:rPr>
        <w:t>）</w:t>
      </w:r>
      <w:r>
        <w:rPr>
          <w:rFonts w:hint="eastAsia" w:ascii="仿宋" w:hAnsi="仿宋" w:eastAsia="仿宋"/>
          <w:sz w:val="28"/>
          <w:szCs w:val="28"/>
        </w:rPr>
        <w:t>级畜牧主管部门按照项目法要求组织实施项目，通过自评与组织抽查和综合考核相结合方式开展评价，分综合评价、任务评价和纪检评价三个大项。</w:t>
      </w:r>
    </w:p>
    <w:p>
      <w:pPr>
        <w:adjustRightInd w:val="0"/>
        <w:snapToGrid w:val="0"/>
        <w:spacing w:line="600" w:lineRule="exact"/>
        <w:ind w:firstLine="560" w:firstLineChars="200"/>
        <w:rPr>
          <w:rFonts w:ascii="楷体" w:hAnsi="楷体" w:eastAsia="楷体"/>
          <w:sz w:val="28"/>
          <w:szCs w:val="28"/>
        </w:rPr>
      </w:pPr>
      <w:r>
        <w:rPr>
          <w:rFonts w:hint="eastAsia" w:ascii="楷体" w:hAnsi="楷体" w:eastAsia="楷体"/>
          <w:sz w:val="28"/>
          <w:szCs w:val="28"/>
        </w:rPr>
        <w:t>（一）综合评价</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1、组织开展工作</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（1）组织领导。成立工作专班、工作领导小组、技术小组等情况。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（2）工作部署。地方财政、畜牧主管部门针对项目细化工作要求。</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（3）实施方案。实施方案由市（州</w:t>
      </w:r>
      <w:r>
        <w:rPr>
          <w:rFonts w:ascii="仿宋" w:hAnsi="仿宋" w:eastAsia="仿宋"/>
          <w:sz w:val="28"/>
          <w:szCs w:val="28"/>
        </w:rPr>
        <w:t>）</w:t>
      </w:r>
      <w:r>
        <w:rPr>
          <w:rFonts w:hint="eastAsia" w:ascii="仿宋" w:hAnsi="仿宋" w:eastAsia="仿宋"/>
          <w:sz w:val="28"/>
          <w:szCs w:val="28"/>
        </w:rPr>
        <w:t>级畜牧主管部门负责审查、批复，建设单位在市、县畜牧主管部门指导下完成实施方案编制，要求思路清晰、内容全面、重点突出、可操作性强。</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（4）项目总结、宣传和信息报送。项目总结、开展宣传报道和信息报送等方面工作的主动性和质量。</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2、资金管理</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（1）资金落实。按规定及时足额拨付项目资金情况；财政资金拨付、报账支出进度及兑现项目单位情况。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（2）资金整合。撬动金融社会资本投入、整合其他涉农资金等情况。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（3）项目支出。项目的实际支出与批复计划的相符性以及实际支出的合规性，项目计划投资完成情况，财务管理制度的执行情况，会计核算的规范性以及开展审计的情况。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3、项目管理</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（1）项目公示。项目公示制执行情况。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（2）档案资料管理。项目相关档案资料及时完整归档情况。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（3）统计工作。项目统计报表的时效性和质量。</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（4）监督检查。项目市（州）主管部门日常检查和年度项目竣工验收工作开展情况；配合综合检查工作情况；对审计、检查和验收发现问题的整改情况。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（5）项目总结。项目工作台账、总结、档案以及其他文件资料。</w:t>
      </w:r>
    </w:p>
    <w:p>
      <w:pPr>
        <w:adjustRightInd w:val="0"/>
        <w:snapToGrid w:val="0"/>
        <w:spacing w:line="600" w:lineRule="exact"/>
        <w:ind w:firstLine="560" w:firstLineChars="200"/>
        <w:rPr>
          <w:rFonts w:ascii="楷体" w:hAnsi="楷体" w:eastAsia="楷体"/>
          <w:sz w:val="28"/>
          <w:szCs w:val="28"/>
        </w:rPr>
      </w:pPr>
      <w:r>
        <w:rPr>
          <w:rFonts w:ascii="楷体" w:hAnsi="楷体" w:eastAsia="楷体"/>
          <w:sz w:val="28"/>
          <w:szCs w:val="28"/>
        </w:rPr>
        <w:t>（二）任务评价</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1、完成情况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（1）项目验收。由市（州</w:t>
      </w:r>
      <w:r>
        <w:rPr>
          <w:rFonts w:ascii="仿宋" w:hAnsi="仿宋" w:eastAsia="仿宋"/>
          <w:sz w:val="28"/>
          <w:szCs w:val="28"/>
        </w:rPr>
        <w:t>）</w:t>
      </w:r>
      <w:r>
        <w:rPr>
          <w:rFonts w:hint="eastAsia" w:ascii="仿宋" w:hAnsi="仿宋" w:eastAsia="仿宋"/>
          <w:sz w:val="28"/>
          <w:szCs w:val="28"/>
        </w:rPr>
        <w:t>畜牧主管部门负责组织项目验收。</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（2）完成批复任务数量情况。主要考核建设内容完成率、资金使用率。</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（3）项目产地通过“三品”认定。项目实施产地通过无公害、绿色、有机认定情况。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2、项目效益</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（1）经济效益。主要包括改善农业基础生产条件、推进产业发展规模、增加农产品生产能力、提质增效、保障市场供给、新增农业总产值等情况。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（2）生态效益。改善生产、生活环境等方面的情况。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（3）社会效益。主要包括产业扶贫带动农民增收、大力推进精准扶贫、促进农民就业、辐射周边农户及促进区域主导产业形成等情况。</w:t>
      </w:r>
    </w:p>
    <w:p>
      <w:pPr>
        <w:adjustRightInd w:val="0"/>
        <w:snapToGrid w:val="0"/>
        <w:spacing w:line="600" w:lineRule="exact"/>
        <w:ind w:firstLine="560" w:firstLineChars="200"/>
        <w:rPr>
          <w:rFonts w:ascii="楷体" w:hAnsi="楷体" w:eastAsia="楷体"/>
          <w:sz w:val="28"/>
          <w:szCs w:val="28"/>
        </w:rPr>
      </w:pPr>
      <w:r>
        <w:rPr>
          <w:rFonts w:hint="eastAsia" w:ascii="楷体" w:hAnsi="楷体" w:eastAsia="楷体"/>
          <w:sz w:val="28"/>
          <w:szCs w:val="28"/>
        </w:rPr>
        <w:t>（三）纪检评价</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是否存在违规违纪行为。经监察、审计、财政监督等机构查出存在重大违规违纪行为并造成恶劣影响的，一票否决。</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（四）上述项目或目标任务涉及贫困县资金整合的，从其规定。</w:t>
      </w:r>
    </w:p>
    <w:p>
      <w:pPr>
        <w:pStyle w:val="7"/>
        <w:shd w:val="clear" w:color="auto" w:fill="F8F8F8"/>
        <w:spacing w:before="0" w:beforeAutospacing="0" w:after="0" w:afterAutospacing="0" w:line="360" w:lineRule="atLeast"/>
        <w:ind w:firstLine="560" w:firstLineChars="200"/>
        <w:jc w:val="both"/>
        <w:rPr>
          <w:rFonts w:ascii="黑体" w:hAnsi="黑体" w:eastAsia="黑体" w:cs="Times New Roman"/>
          <w:kern w:val="2"/>
          <w:sz w:val="28"/>
          <w:szCs w:val="28"/>
        </w:rPr>
      </w:pPr>
      <w:r>
        <w:rPr>
          <w:rFonts w:hint="eastAsia" w:ascii="黑体" w:hAnsi="黑体" w:eastAsia="黑体" w:cs="Times New Roman"/>
          <w:kern w:val="2"/>
          <w:sz w:val="28"/>
          <w:szCs w:val="28"/>
        </w:rPr>
        <w:t>二、评价步骤</w:t>
      </w:r>
    </w:p>
    <w:p>
      <w:pPr>
        <w:pStyle w:val="7"/>
        <w:shd w:val="clear" w:color="auto" w:fill="F8F8F8"/>
        <w:spacing w:before="0" w:beforeAutospacing="0" w:after="0" w:afterAutospacing="0" w:line="360" w:lineRule="atLeast"/>
        <w:ind w:firstLine="560" w:firstLineChars="200"/>
        <w:jc w:val="both"/>
        <w:rPr>
          <w:rFonts w:hint="eastAsia" w:ascii="楷体" w:hAnsi="楷体" w:eastAsia="楷体" w:cs="Times New Roman"/>
          <w:kern w:val="2"/>
          <w:sz w:val="28"/>
          <w:szCs w:val="28"/>
        </w:rPr>
      </w:pPr>
      <w:r>
        <w:rPr>
          <w:rFonts w:hint="eastAsia" w:ascii="楷体" w:hAnsi="楷体" w:eastAsia="楷体" w:cs="Times New Roman"/>
          <w:kern w:val="2"/>
          <w:sz w:val="28"/>
          <w:szCs w:val="28"/>
        </w:rPr>
        <w:t>（一）自查评分</w:t>
      </w:r>
    </w:p>
    <w:p>
      <w:pPr>
        <w:pStyle w:val="7"/>
        <w:shd w:val="clear" w:color="auto" w:fill="F8F8F8"/>
        <w:spacing w:before="0" w:beforeAutospacing="0" w:after="0" w:afterAutospacing="0" w:line="360" w:lineRule="atLeas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1、各县（市）畜牧主管部门按照评价要求，对项目（工作任务</w:t>
      </w:r>
      <w:r>
        <w:rPr>
          <w:rFonts w:ascii="仿宋" w:hAnsi="仿宋" w:eastAsia="仿宋" w:cs="Times New Roman"/>
          <w:kern w:val="2"/>
          <w:sz w:val="28"/>
          <w:szCs w:val="28"/>
        </w:rPr>
        <w:t>）</w:t>
      </w:r>
      <w:r>
        <w:rPr>
          <w:rFonts w:hint="eastAsia" w:ascii="仿宋" w:hAnsi="仿宋" w:eastAsia="仿宋" w:cs="Times New Roman"/>
          <w:kern w:val="2"/>
          <w:sz w:val="28"/>
          <w:szCs w:val="28"/>
        </w:rPr>
        <w:t>实施情况进行全面自查和自评打分，并形成绩效自评报告。</w:t>
      </w:r>
    </w:p>
    <w:p>
      <w:pPr>
        <w:pStyle w:val="7"/>
        <w:shd w:val="clear" w:color="auto" w:fill="F8F8F8"/>
        <w:spacing w:before="0" w:beforeAutospacing="0" w:after="0" w:afterAutospacing="0" w:line="360" w:lineRule="atLeas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2、各市（州）畜牧主管部门按照评价要求，对项目（工作任务</w:t>
      </w:r>
      <w:r>
        <w:rPr>
          <w:rFonts w:ascii="仿宋" w:hAnsi="仿宋" w:eastAsia="仿宋" w:cs="Times New Roman"/>
          <w:kern w:val="2"/>
          <w:sz w:val="28"/>
          <w:szCs w:val="28"/>
        </w:rPr>
        <w:t>）</w:t>
      </w:r>
      <w:r>
        <w:rPr>
          <w:rFonts w:hint="eastAsia" w:ascii="仿宋" w:hAnsi="仿宋" w:eastAsia="仿宋" w:cs="Times New Roman"/>
          <w:kern w:val="2"/>
          <w:sz w:val="28"/>
          <w:szCs w:val="28"/>
        </w:rPr>
        <w:t>实施情况进行全面检查打分，并形成绩效自评报告。</w:t>
      </w:r>
    </w:p>
    <w:p>
      <w:pPr>
        <w:pStyle w:val="7"/>
        <w:shd w:val="clear" w:color="auto" w:fill="F8F8F8"/>
        <w:spacing w:before="0" w:beforeAutospacing="0" w:after="0" w:afterAutospacing="0" w:line="360" w:lineRule="atLeast"/>
        <w:ind w:firstLine="560" w:firstLineChars="200"/>
        <w:jc w:val="both"/>
        <w:rPr>
          <w:rFonts w:hint="eastAsia" w:ascii="楷体" w:hAnsi="楷体" w:eastAsia="楷体" w:cs="Times New Roman"/>
          <w:kern w:val="2"/>
          <w:sz w:val="28"/>
          <w:szCs w:val="28"/>
        </w:rPr>
      </w:pPr>
      <w:r>
        <w:rPr>
          <w:rFonts w:hint="eastAsia" w:ascii="楷体" w:hAnsi="楷体" w:eastAsia="楷体" w:cs="Times New Roman"/>
          <w:kern w:val="2"/>
          <w:sz w:val="28"/>
          <w:szCs w:val="28"/>
        </w:rPr>
        <w:t>（二）组织抽查</w:t>
      </w:r>
    </w:p>
    <w:p>
      <w:pPr>
        <w:pStyle w:val="7"/>
        <w:shd w:val="clear" w:color="auto" w:fill="F8F8F8"/>
        <w:spacing w:before="0" w:beforeAutospacing="0" w:after="0" w:afterAutospacing="0" w:line="360" w:lineRule="atLeas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省农委畜牧兽医局会同有关部门根据各市（州）畜牧主管部门的自查报告，对抽查的市（州）进行实地评价，形成抽查评价报告。</w:t>
      </w:r>
    </w:p>
    <w:p>
      <w:pPr>
        <w:pStyle w:val="7"/>
        <w:shd w:val="clear" w:color="auto" w:fill="F8F8F8"/>
        <w:spacing w:before="0" w:beforeAutospacing="0" w:after="0" w:afterAutospacing="0" w:line="360" w:lineRule="atLeast"/>
        <w:ind w:firstLine="560" w:firstLineChars="200"/>
        <w:jc w:val="both"/>
        <w:rPr>
          <w:rFonts w:hint="eastAsia" w:ascii="楷体" w:hAnsi="楷体" w:eastAsia="楷体" w:cs="Times New Roman"/>
          <w:kern w:val="2"/>
          <w:sz w:val="28"/>
          <w:szCs w:val="28"/>
        </w:rPr>
      </w:pPr>
      <w:r>
        <w:rPr>
          <w:rFonts w:hint="eastAsia" w:ascii="楷体" w:hAnsi="楷体" w:eastAsia="楷体" w:cs="Times New Roman"/>
          <w:kern w:val="2"/>
          <w:sz w:val="28"/>
          <w:szCs w:val="28"/>
        </w:rPr>
        <w:t>（三）综合评价</w:t>
      </w:r>
    </w:p>
    <w:p>
      <w:pPr>
        <w:pStyle w:val="7"/>
        <w:shd w:val="clear" w:color="auto" w:fill="F8F8F8"/>
        <w:spacing w:before="0" w:beforeAutospacing="0" w:after="0" w:afterAutospacing="0" w:line="360" w:lineRule="atLeas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省农委畜牧兽医局对相关部门审查和抽查情况进行汇总，作出综合评价。根据评价结果，90-100分为“优”，80-89分为“良”，70-79分为“中”，69分以下为“差”。绩效评价结果将作为下一年度项目资金分配的重要考核指标。</w:t>
      </w:r>
    </w:p>
    <w:p>
      <w:pPr>
        <w:pStyle w:val="7"/>
        <w:shd w:val="clear" w:color="auto" w:fill="F8F8F8"/>
        <w:spacing w:before="0" w:beforeAutospacing="0" w:after="0" w:afterAutospacing="0" w:line="360" w:lineRule="atLeas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贵安新区、仁怀市、威宁县畜牧主管部门参照各市（州</w:t>
      </w:r>
      <w:r>
        <w:rPr>
          <w:rFonts w:ascii="仿宋" w:hAnsi="仿宋" w:eastAsia="仿宋" w:cs="Times New Roman"/>
          <w:kern w:val="2"/>
          <w:sz w:val="28"/>
          <w:szCs w:val="28"/>
        </w:rPr>
        <w:t>）</w:t>
      </w:r>
      <w:r>
        <w:rPr>
          <w:rFonts w:hint="eastAsia" w:ascii="仿宋" w:hAnsi="仿宋" w:eastAsia="仿宋" w:cs="Times New Roman"/>
          <w:kern w:val="2"/>
          <w:sz w:val="28"/>
          <w:szCs w:val="28"/>
        </w:rPr>
        <w:t>畜牧主管部门开展评价工作，并完成县级畜牧主管部门应开展的各项评价工作后报省农委。</w:t>
      </w:r>
    </w:p>
    <w:p>
      <w:pPr>
        <w:pStyle w:val="7"/>
        <w:shd w:val="clear" w:color="auto" w:fill="F8F8F8"/>
        <w:spacing w:before="0" w:beforeAutospacing="0" w:after="0" w:afterAutospacing="0" w:line="360" w:lineRule="atLeast"/>
        <w:ind w:firstLine="560" w:firstLineChars="200"/>
        <w:jc w:val="both"/>
        <w:rPr>
          <w:rFonts w:hint="eastAsia" w:ascii="仿宋" w:hAnsi="仿宋" w:eastAsia="仿宋" w:cs="Times New Roman"/>
          <w:kern w:val="2"/>
          <w:sz w:val="28"/>
          <w:szCs w:val="28"/>
        </w:rPr>
      </w:pPr>
    </w:p>
    <w:p>
      <w:pPr>
        <w:pStyle w:val="7"/>
        <w:shd w:val="clear" w:color="auto" w:fill="F8F8F8"/>
        <w:spacing w:before="0" w:beforeAutospacing="0" w:after="0" w:afterAutospacing="0" w:line="360" w:lineRule="atLeas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附表:</w:t>
      </w:r>
      <w:r>
        <w:rPr>
          <w:rFonts w:ascii="仿宋" w:hAnsi="仿宋" w:eastAsia="仿宋" w:cs="Times New Roman"/>
          <w:kern w:val="2"/>
          <w:sz w:val="28"/>
          <w:szCs w:val="28"/>
        </w:rPr>
        <w:t>贵州省畜牧生产性项目（任务）绩效目标评价表</w:t>
      </w:r>
    </w:p>
    <w:p>
      <w:pPr>
        <w:pStyle w:val="7"/>
        <w:shd w:val="clear" w:color="auto" w:fill="F8F8F8"/>
        <w:spacing w:before="0" w:beforeAutospacing="0" w:after="0" w:afterAutospacing="0" w:line="360" w:lineRule="atLeas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xml:space="preserve">    </w:t>
      </w:r>
    </w:p>
    <w:p>
      <w:pPr>
        <w:adjustRightInd w:val="0"/>
        <w:snapToGrid w:val="0"/>
        <w:spacing w:line="600" w:lineRule="exact"/>
        <w:rPr>
          <w:rFonts w:ascii="仿宋" w:hAnsi="仿宋" w:eastAsia="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rPr>
          <w:rFonts w:hint="eastAsia" w:ascii="仿宋" w:hAnsi="仿宋" w:eastAsia="仿宋"/>
          <w:sz w:val="32"/>
          <w:szCs w:val="32"/>
        </w:rPr>
      </w:pPr>
      <w:r>
        <w:rPr>
          <w:rFonts w:hint="eastAsia" w:ascii="仿宋" w:hAnsi="仿宋" w:eastAsia="仿宋"/>
          <w:sz w:val="32"/>
          <w:szCs w:val="32"/>
        </w:rPr>
        <w:t>附表</w:t>
      </w:r>
    </w:p>
    <w:tbl>
      <w:tblPr>
        <w:tblStyle w:val="6"/>
        <w:tblW w:w="14472" w:type="dxa"/>
        <w:tblInd w:w="93" w:type="dxa"/>
        <w:tblLayout w:type="fixed"/>
        <w:tblCellMar>
          <w:top w:w="0" w:type="dxa"/>
          <w:left w:w="108" w:type="dxa"/>
          <w:bottom w:w="0" w:type="dxa"/>
          <w:right w:w="108" w:type="dxa"/>
        </w:tblCellMar>
      </w:tblPr>
      <w:tblGrid>
        <w:gridCol w:w="2021"/>
        <w:gridCol w:w="2425"/>
        <w:gridCol w:w="8165"/>
        <w:gridCol w:w="630"/>
        <w:gridCol w:w="1231"/>
      </w:tblGrid>
      <w:tr>
        <w:tblPrEx>
          <w:tblLayout w:type="fixed"/>
          <w:tblCellMar>
            <w:top w:w="0" w:type="dxa"/>
            <w:left w:w="108" w:type="dxa"/>
            <w:bottom w:w="0" w:type="dxa"/>
            <w:right w:w="108" w:type="dxa"/>
          </w:tblCellMar>
        </w:tblPrEx>
        <w:trPr>
          <w:trHeight w:val="425" w:hRule="atLeast"/>
        </w:trPr>
        <w:tc>
          <w:tcPr>
            <w:tcW w:w="14472" w:type="dxa"/>
            <w:gridSpan w:val="5"/>
            <w:tcBorders>
              <w:top w:val="nil"/>
              <w:left w:val="nil"/>
              <w:bottom w:val="nil"/>
              <w:right w:val="nil"/>
            </w:tcBorders>
            <w:shd w:val="clear" w:color="auto" w:fill="auto"/>
            <w:vAlign w:val="center"/>
          </w:tcPr>
          <w:p>
            <w:pPr>
              <w:widowControl/>
              <w:jc w:val="center"/>
              <w:rPr>
                <w:rFonts w:hint="eastAsia" w:ascii="Times New Roman" w:hAnsi="Times New Roman"/>
                <w:b/>
                <w:bCs/>
                <w:kern w:val="0"/>
                <w:sz w:val="36"/>
                <w:szCs w:val="36"/>
              </w:rPr>
            </w:pPr>
            <w:r>
              <w:rPr>
                <w:rFonts w:ascii="Times New Roman" w:hAnsi="Times New Roman"/>
                <w:b/>
                <w:bCs/>
                <w:kern w:val="0"/>
                <w:sz w:val="36"/>
                <w:szCs w:val="36"/>
              </w:rPr>
              <w:t>贵州省畜牧生产性项目（任务）绩效目标评价表</w:t>
            </w:r>
          </w:p>
          <w:p>
            <w:pPr>
              <w:widowControl/>
              <w:jc w:val="center"/>
              <w:rPr>
                <w:rFonts w:ascii="Times New Roman" w:hAnsi="Times New Roman"/>
                <w:b/>
                <w:bCs/>
                <w:kern w:val="0"/>
                <w:sz w:val="36"/>
                <w:szCs w:val="36"/>
              </w:rPr>
            </w:pPr>
          </w:p>
        </w:tc>
      </w:tr>
      <w:tr>
        <w:tblPrEx>
          <w:tblLayout w:type="fixed"/>
          <w:tblCellMar>
            <w:top w:w="0" w:type="dxa"/>
            <w:left w:w="108" w:type="dxa"/>
            <w:bottom w:w="0" w:type="dxa"/>
            <w:right w:w="108" w:type="dxa"/>
          </w:tblCellMar>
        </w:tblPrEx>
        <w:trPr>
          <w:trHeight w:val="322" w:hRule="atLeast"/>
        </w:trPr>
        <w:tc>
          <w:tcPr>
            <w:tcW w:w="14472" w:type="dxa"/>
            <w:gridSpan w:val="5"/>
            <w:tcBorders>
              <w:top w:val="nil"/>
              <w:left w:val="nil"/>
              <w:bottom w:val="nil"/>
              <w:right w:val="nil"/>
            </w:tcBorders>
            <w:shd w:val="clear" w:color="auto" w:fill="auto"/>
            <w:vAlign w:val="center"/>
          </w:tcPr>
          <w:p>
            <w:pPr>
              <w:widowControl/>
              <w:jc w:val="left"/>
              <w:rPr>
                <w:rFonts w:ascii="Times New Roman" w:hAnsi="Times New Roman"/>
                <w:kern w:val="0"/>
                <w:sz w:val="28"/>
                <w:szCs w:val="28"/>
                <w:u w:val="single"/>
              </w:rPr>
            </w:pPr>
            <w:r>
              <w:rPr>
                <w:rFonts w:hint="eastAsia" w:ascii="宋体" w:hAnsi="宋体" w:cs="宋体"/>
                <w:b/>
                <w:bCs/>
                <w:kern w:val="0"/>
                <w:sz w:val="28"/>
                <w:szCs w:val="28"/>
              </w:rPr>
              <w:t xml:space="preserve">评价市（州)： </w:t>
            </w:r>
            <w:r>
              <w:rPr>
                <w:rFonts w:hint="eastAsia" w:ascii="宋体" w:hAnsi="宋体" w:cs="宋体"/>
                <w:b/>
                <w:bCs/>
                <w:kern w:val="0"/>
                <w:sz w:val="28"/>
                <w:szCs w:val="28"/>
                <w:u w:val="single"/>
              </w:rPr>
              <w:t xml:space="preserve">            </w:t>
            </w:r>
            <w:r>
              <w:rPr>
                <w:rFonts w:hint="eastAsia" w:ascii="宋体" w:hAnsi="宋体" w:cs="宋体"/>
                <w:b/>
                <w:bCs/>
                <w:kern w:val="0"/>
                <w:sz w:val="28"/>
                <w:szCs w:val="28"/>
              </w:rPr>
              <w:t>评价项目(任务)名称：</w:t>
            </w:r>
            <w:r>
              <w:rPr>
                <w:rFonts w:hint="eastAsia" w:ascii="宋体" w:hAnsi="宋体" w:cs="宋体"/>
                <w:kern w:val="0"/>
                <w:sz w:val="24"/>
                <w:szCs w:val="24"/>
                <w:u w:val="single"/>
              </w:rPr>
              <w:t xml:space="preserve">                                                                              </w:t>
            </w:r>
          </w:p>
        </w:tc>
      </w:tr>
      <w:tr>
        <w:tblPrEx>
          <w:tblLayout w:type="fixed"/>
          <w:tblCellMar>
            <w:top w:w="0" w:type="dxa"/>
            <w:left w:w="108" w:type="dxa"/>
            <w:bottom w:w="0" w:type="dxa"/>
            <w:right w:w="108" w:type="dxa"/>
          </w:tblCellMar>
        </w:tblPrEx>
        <w:trPr>
          <w:trHeight w:val="480" w:hRule="atLeast"/>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评价项目</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评价内容</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评价具体内容及评分标准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评价分数</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扣分具体原因</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一、组织工作开展情况（</w:t>
            </w:r>
            <w:r>
              <w:rPr>
                <w:rFonts w:ascii="Times New Roman" w:hAnsi="Times New Roman"/>
                <w:b/>
                <w:bCs/>
                <w:kern w:val="0"/>
                <w:sz w:val="20"/>
                <w:szCs w:val="20"/>
              </w:rPr>
              <w:t>2</w:t>
            </w:r>
            <w:r>
              <w:rPr>
                <w:rFonts w:hint="eastAsia" w:ascii="Times New Roman" w:hAnsi="Times New Roman"/>
                <w:b/>
                <w:bCs/>
                <w:kern w:val="0"/>
                <w:sz w:val="20"/>
                <w:szCs w:val="20"/>
              </w:rPr>
              <w:t>3</w:t>
            </w:r>
            <w:r>
              <w:rPr>
                <w:rFonts w:hint="eastAsia" w:ascii="宋体" w:hAnsi="宋体" w:cs="宋体"/>
                <w:b/>
                <w:bCs/>
                <w:kern w:val="0"/>
                <w:sz w:val="20"/>
                <w:szCs w:val="20"/>
              </w:rPr>
              <w:t>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组织领导</w:t>
            </w:r>
            <w:r>
              <w:rPr>
                <w:rFonts w:ascii="Times New Roman" w:hAnsi="Times New Roman"/>
                <w:kern w:val="0"/>
                <w:sz w:val="20"/>
                <w:szCs w:val="20"/>
              </w:rPr>
              <w:t>(4</w:t>
            </w:r>
            <w:r>
              <w:rPr>
                <w:rFonts w:hint="eastAsia" w:ascii="宋体" w:hAnsi="宋体"/>
                <w:kern w:val="0"/>
                <w:sz w:val="20"/>
                <w:szCs w:val="20"/>
              </w:rPr>
              <w:t>分</w:t>
            </w:r>
            <w:r>
              <w:rPr>
                <w:rFonts w:ascii="Times New Roman" w:hAnsi="Times New Roman"/>
                <w:kern w:val="0"/>
                <w:sz w:val="20"/>
                <w:szCs w:val="20"/>
              </w:rPr>
              <w:t>)</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成立由业务主管部门和技术部门参加的工作专班或工作领导小组或技术小组，得4分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工作部署（</w:t>
            </w:r>
            <w:r>
              <w:rPr>
                <w:rFonts w:ascii="Times New Roman" w:hAnsi="Times New Roman"/>
                <w:kern w:val="0"/>
                <w:sz w:val="20"/>
                <w:szCs w:val="20"/>
              </w:rPr>
              <w:t>4</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地方畜牧、财部门专门下发文件，细化工作要求，得4分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项目实施方案编制（</w:t>
            </w:r>
            <w:r>
              <w:rPr>
                <w:rFonts w:ascii="Times New Roman" w:hAnsi="Times New Roman"/>
                <w:kern w:val="0"/>
                <w:sz w:val="20"/>
                <w:szCs w:val="20"/>
              </w:rPr>
              <w:t>8</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项目实施方案编制思路清晰、内容全面、重点突出、可操作性强、组织专家评审，得6分；及时批复得2分，缺少内容或批复缓慢的酌情扣分。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w:t>
            </w:r>
            <w:r>
              <w:rPr>
                <w:rFonts w:hint="eastAsia" w:ascii="宋体" w:hAnsi="宋体"/>
                <w:kern w:val="0"/>
                <w:sz w:val="20"/>
                <w:szCs w:val="20"/>
              </w:rPr>
              <w:t>项目宣传和信息报送（</w:t>
            </w:r>
            <w:r>
              <w:rPr>
                <w:rFonts w:ascii="Times New Roman" w:hAnsi="Times New Roman"/>
                <w:kern w:val="0"/>
                <w:sz w:val="20"/>
                <w:szCs w:val="20"/>
              </w:rPr>
              <w:t>4</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认真开展项目宣传并向上级和相关部门报送有关信息的，得</w:t>
            </w:r>
            <w:r>
              <w:rPr>
                <w:rFonts w:ascii="Times New Roman" w:hAnsi="Times New Roman"/>
                <w:kern w:val="0"/>
                <w:sz w:val="20"/>
                <w:szCs w:val="20"/>
              </w:rPr>
              <w:t>3</w:t>
            </w:r>
            <w:r>
              <w:rPr>
                <w:rFonts w:hint="eastAsia" w:ascii="宋体" w:hAnsi="宋体" w:cs="宋体"/>
                <w:kern w:val="0"/>
                <w:sz w:val="20"/>
                <w:szCs w:val="20"/>
              </w:rPr>
              <w:t>分。相关媒体进行报道或有市（州）级以上领导批示的，得</w:t>
            </w:r>
            <w:r>
              <w:rPr>
                <w:rFonts w:ascii="Times New Roman" w:hAnsi="Times New Roman"/>
                <w:kern w:val="0"/>
                <w:sz w:val="20"/>
                <w:szCs w:val="20"/>
              </w:rPr>
              <w:t>4</w:t>
            </w:r>
            <w:r>
              <w:rPr>
                <w:rFonts w:hint="eastAsia" w:ascii="宋体" w:hAnsi="宋体" w:cs="宋体"/>
                <w:kern w:val="0"/>
                <w:sz w:val="20"/>
                <w:szCs w:val="20"/>
              </w:rPr>
              <w:t>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5.</w:t>
            </w:r>
            <w:r>
              <w:rPr>
                <w:rFonts w:hint="eastAsia" w:ascii="宋体" w:hAnsi="宋体"/>
                <w:kern w:val="0"/>
                <w:sz w:val="20"/>
                <w:szCs w:val="20"/>
              </w:rPr>
              <w:t>项目总结（</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认真总结项目实施的经验成效，得3分；否则适当扣分，扣完为止。</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二、资金管理（15分）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资金落实（</w:t>
            </w:r>
            <w:r>
              <w:rPr>
                <w:rFonts w:hint="eastAsia"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按规定及时足额拨付项目资金，得5分；否则不得分。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资金整合（</w:t>
            </w:r>
            <w:r>
              <w:rPr>
                <w:rFonts w:hint="eastAsia"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整合其他资金投入项目建设得3分，撬动金融社会资本投入得2分。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项目支出（</w:t>
            </w:r>
            <w:r>
              <w:rPr>
                <w:rFonts w:hint="eastAsia"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项目的实际支出与批复计划的相符性以及实际支出的合规性，项目计划投资完成情况。</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三、项目管理（12分)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项目公示（</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公示项目相关情况的，得3分，否则不得分。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档案资料管理（</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档案资料齐全，及时分类整理归档得3分，否则适当扣分，扣完为止。</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统计工作（</w:t>
            </w:r>
            <w:r>
              <w:rPr>
                <w:rFonts w:hint="eastAsia" w:ascii="Times New Roman" w:hAnsi="Times New Roman"/>
                <w:kern w:val="0"/>
                <w:sz w:val="20"/>
                <w:szCs w:val="20"/>
              </w:rPr>
              <w:t>3</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按时上报项目建设报表、对接相关情况的得3分；每晚报一天扣1分，扣完为止；统计报送材料不合格，被退回的，酌情扣分。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4.</w:t>
            </w:r>
            <w:r>
              <w:rPr>
                <w:rFonts w:hint="eastAsia" w:ascii="宋体" w:hAnsi="宋体"/>
                <w:kern w:val="0"/>
                <w:sz w:val="20"/>
                <w:szCs w:val="20"/>
              </w:rPr>
              <w:t>监督检查（</w:t>
            </w:r>
            <w:r>
              <w:rPr>
                <w:rFonts w:hint="eastAsia" w:ascii="Times New Roman" w:hAnsi="Times New Roman"/>
                <w:kern w:val="0"/>
                <w:sz w:val="20"/>
                <w:szCs w:val="20"/>
              </w:rPr>
              <w:t>3</w:t>
            </w:r>
            <w:r>
              <w:rPr>
                <w:rFonts w:hint="eastAsia" w:ascii="宋体" w:hAnsi="宋体"/>
                <w:kern w:val="0"/>
                <w:sz w:val="20"/>
                <w:szCs w:val="20"/>
              </w:rPr>
              <w:t>分）</w:t>
            </w:r>
          </w:p>
        </w:tc>
        <w:tc>
          <w:tcPr>
            <w:tcW w:w="8165"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市、县畜牧主管部门对项目建设情况进行经常性的督促指导，并有相关督查报告或督查证明材料佐证。对审计、检查发现问题的整改落实情况。</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232"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p>
        </w:tc>
        <w:tc>
          <w:tcPr>
            <w:tcW w:w="816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四、完成情况（30分)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任务完成率（</w:t>
            </w:r>
            <w:r>
              <w:rPr>
                <w:rFonts w:ascii="Times New Roman" w:hAnsi="Times New Roman"/>
                <w:kern w:val="0"/>
                <w:sz w:val="20"/>
                <w:szCs w:val="20"/>
              </w:rPr>
              <w:t>20</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各类项目（任务）分别按照目标任务进行评价，任务完成率低于80%不得分。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项目验收（</w:t>
            </w:r>
            <w:r>
              <w:rPr>
                <w:rFonts w:ascii="Times New Roman" w:hAnsi="Times New Roman"/>
                <w:kern w:val="0"/>
                <w:sz w:val="20"/>
                <w:szCs w:val="20"/>
              </w:rPr>
              <w:t>5</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及时组织完成验收得5分；验收缓慢酌情扣分；未验收不得分。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579"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3.</w:t>
            </w:r>
            <w:r>
              <w:rPr>
                <w:rFonts w:hint="eastAsia" w:ascii="仿宋" w:hAnsi="仿宋" w:eastAsia="仿宋" w:cs="宋体"/>
                <w:kern w:val="0"/>
                <w:sz w:val="24"/>
                <w:szCs w:val="24"/>
              </w:rPr>
              <w:t>产地是否通过“三品”认定（5分）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项目实施产地通过无公害或绿色或有机认定得5分，否则不得分。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五、项目效益（20分)</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经济效益（</w:t>
            </w:r>
            <w:r>
              <w:rPr>
                <w:rFonts w:hint="eastAsia" w:ascii="Times New Roman" w:hAnsi="Times New Roman"/>
                <w:kern w:val="0"/>
                <w:sz w:val="20"/>
                <w:szCs w:val="20"/>
              </w:rPr>
              <w:t>7</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项目实施后，推进产业发展规模、增加生产能力、提质增效、保障市场供给、新增产值等方面提升明显得6分，效益特别显著得7分。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2.</w:t>
            </w:r>
            <w:r>
              <w:rPr>
                <w:rFonts w:hint="eastAsia" w:ascii="宋体" w:hAnsi="宋体"/>
                <w:kern w:val="0"/>
                <w:sz w:val="20"/>
                <w:szCs w:val="20"/>
              </w:rPr>
              <w:t>生态效益（</w:t>
            </w:r>
            <w:r>
              <w:rPr>
                <w:rFonts w:hint="eastAsia" w:ascii="Times New Roman" w:hAnsi="Times New Roman"/>
                <w:kern w:val="0"/>
                <w:sz w:val="20"/>
                <w:szCs w:val="20"/>
              </w:rPr>
              <w:t>7</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项目建设对当地生态保护、环</w:t>
            </w:r>
            <w:bookmarkStart w:id="0" w:name="_GoBack"/>
            <w:bookmarkEnd w:id="0"/>
            <w:r>
              <w:rPr>
                <w:rFonts w:hint="eastAsia" w:ascii="宋体" w:hAnsi="宋体" w:cs="宋体"/>
                <w:kern w:val="0"/>
                <w:sz w:val="20"/>
                <w:szCs w:val="20"/>
              </w:rPr>
              <w:t>境改善等方面有明显促进作用得6分，治理效果显著得7分。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480" w:hRule="atLeast"/>
        </w:trPr>
        <w:tc>
          <w:tcPr>
            <w:tcW w:w="2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社会效益（</w:t>
            </w:r>
            <w:r>
              <w:rPr>
                <w:rFonts w:hint="eastAsia" w:ascii="Times New Roman" w:hAnsi="Times New Roman"/>
                <w:kern w:val="0"/>
                <w:sz w:val="20"/>
                <w:szCs w:val="20"/>
              </w:rPr>
              <w:t>6</w:t>
            </w:r>
            <w:r>
              <w:rPr>
                <w:rFonts w:hint="eastAsia" w:ascii="宋体" w:hAnsi="宋体"/>
                <w:kern w:val="0"/>
                <w:sz w:val="20"/>
                <w:szCs w:val="20"/>
              </w:rPr>
              <w:t>分）</w:t>
            </w:r>
          </w:p>
        </w:tc>
        <w:tc>
          <w:tcPr>
            <w:tcW w:w="8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项目实施对当地社会稳定繁荣、人民安居乐业、农村居民返乡创业等促进情况，带动农民增收、大力推进产业精准扶贫、促进农民就业、辐射周边农户及促进区域主导产业等情况给分。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ascii="Times New Roman" w:hAnsi="Times New Roman"/>
                <w:kern w:val="0"/>
                <w:sz w:val="20"/>
                <w:szCs w:val="20"/>
              </w:rPr>
              <w:t>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Cs w:val="21"/>
              </w:rPr>
            </w:pPr>
            <w:r>
              <w:rPr>
                <w:rFonts w:ascii="Times New Roman" w:hAnsi="Times New Roman"/>
                <w:kern w:val="0"/>
                <w:szCs w:val="21"/>
              </w:rPr>
              <w:t>　</w:t>
            </w:r>
          </w:p>
        </w:tc>
      </w:tr>
      <w:tr>
        <w:tblPrEx>
          <w:tblLayout w:type="fixed"/>
          <w:tblCellMar>
            <w:top w:w="0" w:type="dxa"/>
            <w:left w:w="108" w:type="dxa"/>
            <w:bottom w:w="0" w:type="dxa"/>
            <w:right w:w="108" w:type="dxa"/>
          </w:tblCellMar>
        </w:tblPrEx>
        <w:trPr>
          <w:trHeight w:val="909" w:hRule="atLeast"/>
        </w:trPr>
        <w:tc>
          <w:tcPr>
            <w:tcW w:w="4446" w:type="dxa"/>
            <w:gridSpan w:val="2"/>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color w:val="FF0000"/>
                <w:kern w:val="0"/>
                <w:sz w:val="20"/>
                <w:szCs w:val="20"/>
                <w:highlight w:val="yellow"/>
              </w:rPr>
            </w:pPr>
            <w:r>
              <w:rPr>
                <w:rFonts w:hint="eastAsia" w:ascii="宋体" w:hAnsi="宋体" w:cs="宋体"/>
                <w:b/>
                <w:bCs/>
                <w:color w:val="FF0000"/>
                <w:kern w:val="0"/>
                <w:sz w:val="20"/>
                <w:szCs w:val="20"/>
                <w:highlight w:val="yellow"/>
              </w:rPr>
              <w:t>六、纪检评价（一票否决）</w:t>
            </w:r>
          </w:p>
        </w:tc>
        <w:tc>
          <w:tcPr>
            <w:tcW w:w="8165" w:type="dxa"/>
            <w:tcBorders>
              <w:top w:val="single" w:color="auto" w:sz="4" w:space="0"/>
              <w:left w:val="single" w:color="auto" w:sz="4" w:space="0"/>
              <w:right w:val="single" w:color="auto" w:sz="4" w:space="0"/>
            </w:tcBorders>
            <w:shd w:val="clear" w:color="auto" w:fill="auto"/>
            <w:vAlign w:val="center"/>
          </w:tcPr>
          <w:p>
            <w:pPr>
              <w:jc w:val="left"/>
              <w:rPr>
                <w:rFonts w:ascii="宋体" w:hAnsi="宋体" w:cs="宋体"/>
                <w:color w:val="FF0000"/>
                <w:kern w:val="0"/>
                <w:sz w:val="20"/>
                <w:szCs w:val="20"/>
                <w:highlight w:val="yellow"/>
              </w:rPr>
            </w:pPr>
            <w:r>
              <w:rPr>
                <w:rFonts w:hint="eastAsia" w:ascii="宋体" w:hAnsi="宋体" w:cs="宋体"/>
                <w:color w:val="FF0000"/>
                <w:kern w:val="0"/>
                <w:sz w:val="20"/>
                <w:szCs w:val="20"/>
                <w:highlight w:val="yellow"/>
              </w:rPr>
              <w:t>经监察、审计、财政监督等机构查出存在重大违规违纪行为并造成恶劣影响的，一票否决，扣</w:t>
            </w:r>
            <w:r>
              <w:rPr>
                <w:rFonts w:ascii="Times New Roman" w:hAnsi="Times New Roman"/>
                <w:color w:val="FF0000"/>
                <w:kern w:val="0"/>
                <w:sz w:val="20"/>
                <w:szCs w:val="20"/>
                <w:highlight w:val="yellow"/>
              </w:rPr>
              <w:t>100</w:t>
            </w:r>
            <w:r>
              <w:rPr>
                <w:rFonts w:hint="eastAsia" w:ascii="宋体" w:hAnsi="宋体" w:cs="宋体"/>
                <w:color w:val="FF0000"/>
                <w:kern w:val="0"/>
                <w:sz w:val="20"/>
                <w:szCs w:val="20"/>
                <w:highlight w:val="yellow"/>
              </w:rPr>
              <w:t>分。</w:t>
            </w:r>
          </w:p>
        </w:tc>
        <w:tc>
          <w:tcPr>
            <w:tcW w:w="630" w:type="dxa"/>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color w:val="FF0000"/>
                <w:kern w:val="0"/>
                <w:sz w:val="20"/>
                <w:szCs w:val="20"/>
                <w:highlight w:val="yellow"/>
              </w:rPr>
            </w:pPr>
            <w:r>
              <w:rPr>
                <w:rFonts w:ascii="Times New Roman" w:hAnsi="Times New Roman"/>
                <w:color w:val="FF0000"/>
                <w:kern w:val="0"/>
                <w:sz w:val="20"/>
                <w:szCs w:val="20"/>
                <w:highlight w:val="yellow"/>
              </w:rPr>
              <w:t>　</w:t>
            </w:r>
          </w:p>
          <w:p>
            <w:pPr>
              <w:jc w:val="center"/>
              <w:rPr>
                <w:rFonts w:ascii="Times New Roman" w:hAnsi="Times New Roman"/>
                <w:color w:val="FF0000"/>
                <w:kern w:val="0"/>
                <w:sz w:val="20"/>
                <w:szCs w:val="20"/>
                <w:highlight w:val="yellow"/>
              </w:rPr>
            </w:pPr>
            <w:r>
              <w:rPr>
                <w:rFonts w:ascii="Times New Roman" w:hAnsi="Times New Roman"/>
                <w:color w:val="FF0000"/>
                <w:kern w:val="0"/>
                <w:sz w:val="20"/>
                <w:szCs w:val="20"/>
                <w:highlight w:val="yellow"/>
              </w:rPr>
              <w:t>　</w:t>
            </w:r>
          </w:p>
        </w:tc>
        <w:tc>
          <w:tcPr>
            <w:tcW w:w="1231" w:type="dxa"/>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color w:val="FF0000"/>
                <w:kern w:val="0"/>
                <w:sz w:val="20"/>
                <w:szCs w:val="20"/>
                <w:highlight w:val="yellow"/>
              </w:rPr>
            </w:pPr>
            <w:r>
              <w:rPr>
                <w:rFonts w:ascii="Times New Roman" w:hAnsi="Times New Roman"/>
                <w:color w:val="FF0000"/>
                <w:kern w:val="0"/>
                <w:sz w:val="20"/>
                <w:szCs w:val="20"/>
                <w:highlight w:val="yellow"/>
              </w:rPr>
              <w:t>　</w:t>
            </w:r>
          </w:p>
          <w:p>
            <w:pPr>
              <w:jc w:val="left"/>
              <w:rPr>
                <w:rFonts w:ascii="Times New Roman" w:hAnsi="Times New Roman"/>
                <w:color w:val="FF0000"/>
                <w:kern w:val="0"/>
                <w:sz w:val="20"/>
                <w:szCs w:val="20"/>
                <w:highlight w:val="yellow"/>
              </w:rPr>
            </w:pPr>
            <w:r>
              <w:rPr>
                <w:rFonts w:ascii="Times New Roman" w:hAnsi="Times New Roman"/>
                <w:color w:val="FF0000"/>
                <w:kern w:val="0"/>
                <w:sz w:val="20"/>
                <w:szCs w:val="20"/>
                <w:highlight w:val="yellow"/>
              </w:rPr>
              <w:t>　</w:t>
            </w:r>
          </w:p>
        </w:tc>
      </w:tr>
      <w:tr>
        <w:tblPrEx>
          <w:tblLayout w:type="fixed"/>
          <w:tblCellMar>
            <w:top w:w="0" w:type="dxa"/>
            <w:left w:w="108" w:type="dxa"/>
            <w:bottom w:w="0" w:type="dxa"/>
            <w:right w:w="108" w:type="dxa"/>
          </w:tblCellMar>
        </w:tblPrEx>
        <w:trPr>
          <w:trHeight w:val="480" w:hRule="atLeast"/>
        </w:trPr>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ascii="Times New Roman" w:hAnsi="Times New Roman"/>
                <w:kern w:val="0"/>
                <w:sz w:val="20"/>
                <w:szCs w:val="20"/>
              </w:rPr>
              <w:t>　</w:t>
            </w:r>
          </w:p>
        </w:tc>
        <w:tc>
          <w:tcPr>
            <w:tcW w:w="81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4"/>
                <w:szCs w:val="24"/>
              </w:rPr>
            </w:pPr>
            <w:r>
              <w:rPr>
                <w:rFonts w:ascii="Times New Roman" w:hAnsi="Times New Roman"/>
                <w:kern w:val="0"/>
                <w:sz w:val="24"/>
                <w:szCs w:val="24"/>
              </w:rPr>
              <w:t>　</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　</w:t>
            </w:r>
          </w:p>
        </w:tc>
      </w:tr>
      <w:tr>
        <w:tblPrEx>
          <w:tblLayout w:type="fixed"/>
          <w:tblCellMar>
            <w:top w:w="0" w:type="dxa"/>
            <w:left w:w="108" w:type="dxa"/>
            <w:bottom w:w="0" w:type="dxa"/>
            <w:right w:w="108" w:type="dxa"/>
          </w:tblCellMar>
        </w:tblPrEx>
        <w:trPr>
          <w:trHeight w:val="657" w:hRule="atLeast"/>
        </w:trPr>
        <w:tc>
          <w:tcPr>
            <w:tcW w:w="14472" w:type="dxa"/>
            <w:gridSpan w:val="5"/>
            <w:tcBorders>
              <w:top w:val="nil"/>
              <w:left w:val="nil"/>
              <w:bottom w:val="nil"/>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评价组签字：                                                                                    年      月      日</w:t>
            </w:r>
          </w:p>
        </w:tc>
      </w:tr>
    </w:tbl>
    <w:p>
      <w:pPr>
        <w:pStyle w:val="7"/>
        <w:shd w:val="clear" w:color="auto" w:fill="F8F8F8"/>
        <w:spacing w:before="0" w:beforeAutospacing="0" w:after="0" w:afterAutospacing="0" w:line="360" w:lineRule="atLeast"/>
        <w:jc w:val="both"/>
        <w:rPr>
          <w:rFonts w:ascii="仿宋" w:hAnsi="仿宋" w:eastAsia="仿宋" w:cs="Times New Roman"/>
          <w:kern w:val="2"/>
          <w:sz w:val="28"/>
          <w:szCs w:val="28"/>
        </w:rPr>
      </w:pPr>
    </w:p>
    <w:p>
      <w:pPr>
        <w:pStyle w:val="7"/>
        <w:shd w:val="clear" w:color="auto" w:fill="F8F8F8"/>
        <w:spacing w:before="0" w:beforeAutospacing="0" w:after="0" w:afterAutospacing="0" w:line="360" w:lineRule="atLeast"/>
        <w:jc w:val="both"/>
        <w:rPr>
          <w:rFonts w:ascii="仿宋" w:hAnsi="仿宋" w:eastAsia="仿宋" w:cs="Times New Roman"/>
          <w:kern w:val="2"/>
          <w:sz w:val="28"/>
          <w:szCs w:val="28"/>
        </w:rPr>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600" w:lineRule="exact"/>
        <w:rPr>
          <w:rFonts w:hint="eastAsia" w:ascii="仿宋" w:hAnsi="仿宋" w:eastAsia="仿宋"/>
          <w:sz w:val="32"/>
          <w:szCs w:val="32"/>
        </w:rPr>
      </w:pPr>
      <w:r>
        <w:rPr>
          <w:rFonts w:hint="eastAsia" w:ascii="仿宋" w:hAnsi="仿宋" w:eastAsia="仿宋"/>
          <w:sz w:val="32"/>
          <w:szCs w:val="32"/>
        </w:rPr>
        <w:t>附件2</w:t>
      </w:r>
    </w:p>
    <w:p>
      <w:pPr>
        <w:adjustRightInd w:val="0"/>
        <w:snapToGrid w:val="0"/>
        <w:spacing w:line="600" w:lineRule="exact"/>
        <w:ind w:firstLine="640" w:firstLineChars="200"/>
        <w:rPr>
          <w:rFonts w:hint="eastAsia" w:ascii="仿宋" w:hAnsi="仿宋" w:eastAsia="仿宋"/>
          <w:b/>
          <w:sz w:val="28"/>
          <w:szCs w:val="28"/>
        </w:rPr>
      </w:pPr>
      <w:r>
        <w:rPr>
          <w:rFonts w:hint="eastAsia" w:ascii="黑体" w:hAnsi="黑体" w:eastAsia="黑体"/>
          <w:sz w:val="32"/>
          <w:szCs w:val="32"/>
        </w:rPr>
        <w:t>贵州省2017年畜牧生产性项目（工作）目标任务</w:t>
      </w:r>
    </w:p>
    <w:p>
      <w:pPr>
        <w:adjustRightInd w:val="0"/>
        <w:snapToGrid w:val="0"/>
        <w:spacing w:line="600" w:lineRule="exact"/>
        <w:ind w:firstLine="562" w:firstLineChars="200"/>
        <w:rPr>
          <w:rFonts w:hint="eastAsia" w:ascii="仿宋" w:hAnsi="仿宋" w:eastAsia="仿宋"/>
          <w:b/>
          <w:sz w:val="28"/>
          <w:szCs w:val="28"/>
        </w:rPr>
      </w:pPr>
    </w:p>
    <w:p>
      <w:pPr>
        <w:pStyle w:val="2"/>
        <w:spacing w:before="0" w:beforeAutospacing="0" w:after="0" w:afterAutospacing="0"/>
        <w:ind w:firstLine="689" w:firstLineChars="245"/>
        <w:rPr>
          <w:rFonts w:ascii="仿宋" w:hAnsi="仿宋" w:eastAsia="仿宋"/>
          <w:sz w:val="28"/>
          <w:szCs w:val="28"/>
        </w:rPr>
      </w:pPr>
      <w:r>
        <w:rPr>
          <w:rFonts w:hint="eastAsia" w:ascii="仿宋" w:hAnsi="仿宋" w:eastAsia="仿宋"/>
          <w:sz w:val="28"/>
          <w:szCs w:val="28"/>
        </w:rPr>
        <w:t>2</w:t>
      </w:r>
      <w:r>
        <w:rPr>
          <w:rFonts w:hint="eastAsia" w:ascii="仿宋" w:hAnsi="仿宋" w:eastAsia="仿宋" w:cs="Times New Roman"/>
          <w:b w:val="0"/>
          <w:bCs w:val="0"/>
          <w:kern w:val="2"/>
          <w:sz w:val="28"/>
          <w:szCs w:val="28"/>
        </w:rPr>
        <w:t>017年省级财政支持建设的畜牧业生产性项目和相关工作包括黔财农〔2017〕114号文件下达资金的肉牛产业重点县专项、黔财农〔2017〕83号下达资金的 “四帮四促”及扶贫畜牧专项、家禽产业专项、奶站及运输车辆监管专项4类畜牧生产性项目（或工作任务</w:t>
      </w:r>
      <w:r>
        <w:rPr>
          <w:rFonts w:ascii="仿宋" w:hAnsi="仿宋" w:eastAsia="仿宋" w:cs="Times New Roman"/>
          <w:b w:val="0"/>
          <w:bCs w:val="0"/>
          <w:kern w:val="2"/>
          <w:sz w:val="28"/>
          <w:szCs w:val="28"/>
        </w:rPr>
        <w:t>）</w:t>
      </w:r>
      <w:r>
        <w:rPr>
          <w:rFonts w:hint="eastAsia" w:ascii="仿宋" w:hAnsi="仿宋" w:eastAsia="仿宋" w:cs="Times New Roman"/>
          <w:b w:val="0"/>
          <w:bCs w:val="0"/>
          <w:kern w:val="2"/>
          <w:sz w:val="28"/>
          <w:szCs w:val="28"/>
        </w:rPr>
        <w:t>。具体目标任务如下：</w:t>
      </w:r>
    </w:p>
    <w:p>
      <w:pPr>
        <w:adjustRightInd w:val="0"/>
        <w:snapToGrid w:val="0"/>
        <w:spacing w:line="600" w:lineRule="exact"/>
        <w:ind w:firstLine="560" w:firstLineChars="200"/>
        <w:rPr>
          <w:rFonts w:ascii="黑体" w:hAnsi="黑体" w:eastAsia="黑体"/>
          <w:sz w:val="28"/>
          <w:szCs w:val="28"/>
        </w:rPr>
      </w:pPr>
      <w:r>
        <w:rPr>
          <w:rFonts w:hint="eastAsia" w:ascii="黑体" w:hAnsi="黑体" w:eastAsia="黑体"/>
          <w:sz w:val="28"/>
          <w:szCs w:val="28"/>
        </w:rPr>
        <w:t>一、肉牛产业重点县专项目标任务</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1、5个项目县需完成的指标为：在2017年12月31日前，完成引进5万头肉牛任务，其中关岭2万头、大方1万头、六枝1万头、正安0.5万头、剑河0.5万头，并完成项目产地“三品”认定。</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2、凤冈县需按照市（州</w:t>
      </w:r>
      <w:r>
        <w:rPr>
          <w:rFonts w:ascii="仿宋" w:hAnsi="仿宋" w:eastAsia="仿宋"/>
          <w:sz w:val="28"/>
          <w:szCs w:val="28"/>
        </w:rPr>
        <w:t>）</w:t>
      </w:r>
      <w:r>
        <w:rPr>
          <w:rFonts w:hint="eastAsia" w:ascii="仿宋" w:hAnsi="仿宋" w:eastAsia="仿宋"/>
          <w:sz w:val="28"/>
          <w:szCs w:val="28"/>
        </w:rPr>
        <w:t>批复的实施方案完成牛业大会观摩点建设任务。</w:t>
      </w:r>
    </w:p>
    <w:p>
      <w:pPr>
        <w:adjustRightInd w:val="0"/>
        <w:snapToGrid w:val="0"/>
        <w:spacing w:line="600" w:lineRule="exact"/>
        <w:ind w:firstLine="560" w:firstLineChars="200"/>
        <w:rPr>
          <w:rFonts w:ascii="黑体" w:hAnsi="黑体" w:eastAsia="黑体"/>
          <w:sz w:val="28"/>
          <w:szCs w:val="28"/>
        </w:rPr>
      </w:pPr>
      <w:r>
        <w:rPr>
          <w:rFonts w:ascii="黑体" w:hAnsi="黑体" w:eastAsia="黑体"/>
          <w:sz w:val="28"/>
          <w:szCs w:val="28"/>
        </w:rPr>
        <w:t>二、</w:t>
      </w:r>
      <w:r>
        <w:rPr>
          <w:rFonts w:hint="eastAsia" w:ascii="黑体" w:hAnsi="黑体" w:eastAsia="黑体"/>
          <w:bCs/>
          <w:sz w:val="28"/>
          <w:szCs w:val="28"/>
        </w:rPr>
        <w:t>“四帮四促”及扶贫畜牧专项</w:t>
      </w:r>
      <w:r>
        <w:rPr>
          <w:rFonts w:ascii="黑体" w:hAnsi="黑体" w:eastAsia="黑体"/>
          <w:sz w:val="28"/>
          <w:szCs w:val="28"/>
        </w:rPr>
        <w:t>目标任务</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按照市（州</w:t>
      </w:r>
      <w:r>
        <w:rPr>
          <w:rFonts w:ascii="仿宋" w:hAnsi="仿宋" w:eastAsia="仿宋"/>
          <w:sz w:val="28"/>
          <w:szCs w:val="28"/>
        </w:rPr>
        <w:t>）</w:t>
      </w:r>
      <w:r>
        <w:rPr>
          <w:rFonts w:hint="eastAsia" w:ascii="仿宋" w:hAnsi="仿宋" w:eastAsia="仿宋"/>
          <w:sz w:val="28"/>
          <w:szCs w:val="28"/>
        </w:rPr>
        <w:t>批复的项目实施方案完成建设任务，并完成项目产地“三品”认定，完成时限为2017年12月31日前。</w:t>
      </w:r>
    </w:p>
    <w:p>
      <w:pPr>
        <w:adjustRightInd w:val="0"/>
        <w:snapToGrid w:val="0"/>
        <w:spacing w:line="600" w:lineRule="exact"/>
        <w:ind w:firstLine="560" w:firstLineChars="200"/>
        <w:rPr>
          <w:rFonts w:ascii="黑体" w:hAnsi="黑体" w:eastAsia="黑体"/>
          <w:sz w:val="28"/>
          <w:szCs w:val="28"/>
        </w:rPr>
      </w:pPr>
      <w:r>
        <w:rPr>
          <w:rFonts w:ascii="黑体" w:hAnsi="黑体" w:eastAsia="黑体"/>
          <w:sz w:val="28"/>
          <w:szCs w:val="28"/>
        </w:rPr>
        <w:t>三、</w:t>
      </w:r>
      <w:r>
        <w:rPr>
          <w:rFonts w:hint="eastAsia" w:ascii="黑体" w:hAnsi="黑体" w:eastAsia="黑体"/>
          <w:bCs/>
          <w:sz w:val="28"/>
          <w:szCs w:val="28"/>
        </w:rPr>
        <w:t>奶站及运输车辆监管专项</w:t>
      </w:r>
      <w:r>
        <w:rPr>
          <w:rFonts w:ascii="黑体" w:hAnsi="黑体" w:eastAsia="黑体"/>
          <w:sz w:val="28"/>
          <w:szCs w:val="28"/>
        </w:rPr>
        <w:t>目标任务</w:t>
      </w:r>
    </w:p>
    <w:p>
      <w:pPr>
        <w:ind w:firstLine="574" w:firstLineChars="205"/>
        <w:rPr>
          <w:rFonts w:ascii="仿宋" w:hAnsi="仿宋" w:eastAsia="仿宋"/>
          <w:sz w:val="28"/>
          <w:szCs w:val="28"/>
        </w:rPr>
      </w:pPr>
      <w:r>
        <w:rPr>
          <w:rFonts w:hint="eastAsia" w:ascii="仿宋" w:hAnsi="仿宋" w:eastAsia="仿宋"/>
          <w:sz w:val="28"/>
          <w:szCs w:val="28"/>
        </w:rPr>
        <w:t>2017年12月31日前，辖区内奶站和生鲜乳运输车辆监督抽检完成率100%。</w:t>
      </w:r>
    </w:p>
    <w:p>
      <w:pPr>
        <w:adjustRightInd w:val="0"/>
        <w:snapToGrid w:val="0"/>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bCs/>
          <w:sz w:val="28"/>
          <w:szCs w:val="28"/>
        </w:rPr>
        <w:t>家禽产业专项</w:t>
      </w:r>
      <w:r>
        <w:rPr>
          <w:rFonts w:hint="eastAsia" w:ascii="黑体" w:hAnsi="黑体" w:eastAsia="黑体"/>
          <w:sz w:val="28"/>
          <w:szCs w:val="28"/>
        </w:rPr>
        <w:t>目标任务</w:t>
      </w:r>
    </w:p>
    <w:p>
      <w:pPr>
        <w:pStyle w:val="7"/>
        <w:shd w:val="clear" w:color="auto" w:fill="F8F8F8"/>
        <w:spacing w:before="0" w:beforeAutospacing="0" w:after="0" w:afterAutospacing="0" w:line="360" w:lineRule="atLeast"/>
        <w:ind w:firstLine="658" w:firstLineChars="235"/>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根据省家禽专班要求，完成如下目标任务：</w:t>
      </w:r>
    </w:p>
    <w:p>
      <w:pPr>
        <w:pStyle w:val="7"/>
        <w:shd w:val="clear" w:color="auto" w:fill="F8F8F8"/>
        <w:spacing w:before="0" w:beforeAutospacing="0" w:after="0" w:afterAutospacing="0" w:line="360" w:lineRule="atLeast"/>
        <w:ind w:firstLine="658" w:firstLineChars="235"/>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（一</w:t>
      </w:r>
      <w:r>
        <w:rPr>
          <w:rFonts w:ascii="仿宋" w:hAnsi="仿宋" w:eastAsia="仿宋" w:cs="Times New Roman"/>
          <w:kern w:val="2"/>
          <w:sz w:val="28"/>
          <w:szCs w:val="28"/>
        </w:rPr>
        <w:t>）</w:t>
      </w:r>
      <w:r>
        <w:rPr>
          <w:rFonts w:hint="eastAsia" w:ascii="仿宋" w:hAnsi="仿宋" w:eastAsia="仿宋" w:cs="Times New Roman"/>
          <w:kern w:val="2"/>
          <w:sz w:val="28"/>
          <w:szCs w:val="28"/>
        </w:rPr>
        <w:t>各县（市、区、特区）按照《贵州省2017—2019年度生态家禽产业发展助推脱贫攻坚实施方案》要求，完成2017年度生态家禽出栏及禽蛋产量目标任务。</w:t>
      </w:r>
    </w:p>
    <w:p>
      <w:pPr>
        <w:pStyle w:val="7"/>
        <w:shd w:val="clear" w:color="auto" w:fill="F8F8F8"/>
        <w:spacing w:before="0" w:beforeAutospacing="0" w:after="0" w:afterAutospacing="0" w:line="360" w:lineRule="atLeast"/>
        <w:ind w:firstLine="658" w:firstLineChars="235"/>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（二</w:t>
      </w:r>
      <w:r>
        <w:rPr>
          <w:rFonts w:ascii="仿宋" w:hAnsi="仿宋" w:eastAsia="仿宋" w:cs="Times New Roman"/>
          <w:kern w:val="2"/>
          <w:sz w:val="28"/>
          <w:szCs w:val="28"/>
        </w:rPr>
        <w:t>）</w:t>
      </w:r>
      <w:r>
        <w:rPr>
          <w:rFonts w:hint="eastAsia" w:ascii="仿宋" w:hAnsi="仿宋" w:eastAsia="仿宋" w:cs="Times New Roman"/>
          <w:kern w:val="2"/>
          <w:sz w:val="28"/>
          <w:szCs w:val="28"/>
        </w:rPr>
        <w:t>赤水市、平坝区、纳雍县、松桃县、三穗县、榕江县、长顺县、钟山区完成改扩建原种场1个；乌当区、汇川区、习水县、紫云县、纳雍县、石阡县、麻江县、凯里市、三穗县、施秉县、榕江县、剑河县、义龙新区、普安县、贞丰县分别改扩建扩繁场1个。</w:t>
      </w:r>
    </w:p>
    <w:p>
      <w:pPr>
        <w:pStyle w:val="7"/>
        <w:shd w:val="clear" w:color="auto" w:fill="F8F8F8"/>
        <w:spacing w:before="0" w:beforeAutospacing="0" w:after="0" w:afterAutospacing="0" w:line="360" w:lineRule="atLeast"/>
        <w:ind w:firstLine="658" w:firstLineChars="235"/>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（三</w:t>
      </w:r>
      <w:r>
        <w:rPr>
          <w:rFonts w:ascii="仿宋" w:hAnsi="仿宋" w:eastAsia="仿宋" w:cs="Times New Roman"/>
          <w:kern w:val="2"/>
          <w:sz w:val="28"/>
          <w:szCs w:val="28"/>
        </w:rPr>
        <w:t>）</w:t>
      </w:r>
      <w:r>
        <w:rPr>
          <w:rFonts w:hint="eastAsia" w:ascii="仿宋" w:hAnsi="仿宋" w:eastAsia="仿宋" w:cs="Times New Roman"/>
          <w:kern w:val="2"/>
          <w:sz w:val="28"/>
          <w:szCs w:val="28"/>
        </w:rPr>
        <w:t>贵阳市完成生态家禽直营店（体验间）建设10个并投入运营。</w:t>
      </w:r>
    </w:p>
    <w:p>
      <w:pPr>
        <w:pStyle w:val="7"/>
        <w:shd w:val="clear" w:color="auto" w:fill="F8F8F8"/>
        <w:spacing w:before="0" w:beforeAutospacing="0" w:after="0" w:afterAutospacing="0" w:line="360" w:lineRule="atLeast"/>
        <w:ind w:firstLine="616" w:firstLineChars="22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（四</w:t>
      </w:r>
      <w:r>
        <w:rPr>
          <w:rFonts w:ascii="仿宋" w:hAnsi="仿宋" w:eastAsia="仿宋" w:cs="Times New Roman"/>
          <w:kern w:val="2"/>
          <w:sz w:val="28"/>
          <w:szCs w:val="28"/>
        </w:rPr>
        <w:t>）</w:t>
      </w:r>
      <w:r>
        <w:rPr>
          <w:rFonts w:hint="eastAsia" w:ascii="仿宋" w:hAnsi="仿宋" w:eastAsia="仿宋" w:cs="Times New Roman"/>
          <w:kern w:val="2"/>
          <w:sz w:val="28"/>
          <w:szCs w:val="28"/>
        </w:rPr>
        <w:t>按规定完成家禽粪便污染治理工作。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9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p"/>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707</dc:creator>
  <cp:lastModifiedBy>707</cp:lastModifiedBy>
  <dcterms:modified xsi:type="dcterms:W3CDTF">2018-01-18T02:55:47Z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