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pStyle w:val="8"/>
        <w:spacing w:before="156" w:beforeLines="50" w:after="156" w:afterLines="50"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附件：201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年植保新技术</w:t>
      </w:r>
      <w:r>
        <w:rPr>
          <w:rFonts w:hint="eastAsia" w:eastAsia="仿宋"/>
          <w:sz w:val="32"/>
          <w:szCs w:val="32"/>
        </w:rPr>
        <w:t>研究及示范</w:t>
      </w:r>
      <w:r>
        <w:rPr>
          <w:rFonts w:eastAsia="仿宋"/>
          <w:sz w:val="32"/>
          <w:szCs w:val="32"/>
        </w:rPr>
        <w:t>项目资金安排表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02"/>
        <w:gridCol w:w="127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项目实施单位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项目资金</w:t>
            </w:r>
          </w:p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（万元）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科目名称及代码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福泉市植保植检站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绿色防控与统防统治融合示范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病虫害控制2130108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平塘县植保植检站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农药减施技术示范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病虫害控制2130108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瓮安县植保植检站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农药减施技术示范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病虫害控制2130108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石阡</w:t>
            </w:r>
            <w:r>
              <w:rPr>
                <w:rFonts w:eastAsia="仿宋"/>
                <w:sz w:val="24"/>
                <w:szCs w:val="30"/>
              </w:rPr>
              <w:t>县</w:t>
            </w:r>
            <w:r>
              <w:rPr>
                <w:rFonts w:hint="eastAsia" w:eastAsia="仿宋"/>
                <w:sz w:val="24"/>
                <w:szCs w:val="30"/>
              </w:rPr>
              <w:t>植保植检站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茶园传粉昆虫多样性研究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病虫害控制2130108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湄潭县植保植检站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茶园传粉昆虫多样性研究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hint="eastAsia" w:eastAsia="仿宋"/>
                <w:sz w:val="24"/>
                <w:szCs w:val="30"/>
              </w:rPr>
              <w:t>病虫害控制2130108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Style w:val="8"/>
              <w:spacing w:before="156" w:beforeLines="50" w:after="156" w:afterLines="50" w:line="260" w:lineRule="exact"/>
              <w:jc w:val="center"/>
              <w:rPr>
                <w:rFonts w:eastAsia="仿宋"/>
                <w:b/>
                <w:sz w:val="28"/>
                <w:szCs w:val="30"/>
              </w:rPr>
            </w:pPr>
            <w:r>
              <w:rPr>
                <w:rFonts w:hint="eastAsia" w:eastAsia="仿宋"/>
                <w:b/>
                <w:sz w:val="28"/>
                <w:szCs w:val="30"/>
              </w:rPr>
              <w:t>合计</w:t>
            </w:r>
          </w:p>
        </w:tc>
        <w:tc>
          <w:tcPr>
            <w:tcW w:w="3402" w:type="dxa"/>
            <w:vAlign w:val="center"/>
          </w:tcPr>
          <w:p>
            <w:pPr>
              <w:pStyle w:val="8"/>
              <w:spacing w:before="156" w:beforeLines="50" w:after="156" w:afterLines="50" w:line="260" w:lineRule="exact"/>
              <w:jc w:val="center"/>
              <w:rPr>
                <w:rFonts w:eastAsia="仿宋"/>
                <w:b/>
                <w:sz w:val="28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8"/>
              <w:spacing w:before="156" w:beforeLines="50" w:after="156" w:afterLines="50" w:line="260" w:lineRule="exact"/>
              <w:jc w:val="center"/>
              <w:rPr>
                <w:rFonts w:eastAsia="仿宋"/>
                <w:b/>
                <w:sz w:val="28"/>
                <w:szCs w:val="30"/>
              </w:rPr>
            </w:pPr>
            <w:r>
              <w:rPr>
                <w:rFonts w:hint="eastAsia" w:eastAsia="仿宋"/>
                <w:b/>
                <w:sz w:val="28"/>
                <w:szCs w:val="30"/>
              </w:rPr>
              <w:t>45</w:t>
            </w:r>
          </w:p>
        </w:tc>
        <w:tc>
          <w:tcPr>
            <w:tcW w:w="2977" w:type="dxa"/>
            <w:vAlign w:val="center"/>
          </w:tcPr>
          <w:p>
            <w:pPr>
              <w:pStyle w:val="8"/>
              <w:spacing w:before="156" w:beforeLines="50" w:after="156" w:afterLines="50" w:line="260" w:lineRule="exact"/>
              <w:jc w:val="center"/>
              <w:rPr>
                <w:rFonts w:eastAsia="仿宋"/>
                <w:b/>
                <w:sz w:val="28"/>
                <w:szCs w:val="30"/>
              </w:rPr>
            </w:pP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5D"/>
    <w:rsid w:val="00192C23"/>
    <w:rsid w:val="001F4A98"/>
    <w:rsid w:val="002D70AC"/>
    <w:rsid w:val="006B14F5"/>
    <w:rsid w:val="009067E9"/>
    <w:rsid w:val="00CE26CE"/>
    <w:rsid w:val="00F8345D"/>
    <w:rsid w:val="16C34992"/>
    <w:rsid w:val="3EAE5ECA"/>
    <w:rsid w:val="425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2017-05-05T09:09:00Z</dcterms:created>
  <dc:creator>Dell</dc:creator>
  <cp:lastModifiedBy>吴琼</cp:lastModifiedBy>
  <cp:lastPrinted>2017-05-10T02:01:00Z</cp:lastPrinted>
  <dcterms:modified xsi:type="dcterms:W3CDTF">2017-05-16T03:02:38Z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