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76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2017年度蔬菜、食用菌项目任务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一、蔬菜项目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（一）特色蔬菜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1.总体目标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建成规模化示范基地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4.8万亩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示范推广“321模式”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，培育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主业突出的家庭农场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个。</w:t>
      </w:r>
      <w:r>
        <w:rPr>
          <w:rFonts w:hint="eastAsia" w:ascii="仿宋" w:hAnsi="仿宋" w:eastAsia="仿宋" w:cs="仿宋"/>
          <w:sz w:val="32"/>
          <w:szCs w:val="32"/>
        </w:rPr>
        <w:t>（责任单位：贵州省农科院、黔南州农委、遵义市农委、安顺市农委、黔东南州农委、黔西南州农委、贵阳市农委、毕节市农委、六盘水市农委、铜仁市农委、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有关县（市、区）农业（牧、林）局）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2.项目任务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（1）“321模式”示范推广项目（500万元）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支持贵州省农业科学院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建成稳定的专家团队，</w:t>
      </w:r>
      <w:r>
        <w:rPr>
          <w:rFonts w:hint="eastAsia" w:ascii="仿宋" w:hAnsi="仿宋" w:eastAsia="仿宋" w:cs="仿宋"/>
          <w:sz w:val="32"/>
          <w:szCs w:val="32"/>
        </w:rPr>
        <w:t>在全省示范推广“321模式”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，在基地分类实现年亩产值3万元、2万元、1万元。</w:t>
      </w:r>
      <w:r>
        <w:rPr>
          <w:rFonts w:hint="eastAsia" w:ascii="仿宋" w:hAnsi="仿宋" w:eastAsia="仿宋" w:cs="仿宋"/>
          <w:sz w:val="32"/>
          <w:szCs w:val="32"/>
        </w:rPr>
        <w:t>建成标准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</w:t>
      </w:r>
      <w:r>
        <w:rPr>
          <w:rFonts w:hint="eastAsia" w:ascii="仿宋" w:hAnsi="仿宋" w:eastAsia="仿宋" w:cs="仿宋"/>
          <w:sz w:val="32"/>
          <w:szCs w:val="32"/>
        </w:rPr>
        <w:t>示范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1600</w:t>
      </w:r>
      <w:r>
        <w:rPr>
          <w:rFonts w:hint="eastAsia" w:ascii="仿宋" w:hAnsi="仿宋" w:eastAsia="仿宋" w:cs="仿宋"/>
          <w:sz w:val="32"/>
          <w:szCs w:val="32"/>
        </w:rPr>
        <w:t>亩，推广高效种植模式16万亩，促进示范县产业发展，带动当地建档立卡贫困户脱贫。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（2）规模化示范基地建设项目（4800万元）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黔西县（600万元）</w:t>
      </w:r>
      <w:r>
        <w:rPr>
          <w:rFonts w:hint="eastAsia" w:ascii="仿宋" w:hAnsi="仿宋" w:eastAsia="仿宋" w:cs="仿宋"/>
          <w:sz w:val="32"/>
          <w:szCs w:val="32"/>
        </w:rPr>
        <w:t>，建成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规模化示范基地0.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都匀市（600万元）</w:t>
      </w:r>
      <w:r>
        <w:rPr>
          <w:rFonts w:hint="eastAsia" w:ascii="仿宋" w:hAnsi="仿宋" w:eastAsia="仿宋" w:cs="仿宋"/>
          <w:sz w:val="32"/>
          <w:szCs w:val="32"/>
        </w:rPr>
        <w:t>，建成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sz w:val="32"/>
          <w:szCs w:val="32"/>
        </w:rPr>
        <w:t>万亩，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榕江县（500万元）</w:t>
      </w:r>
      <w:r>
        <w:rPr>
          <w:rFonts w:hint="eastAsia" w:ascii="仿宋" w:hAnsi="仿宋" w:eastAsia="仿宋" w:cs="仿宋"/>
          <w:sz w:val="32"/>
          <w:szCs w:val="32"/>
        </w:rPr>
        <w:t>，建成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规模化示范基地0.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西秀区（500万元）</w:t>
      </w:r>
      <w:r>
        <w:rPr>
          <w:rFonts w:hint="eastAsia" w:ascii="仿宋" w:hAnsi="仿宋" w:eastAsia="仿宋" w:cs="仿宋"/>
          <w:sz w:val="32"/>
          <w:szCs w:val="32"/>
        </w:rPr>
        <w:t>，建成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万亩，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德江县（500万元），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规模化示范基地0.5万亩，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主业突出的家庭农场1个。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修文县（500万元），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规模化示范基地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主业突出的家庭农场2个。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册亨县（500万元），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规模化示范基地0.5万亩，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盘州（500万元），</w:t>
      </w:r>
      <w:r>
        <w:rPr>
          <w:rFonts w:hint="eastAsia" w:ascii="仿宋" w:hAnsi="仿宋" w:eastAsia="仿宋" w:cs="仿宋"/>
          <w:sz w:val="32"/>
          <w:szCs w:val="32"/>
        </w:rPr>
        <w:t>建成规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模化示范基地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万亩。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主业突出的家庭农场1个。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桐梓县（500万元），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规模化示范基地0.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主业突出的家庭农场1个。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贵安新区（100万元）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规模化示范基地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" w:hAnsi="仿宋" w:eastAsia="仿宋" w:cs="仿宋"/>
          <w:sz w:val="32"/>
          <w:szCs w:val="32"/>
        </w:rPr>
        <w:t>万亩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，配套水电路等基础设施，在该基地开展绿色高产高效技术示范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0.25万亩，完成项目区产地“三品”认定，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二、食用菌项目</w:t>
      </w:r>
    </w:p>
    <w:p>
      <w:pPr>
        <w:spacing w:line="576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（一）食用菌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1.总体目标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支持12个县围绕优势特色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品种，加强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适度规模经营，建设规模化基地8万亩（亿棒）以上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建成1个区域性菌种研发供应基地，开展以红托竹荪和冬荪为代表特色珍稀食用菌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菌种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研发，年产原种和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栽培种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300万瓶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。开展“黔菌行天下”活动，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在上海、广州等帮扶城市宣传推介和开拓市场，提高市场占有率和扩大产业影响力。</w:t>
      </w:r>
      <w:r>
        <w:rPr>
          <w:rFonts w:hint="eastAsia" w:ascii="仿宋" w:hAnsi="仿宋" w:eastAsia="仿宋" w:cs="仿宋"/>
          <w:sz w:val="32"/>
          <w:szCs w:val="32"/>
        </w:rPr>
        <w:t>（责任单位：黔南州农委、遵义市农委、安顺市农委、黔东南州农委、黔西南州农委、贵阳市农委、毕节市农委、六盘水市农委、铜仁市农委、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有关县（市、区）农业（牧、林）局）</w:t>
      </w:r>
    </w:p>
    <w:p>
      <w:pPr>
        <w:spacing w:line="576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区域性菌种研发供应基地建设项目1500万元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在纳雍县建设1个红托竹荪和冬荪研发供应基地，年产原种和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栽培种</w:t>
      </w:r>
      <w:r>
        <w:rPr>
          <w:rFonts w:hint="eastAsia" w:ascii="仿宋" w:hAnsi="仿宋" w:eastAsia="仿宋"/>
          <w:color w:val="000000"/>
          <w:sz w:val="32"/>
          <w:szCs w:val="32"/>
        </w:rPr>
        <w:t>300万瓶，满足3亿棒食用菌菌棒生产对菌种的需要。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“黔菌”入沪宣传推介项目100万元</w:t>
      </w:r>
    </w:p>
    <w:p>
      <w:pPr>
        <w:spacing w:line="576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在上海、广州等帮扶城市对“黔菌”进行宣传推介和开拓市场。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规模化生产基地建设项目8400万元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安龙县（2000万元）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生产面积2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威宁县（1000万）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生产面积1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西秀区（1000万元），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生产面积1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印江县（1000万），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生产面积1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义龙新区（600万）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生产面积0.5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黔西县（500万），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生产面积0.5</w:t>
      </w:r>
      <w:r>
        <w:rPr>
          <w:rFonts w:hint="eastAsia" w:ascii="仿宋" w:hAnsi="仿宋" w:eastAsia="仿宋" w:cs="仿宋"/>
          <w:sz w:val="32"/>
          <w:szCs w:val="32"/>
        </w:rPr>
        <w:t>万亩（亿棒），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玉屏县（500万）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生产面积0.5</w:t>
      </w:r>
      <w:r>
        <w:rPr>
          <w:rFonts w:hint="eastAsia" w:ascii="仿宋" w:hAnsi="仿宋" w:eastAsia="仿宋" w:cs="仿宋"/>
          <w:sz w:val="32"/>
          <w:szCs w:val="32"/>
        </w:rPr>
        <w:t>万亩（亿棒），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道真县（500万）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生产面积0.5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播州区（500万），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生产面积0.5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剑河县（500万），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主业突出的家庭农场2个。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从江县（200万）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生产面积0.02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spacing w:line="576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惠水县（100万），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相对集中连片的</w:t>
      </w:r>
      <w:r>
        <w:rPr>
          <w:rFonts w:hint="eastAsia" w:ascii="仿宋" w:hAnsi="仿宋" w:eastAsia="仿宋" w:cs="仿宋"/>
          <w:sz w:val="32"/>
          <w:szCs w:val="32"/>
        </w:rPr>
        <w:t>规模化生产基地</w:t>
      </w:r>
      <w:r>
        <w:rPr>
          <w:rFonts w:hint="eastAsia" w:ascii="仿宋" w:hAnsi="仿宋" w:eastAsia="仿宋"/>
          <w:sz w:val="32"/>
          <w:szCs w:val="32"/>
        </w:rPr>
        <w:t>生产面积0.01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培育</w:t>
      </w:r>
      <w:r>
        <w:rPr>
          <w:rFonts w:hint="eastAsia" w:ascii="仿宋" w:hAnsi="仿宋" w:eastAsia="仿宋" w:cs="仿宋"/>
          <w:sz w:val="32"/>
          <w:szCs w:val="32"/>
        </w:rPr>
        <w:t>主业突出的家庭农场1个。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三、省级新增农业重点项目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</w:rPr>
        <w:t>安龙县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700万元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建成相对集中连片的规模化基地</w:t>
      </w:r>
      <w:r>
        <w:rPr>
          <w:rFonts w:hint="eastAsia" w:ascii="仿宋" w:hAnsi="仿宋" w:eastAsia="仿宋"/>
          <w:sz w:val="32"/>
          <w:szCs w:val="32"/>
        </w:rPr>
        <w:t>生产面积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2、罗甸县（100万）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建成相对集中连片的规模化基地</w:t>
      </w:r>
      <w:r>
        <w:rPr>
          <w:rFonts w:hint="eastAsia" w:ascii="仿宋" w:hAnsi="仿宋" w:eastAsia="仿宋"/>
          <w:sz w:val="32"/>
          <w:szCs w:val="32"/>
        </w:rPr>
        <w:t>生产面积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0.03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3、纳雍县（200万）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建成相对集中连片的规模化基地</w:t>
      </w:r>
      <w:r>
        <w:rPr>
          <w:rFonts w:hint="eastAsia" w:ascii="仿宋" w:hAnsi="仿宋" w:eastAsia="仿宋"/>
          <w:sz w:val="32"/>
          <w:szCs w:val="32"/>
        </w:rPr>
        <w:t>生产面积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万亩（亿棒）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完成项目区产地“三品”认定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540" w:lineRule="exact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附件2</w:t>
      </w:r>
    </w:p>
    <w:p>
      <w:pPr>
        <w:tabs>
          <w:tab w:val="left" w:pos="4504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</w:rPr>
        <w:t>2017年蔬菜、食用菌专项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资金项目</w:t>
      </w:r>
    </w:p>
    <w:p>
      <w:pPr>
        <w:tabs>
          <w:tab w:val="left" w:pos="4504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（模板）</w:t>
      </w:r>
    </w:p>
    <w:p/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rPr>
          <w:rFonts w:eastAsia="华文中宋"/>
          <w:color w:val="000000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</w:rPr>
        <w:t>名称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承担</w:t>
      </w:r>
      <w:r>
        <w:rPr>
          <w:rFonts w:eastAsia="仿宋_GB2312"/>
          <w:color w:val="000000"/>
          <w:sz w:val="32"/>
          <w:szCs w:val="32"/>
        </w:rPr>
        <w:t>单位：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</w:p>
    <w:p>
      <w:pPr>
        <w:tabs>
          <w:tab w:val="left" w:pos="1260"/>
        </w:tabs>
        <w:snapToGrid w:val="0"/>
        <w:spacing w:line="600" w:lineRule="exact"/>
        <w:ind w:firstLine="1257" w:firstLineChars="39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填制日期：</w:t>
      </w:r>
    </w:p>
    <w:p>
      <w:pPr>
        <w:snapToGrid w:val="0"/>
        <w:spacing w:line="600" w:lineRule="exact"/>
        <w:jc w:val="center"/>
        <w:rPr>
          <w:rFonts w:hint="eastAsia"/>
          <w:b/>
          <w:bCs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/>
          <w:b/>
          <w:bCs/>
          <w:color w:val="000000"/>
          <w:sz w:val="30"/>
          <w:szCs w:val="30"/>
        </w:rPr>
        <w:t xml:space="preserve">                    </w:t>
      </w: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hint="eastAsia"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/>
          <w:b/>
          <w:bCs/>
          <w:color w:val="000000"/>
          <w:sz w:val="30"/>
          <w:szCs w:val="30"/>
        </w:rPr>
        <w:t>贵州省农业委员会</w:t>
      </w:r>
      <w:r>
        <w:rPr>
          <w:rFonts w:eastAsia="楷体_GB2312"/>
          <w:b/>
          <w:bCs/>
          <w:color w:val="000000"/>
          <w:sz w:val="30"/>
          <w:szCs w:val="30"/>
        </w:rPr>
        <w:t>制</w:t>
      </w:r>
    </w:p>
    <w:p>
      <w:pPr>
        <w:snapToGrid w:val="0"/>
        <w:spacing w:line="600" w:lineRule="exact"/>
        <w:ind w:firstLine="2846" w:firstLineChars="945"/>
        <w:rPr>
          <w:rFonts w:hint="eastAsia" w:eastAsia="楷体_GB2312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ind w:firstLine="3036" w:firstLineChars="945"/>
        <w:rPr>
          <w:rFonts w:hint="eastAsia" w:eastAsia="方正仿宋"/>
          <w:b/>
          <w:bCs/>
          <w:sz w:val="32"/>
          <w:szCs w:val="32"/>
        </w:rPr>
      </w:pPr>
    </w:p>
    <w:p>
      <w:pPr>
        <w:snapToGrid w:val="0"/>
        <w:spacing w:line="600" w:lineRule="exact"/>
        <w:ind w:firstLine="3036" w:firstLineChars="945"/>
        <w:rPr>
          <w:rFonts w:hint="eastAsia" w:eastAsia="方正仿宋"/>
          <w:b/>
          <w:bCs/>
          <w:sz w:val="32"/>
          <w:szCs w:val="32"/>
        </w:rPr>
      </w:pP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eastAsia="方正仿宋"/>
          <w:b/>
          <w:bCs/>
          <w:sz w:val="32"/>
          <w:szCs w:val="32"/>
        </w:rPr>
      </w:pP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eastAsia="方正仿宋"/>
          <w:b/>
          <w:bCs/>
          <w:sz w:val="32"/>
          <w:szCs w:val="32"/>
        </w:rPr>
      </w:pP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一、项目概要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简要叙述当地产业现状，项目主要内容和实施意义，当地党委、政府重视及扶持产业发展的有关情况。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二、项目区基本情况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（一）产销条件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说明项目区实施地点的海拔、土地条件、排灌条件、交通运输条件、主要目标市场、采后处理配套等条件和产销组织情况。项目要具体落实到坝子、村、组、园区，说明新建或扩建，示范区和带动发展区，覆盖农户数等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（二）产业基础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上年项目区实际产销规模、产销组织、主要销售市场及方式、主要种类、上市时间、主要种类实际平均价格，实际销售情况及效益等。</w:t>
      </w:r>
    </w:p>
    <w:p>
      <w:pPr>
        <w:tabs>
          <w:tab w:val="left" w:pos="4504"/>
        </w:tabs>
        <w:spacing w:line="600" w:lineRule="exact"/>
        <w:rPr>
          <w:rFonts w:hint="eastAsia" w:eastAsia="方正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三、项目任务</w:t>
      </w:r>
      <w:r>
        <w:rPr>
          <w:rFonts w:hint="eastAsia" w:eastAsia="方正仿宋"/>
          <w:sz w:val="32"/>
          <w:szCs w:val="32"/>
        </w:rPr>
        <w:t>（按本文件安排）</w:t>
      </w:r>
    </w:p>
    <w:p>
      <w:pPr>
        <w:tabs>
          <w:tab w:val="left" w:pos="4504"/>
        </w:tabs>
        <w:spacing w:line="600" w:lineRule="exact"/>
        <w:rPr>
          <w:rFonts w:hint="eastAsia" w:eastAsia="方正仿宋"/>
          <w:b/>
          <w:bCs/>
          <w:sz w:val="32"/>
          <w:szCs w:val="32"/>
        </w:rPr>
      </w:pPr>
      <w:r>
        <w:rPr>
          <w:rFonts w:hint="eastAsia" w:eastAsia="方正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四、项目实施内容、投资概算及资金筹措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（一）实施内容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1.实施规模。包括试验、示范区规模、带动发展区规模。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2.实施内容。说明项目要实施的各项具体内容。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3.项目实施进度。说明项目实施期限及各项工作的进度安排。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（二）投资概算及筹资方案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项目总投资，包括整合其他财政资金细目、引进各类社会资金细目、实施主体自筹资金和申请省级资金额度。</w:t>
      </w:r>
    </w:p>
    <w:p>
      <w:pPr>
        <w:tabs>
          <w:tab w:val="left" w:pos="4504"/>
        </w:tabs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五、产销衔接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包括生产与主要目标市场的衔接模式，招商引资，品牌创建及营销策划等情况。</w:t>
      </w:r>
    </w:p>
    <w:p>
      <w:pPr>
        <w:tabs>
          <w:tab w:val="left" w:pos="4504"/>
        </w:tabs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六、保障措施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（一）组织领导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项目的组织管理措施。</w:t>
      </w:r>
    </w:p>
    <w:p>
      <w:pPr>
        <w:tabs>
          <w:tab w:val="left" w:pos="4504"/>
        </w:tabs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（二）技术措施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eastAsia="方正仿宋"/>
          <w:sz w:val="32"/>
          <w:szCs w:val="32"/>
        </w:rPr>
        <w:t>包括项目单位技术力量和技术依托，项目区产销组织、家庭农场、大户和农户蔬菜</w:t>
      </w:r>
      <w:r>
        <w:rPr>
          <w:rFonts w:hint="eastAsia" w:eastAsia="方正仿宋"/>
          <w:sz w:val="32"/>
          <w:szCs w:val="32"/>
          <w:lang w:eastAsia="zh-CN"/>
        </w:rPr>
        <w:t>情况</w:t>
      </w:r>
      <w:r>
        <w:rPr>
          <w:rFonts w:hint="eastAsia" w:eastAsia="方正仿宋"/>
          <w:sz w:val="32"/>
          <w:szCs w:val="32"/>
        </w:rPr>
        <w:t>；技术示范推广方法；以生态化栽培为基本要求的技术措施要点。</w:t>
      </w:r>
    </w:p>
    <w:p>
      <w:pPr>
        <w:tabs>
          <w:tab w:val="left" w:pos="4504"/>
        </w:tabs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七、附件材料</w:t>
      </w:r>
    </w:p>
    <w:p>
      <w:pPr>
        <w:tabs>
          <w:tab w:val="left" w:pos="4504"/>
        </w:tabs>
        <w:spacing w:line="600" w:lineRule="exact"/>
        <w:ind w:firstLine="640" w:firstLineChars="200"/>
        <w:rPr>
          <w:rFonts w:hint="eastAsia" w:eastAsia="方正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成立领导小组、实施小组的文件；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有关产销组织工商营业执照或法人证明；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有其它资金投入的请附文件或证明。</w:t>
      </w:r>
    </w:p>
    <w:p>
      <w:pP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E053"/>
    <w:multiLevelType w:val="singleLevel"/>
    <w:tmpl w:val="59DDE05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47DA2"/>
    <w:rsid w:val="14747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2017-11-15T06:01:00Z</dcterms:created>
  <dc:creator>jzc</dc:creator>
  <cp:lastModifiedBy>jzc</cp:lastModifiedBy>
  <dcterms:modified xsi:type="dcterms:W3CDTF">2017-11-15T06:02:07Z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