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ajorEastAsia"/>
          <w:b/>
          <w:bCs/>
          <w:sz w:val="44"/>
          <w:szCs w:val="44"/>
          <w:lang w:val="en-US" w:eastAsia="zh-CN"/>
        </w:rPr>
      </w:pPr>
      <w:bookmarkStart w:id="0" w:name="_GoBack"/>
      <w:r>
        <w:rPr>
          <w:rFonts w:hint="default" w:ascii="Times New Roman" w:hAnsi="Times New Roman" w:cs="Times New Roman" w:eastAsiaTheme="majorEastAsia"/>
          <w:b/>
          <w:bCs/>
          <w:sz w:val="44"/>
          <w:szCs w:val="44"/>
          <w:lang w:val="en-US" w:eastAsia="zh-CN"/>
        </w:rPr>
        <w:t>关于下达贵阳市动物标识溯源体系建设</w:t>
      </w:r>
    </w:p>
    <w:p>
      <w:pPr>
        <w:jc w:val="center"/>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lang w:val="en-US" w:eastAsia="zh-CN"/>
        </w:rPr>
        <w:t>补助经费的通知</w:t>
      </w:r>
    </w:p>
    <w:p>
      <w:pPr>
        <w:jc w:val="center"/>
        <w:rPr>
          <w:rFonts w:hint="default" w:ascii="Times New Roman" w:hAnsi="Times New Roman" w:cs="Times New Roman" w:eastAsiaTheme="majorEastAsia"/>
          <w:b/>
          <w:bCs/>
          <w:sz w:val="44"/>
          <w:szCs w:val="44"/>
          <w:lang w:val="en-US" w:eastAsia="zh-CN"/>
        </w:rPr>
      </w:pPr>
    </w:p>
    <w:p>
      <w:pPr>
        <w:ind w:firstLine="64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黔农计〔2009〕105号</w:t>
      </w: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贵阳市农业局：</w:t>
      </w: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动物标识溯源体系建设工作是无规定动物疫病示范区的重要组成部分。建立动物标识及疫病可追溯体系，是有效防控重大动物疫病，保障动物源性食品安全，促进畜牧业持续健康发展的迫切需要。耳标佩戴是整个溯源体系建设工作核心之一，是记录溯源信息的载体，是开展追溯工作的基础。为确保动物标识溯源体系建设工作的顺利开展，经7月31日原省畜牧兽医局办公会议研究决定，现下拨畜禽标识动物耳标专项资金100万元给你们，用于无规定动物疫病示范区项目建设。</w:t>
      </w: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请你单位抓紧组织项目实施，严格按照财务管理的有关规定，加强管理，规范资金使用，确保专款专用。</w:t>
      </w:r>
    </w:p>
    <w:p>
      <w:pPr>
        <w:ind w:firstLine="640"/>
        <w:rPr>
          <w:rFonts w:hint="default" w:ascii="Times New Roman" w:hAnsi="Times New Roman" w:eastAsia="仿宋_GB2312" w:cs="Times New Roman"/>
          <w:sz w:val="32"/>
          <w:szCs w:val="32"/>
          <w:lang w:val="en-US" w:eastAsia="zh-CN"/>
        </w:rPr>
      </w:pPr>
    </w:p>
    <w:p>
      <w:pPr>
        <w:ind w:firstLine="640"/>
        <w:rPr>
          <w:rFonts w:hint="default" w:ascii="Times New Roman" w:hAnsi="Times New Roman" w:eastAsia="仿宋_GB2312" w:cs="Times New Roman"/>
          <w:sz w:val="32"/>
          <w:szCs w:val="32"/>
          <w:lang w:val="en-US" w:eastAsia="zh-CN"/>
        </w:rPr>
      </w:pPr>
    </w:p>
    <w:p>
      <w:pPr>
        <w:ind w:firstLine="4486" w:firstLineChars="1402"/>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二〇〇九年九月二日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迷你简隶二">
    <w:altName w:val="宋体"/>
    <w:panose1 w:val="03000509000000000000"/>
    <w:charset w:val="86"/>
    <w:family w:val="auto"/>
    <w:pitch w:val="default"/>
    <w:sig w:usb0="00000000" w:usb1="00000000" w:usb2="00000000" w:usb3="00000000" w:csb0="00040000" w:csb1="00000000"/>
  </w:font>
  <w:font w:name="書法家行楷體">
    <w:altName w:val="宋体"/>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322EF"/>
    <w:rsid w:val="7C28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qwer</dc:creator>
  <cp:lastModifiedBy>admin</cp:lastModifiedBy>
  <dcterms:modified xsi:type="dcterms:W3CDTF">2017-07-06T03:07:49Z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