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 w:val="32"/>
          <w:szCs w:val="32"/>
        </w:rPr>
      </w:pPr>
      <w:r>
        <w:rPr>
          <w:rFonts w:hint="eastAsia" w:ascii="楷体" w:hAnsi="楷体" w:eastAsia="楷体"/>
          <w:sz w:val="32"/>
          <w:szCs w:val="32"/>
        </w:rPr>
        <w:t>附件2：</w:t>
      </w:r>
    </w:p>
    <w:p>
      <w:pPr>
        <w:widowControl/>
        <w:spacing w:before="100" w:beforeAutospacing="1" w:after="100" w:afterAutospacing="1"/>
        <w:jc w:val="center"/>
        <w:outlineLvl w:val="2"/>
        <w:rPr>
          <w:rFonts w:ascii="宋体" w:hAnsi="宋体" w:eastAsia="宋体" w:cs="宋体"/>
          <w:bCs/>
          <w:kern w:val="0"/>
          <w:sz w:val="40"/>
          <w:szCs w:val="44"/>
        </w:rPr>
      </w:pPr>
      <w:bookmarkStart w:id="0" w:name="_GoBack"/>
      <w:r>
        <w:rPr>
          <w:rFonts w:ascii="宋体" w:hAnsi="宋体" w:eastAsia="宋体" w:cs="宋体"/>
          <w:bCs/>
          <w:kern w:val="0"/>
          <w:sz w:val="40"/>
          <w:szCs w:val="44"/>
        </w:rPr>
        <w:t>2017年第</w:t>
      </w:r>
      <w:r>
        <w:rPr>
          <w:rFonts w:hint="eastAsia" w:ascii="宋体" w:hAnsi="宋体" w:eastAsia="宋体" w:cs="宋体"/>
          <w:bCs/>
          <w:kern w:val="0"/>
          <w:sz w:val="40"/>
          <w:szCs w:val="44"/>
          <w:lang w:val="en-US" w:eastAsia="zh-CN"/>
        </w:rPr>
        <w:t>3</w:t>
      </w:r>
      <w:r>
        <w:rPr>
          <w:rFonts w:ascii="宋体" w:hAnsi="宋体" w:eastAsia="宋体" w:cs="宋体"/>
          <w:bCs/>
          <w:kern w:val="0"/>
          <w:sz w:val="40"/>
          <w:szCs w:val="44"/>
        </w:rPr>
        <w:t>季度</w:t>
      </w:r>
      <w:r>
        <w:rPr>
          <w:rFonts w:hint="eastAsia" w:ascii="宋体" w:hAnsi="宋体" w:eastAsia="宋体" w:cs="宋体"/>
          <w:bCs/>
          <w:kern w:val="0"/>
          <w:sz w:val="40"/>
          <w:szCs w:val="44"/>
        </w:rPr>
        <w:t>行政</w:t>
      </w:r>
      <w:r>
        <w:rPr>
          <w:rFonts w:ascii="宋体" w:hAnsi="宋体" w:eastAsia="宋体" w:cs="宋体"/>
          <w:bCs/>
          <w:kern w:val="0"/>
          <w:sz w:val="40"/>
          <w:szCs w:val="44"/>
        </w:rPr>
        <w:t>规范性文件登记编号目录</w:t>
      </w:r>
    </w:p>
    <w:bookmarkEnd w:id="0"/>
    <w:tbl>
      <w:tblPr>
        <w:tblStyle w:val="3"/>
        <w:tblW w:w="8099"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8"/>
        <w:gridCol w:w="1276"/>
        <w:gridCol w:w="2551"/>
        <w:gridCol w:w="141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276"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制定机关</w:t>
            </w:r>
          </w:p>
        </w:tc>
        <w:tc>
          <w:tcPr>
            <w:tcW w:w="2551"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行政规范性文件名称</w:t>
            </w:r>
          </w:p>
        </w:tc>
        <w:tc>
          <w:tcPr>
            <w:tcW w:w="1418"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登记日期</w:t>
            </w:r>
          </w:p>
        </w:tc>
        <w:tc>
          <w:tcPr>
            <w:tcW w:w="2126"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省财政厅</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贵州省省级妇女儿童专项资金使用管理办法</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2017-09-28</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省财政厅</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贵州省国库现金管理实施办法</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2017-07-17</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省财政厅</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贵州省省级政府向社会力量购买服务培育资金管理办法（试行）</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2017-07-05</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4</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省财政厅</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贵州省安全生产专项资金管理办法</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2017-08-22</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5"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5</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省残联</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《关于印发&lt;贵州省无障碍环境建设“十三五”实施方案&gt;的通知》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2017-09-19</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QFGD-2017-57003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6"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6</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省残联</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《省残疾人联合会　省财政厅　省人力资源和社会保障厅 省体育局关于印发&lt;贵州省残疾人体育运动比赛成绩奖励暂行办法&gt;的通知》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2017-07-17</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QFGD-2017-57002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4"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7</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省地税局</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贵州省地方税务局 贵州省国家税务局关于办税事项全省通办的公告</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2017-09-18</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3" w:hRule="atLeast"/>
        </w:trPr>
        <w:tc>
          <w:tcPr>
            <w:tcW w:w="728" w:type="dxa"/>
            <w:tcBorders>
              <w:top w:val="nil"/>
              <w:left w:val="single" w:color="000000" w:sz="4" w:space="0"/>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8</w:t>
            </w:r>
          </w:p>
        </w:tc>
        <w:tc>
          <w:tcPr>
            <w:tcW w:w="127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省地税局</w:t>
            </w:r>
          </w:p>
        </w:tc>
        <w:tc>
          <w:tcPr>
            <w:tcW w:w="2551"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贵州省地方税务局关于公布税务行政许可事项目录的公告</w:t>
            </w:r>
          </w:p>
        </w:tc>
        <w:tc>
          <w:tcPr>
            <w:tcW w:w="1418"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2017-08-02</w:t>
            </w:r>
          </w:p>
        </w:tc>
        <w:tc>
          <w:tcPr>
            <w:tcW w:w="212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QFGD-2017-26002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贵州省易地扶贫搬迁中央预算内投资管理办法</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3" w:hRule="atLeast"/>
        </w:trPr>
        <w:tc>
          <w:tcPr>
            <w:tcW w:w="728" w:type="dxa"/>
            <w:tcBorders>
              <w:top w:val="single" w:color="auto" w:sz="4" w:space="0"/>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10</w:t>
            </w:r>
          </w:p>
        </w:tc>
        <w:tc>
          <w:tcPr>
            <w:tcW w:w="1276"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w:t>
            </w:r>
          </w:p>
        </w:tc>
        <w:tc>
          <w:tcPr>
            <w:tcW w:w="2551"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贵州省固定资产投资项目节能审查实施办法</w:t>
            </w:r>
          </w:p>
        </w:tc>
        <w:tc>
          <w:tcPr>
            <w:tcW w:w="1418"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2017-07-21</w:t>
            </w:r>
          </w:p>
        </w:tc>
        <w:tc>
          <w:tcPr>
            <w:tcW w:w="2126"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2"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贵州省省级预算内基本建设投资管理办法的通知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2017-09-26</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9"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省发展改革委关于取消降低部分供电系统对外常规作业服务收费的通知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2017-09-15</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6"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《省工商局关于进一步充分发挥工商行政管理职能作用积极扶持返乡农民工创业就业的通知》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2017-08-07</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5"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14</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《省工商局关于进一步充分发挥工商行政管理职能作用积极培育和支持农民专业合作社发展的通知》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2017-08-07</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6" w:hRule="atLeast"/>
        </w:trPr>
        <w:tc>
          <w:tcPr>
            <w:tcW w:w="728"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15</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贵州省工商局关于废止部分规范性文件的公告</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2017-08-02</w:t>
            </w:r>
          </w:p>
        </w:tc>
        <w:tc>
          <w:tcPr>
            <w:tcW w:w="212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6"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贵州省工商行政管理机关处理消费者投诉办法</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2017-08-04</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4" w:hRule="atLeast"/>
        </w:trPr>
        <w:tc>
          <w:tcPr>
            <w:tcW w:w="728"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17</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省工商局</w:t>
            </w:r>
          </w:p>
        </w:tc>
        <w:tc>
          <w:tcPr>
            <w:tcW w:w="2551"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 xml:space="preserve">省工商局 省商务厅关于印发《推行外商投资企业设立申请“一窗受理”制度实施方案》的通知 </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 w:hRule="atLeast"/>
        </w:trPr>
        <w:tc>
          <w:tcPr>
            <w:tcW w:w="728"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18</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省环保厅</w:t>
            </w:r>
          </w:p>
        </w:tc>
        <w:tc>
          <w:tcPr>
            <w:tcW w:w="2551"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《关于实施环境信用修复有关事项的通知（审议稿）》</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2017-08-29</w:t>
            </w:r>
          </w:p>
        </w:tc>
        <w:tc>
          <w:tcPr>
            <w:tcW w:w="212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QFGD-2017-19003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6" w:hRule="atLeast"/>
        </w:trPr>
        <w:tc>
          <w:tcPr>
            <w:tcW w:w="728"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19</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w:t>
            </w:r>
          </w:p>
        </w:tc>
        <w:tc>
          <w:tcPr>
            <w:tcW w:w="2551"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省教育厅关于进一步规范全省义务教育学校作息时间的通知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2017-08-24</w:t>
            </w:r>
          </w:p>
        </w:tc>
        <w:tc>
          <w:tcPr>
            <w:tcW w:w="212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QFGD-2017-16009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7" w:hRule="atLeast"/>
        </w:trPr>
        <w:tc>
          <w:tcPr>
            <w:tcW w:w="728" w:type="dxa"/>
            <w:tcBorders>
              <w:top w:val="nil"/>
              <w:left w:val="single" w:color="000000" w:sz="4" w:space="0"/>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w:t>
            </w:r>
          </w:p>
        </w:tc>
        <w:tc>
          <w:tcPr>
            <w:tcW w:w="127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w:t>
            </w:r>
          </w:p>
        </w:tc>
        <w:tc>
          <w:tcPr>
            <w:tcW w:w="2551"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 省发展改革委 省财政厅省国土资源厅 省住房城乡建设厅关于印发加快推进中小学幼儿园基本建设工作意见的通知</w:t>
            </w:r>
          </w:p>
        </w:tc>
        <w:tc>
          <w:tcPr>
            <w:tcW w:w="1418"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2017-08-11</w:t>
            </w:r>
          </w:p>
        </w:tc>
        <w:tc>
          <w:tcPr>
            <w:tcW w:w="212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省教育厅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贵州省教育厅关于进一步推进高中阶段学校考试招生制度改革的实施意见</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2017-08-18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5"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省经济和信息化委</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关于印发贵州省民爆行业应急预案管理办法和贵州省民爆行业重大危险源管理办法的通知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2"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省林业厅关于进一步搞好我省林业生态保护有奖报告工作的通知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7"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省林业厅关于印发《贵州省森林经营样板基地建设管理办法（试行）》的通知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2017-08-24</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2"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省林业厅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贵州省林业厅关于风力发电场建设项目使用林地有关问题的通知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6"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省民政厅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贵州省民政厅等部门《关于印发贵州省城乡社区服务体系建设规划（2016-2020年）》的通知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2017-08-29</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7"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省民政厅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关于印发《贵州省星级特困人员供养服务机构评定办法（试行）》《贵州省星级特困人员供养服务机构评定标准（试行）》的通知》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0"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省民政厅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贵州省民政厅关于进一步加强基层民政工作的指导意见</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2017-08-28</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8"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省民政厅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 xml:space="preserve">贵州省加强医疗救助与城乡居民大病保险有效衔接实施方案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8"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省能源局</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《省能源局关于加强油气输送管道高后果区安全管理的通知》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2017-09-18</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6"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省能源局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《贵州省煤矿智能机械化建设与验收暂行办法》</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7"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省农委</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省农委关于废止《贵州省农业委员会（第9号）公告》的公告</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2017-09-26</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2"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省人力资源社会保障厅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关于印发《贵州省基本医疗保险定点协议医疗机构医师医疗服务管理办法》的通知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2017-08-24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QFGD-2017-14008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省人力资源社会保障厅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关于调整2017年贵州省失业保险金标准的通知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2017-07-04</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省人力资源社会保障厅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关于2017年调整退休人员基本养老金的通知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2"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省人力资源社会保障厅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关于贯彻落实机关事业单位基本养老保险关系和职业年金转移接续有关问题的通知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2017-09-15</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QFGD-2017-14009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1"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省食品药品监管局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《贵州省食品药品化妆品医疗器械飞行检查办法（试行）》</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2017-07-17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QFGD-2017-36004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9"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省卫生厅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贵州省消除麻风病危害规划（2016-2020年）</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2017-07-31</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QFGD-2017-24003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3"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省卫生厅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贵州省城乡居民基本医疗保险定点医疗机构管理办法(试行)</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7"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40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省卫生厅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关于加快推进母婴设施建设的实施意见</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2017-08-11</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8"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省卫生厅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关于贵州省全面推开公立医院综合改革通知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2017-09-05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QFGD-2017-24005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2" w:hRule="atLeast"/>
        </w:trPr>
        <w:tc>
          <w:tcPr>
            <w:tcW w:w="72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42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省住房城乡建设厅</w:t>
            </w:r>
          </w:p>
        </w:tc>
        <w:tc>
          <w:tcPr>
            <w:tcW w:w="255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《关于印发&lt;贵州省新型墙体材料推广应用行动方案&gt;的通知》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2017-09-05</w:t>
            </w:r>
          </w:p>
        </w:tc>
        <w:tc>
          <w:tcPr>
            <w:tcW w:w="212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kern w:val="0"/>
                <w:sz w:val="24"/>
                <w:szCs w:val="24"/>
              </w:rPr>
            </w:pPr>
            <w:r>
              <w:rPr>
                <w:rFonts w:ascii="宋体" w:hAnsi="宋体" w:eastAsia="宋体" w:cs="宋体"/>
                <w:kern w:val="0"/>
                <w:sz w:val="24"/>
                <w:szCs w:val="24"/>
                <w:lang w:val="en-US" w:eastAsia="zh-CN"/>
              </w:rPr>
              <w:t>QFGD-2017-06004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B4C7D"/>
    <w:rsid w:val="0F9B4C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2017-11-21T08:48:00Z</dcterms:created>
  <dc:creator>嘟哥</dc:creator>
  <cp:lastModifiedBy>嘟哥</cp:lastModifiedBy>
  <dcterms:modified xsi:type="dcterms:W3CDTF">2017-11-21T08:49:31Z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