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对违反规定，屠宰、经营、运输动物或者生产、经营、加工、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4.6pt;margin-top:19.1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</w:rPr>
                    <w:t>立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</w:rPr>
                    <w:t xml:space="preserve">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1050" w:firstLineChars="5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贮藏、运输动物产品的处罚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流程图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199.85pt;margin-top:7.2pt;height:16.8pt;width:0.8pt;z-index:251666432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420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jc w:val="left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left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ind w:firstLine="840" w:firstLineChars="400"/>
                      <w:jc w:val="left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向当事人出示执法证件，表明身份。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630" w:firstLineChars="3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1890" w:firstLineChars="9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jc w:val="left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630" w:firstLineChars="3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证</w:t>
                  </w:r>
                </w:p>
                <w:p>
                  <w:p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1470" w:firstLineChars="7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1260" w:firstLineChars="6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1890" w:firstLineChars="9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定</w:t>
                  </w:r>
                </w:p>
                <w:p>
                  <w:p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bookmarkStart w:id="0" w:name="_GoBack"/>
      <w:bookmarkEnd w:id="0"/>
      <w:r>
        <w:pict>
          <v:shape id="_x0000_s1057" o:spid="_x0000_s1057" o:spt="202" type="#_x0000_t202" style="position:absolute;left:0pt;margin-left:150.2pt;margin-top:13.6pt;height:44.8pt;width:167.1pt;z-index:2516551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ind w:firstLine="1260" w:firstLineChars="6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 达</w:t>
                  </w:r>
                </w:p>
                <w:p>
                  <w:pPr>
                    <w:ind w:firstLine="1050" w:firstLineChars="5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29.65pt;margin-top:13.75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630" w:firstLineChars="300"/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办理机构：贵州省动物卫生监督所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D367D"/>
    <w:rsid w:val="00151564"/>
    <w:rsid w:val="002138DE"/>
    <w:rsid w:val="00253522"/>
    <w:rsid w:val="002F3D34"/>
    <w:rsid w:val="00323626"/>
    <w:rsid w:val="00323B43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42323"/>
    <w:rsid w:val="00591C10"/>
    <w:rsid w:val="00597D7F"/>
    <w:rsid w:val="00640194"/>
    <w:rsid w:val="006823A3"/>
    <w:rsid w:val="006A57C4"/>
    <w:rsid w:val="006C1000"/>
    <w:rsid w:val="006D7D4C"/>
    <w:rsid w:val="006F2DF2"/>
    <w:rsid w:val="007F57DB"/>
    <w:rsid w:val="008034C4"/>
    <w:rsid w:val="0086268A"/>
    <w:rsid w:val="008745C7"/>
    <w:rsid w:val="0088158E"/>
    <w:rsid w:val="008A61E2"/>
    <w:rsid w:val="008A66B0"/>
    <w:rsid w:val="008B7726"/>
    <w:rsid w:val="009073D8"/>
    <w:rsid w:val="00997CD2"/>
    <w:rsid w:val="00A0510C"/>
    <w:rsid w:val="00A3647C"/>
    <w:rsid w:val="00A73309"/>
    <w:rsid w:val="00A74980"/>
    <w:rsid w:val="00A85F48"/>
    <w:rsid w:val="00AB6050"/>
    <w:rsid w:val="00AC7A40"/>
    <w:rsid w:val="00B47A32"/>
    <w:rsid w:val="00B70A12"/>
    <w:rsid w:val="00C238A4"/>
    <w:rsid w:val="00C46465"/>
    <w:rsid w:val="00C86372"/>
    <w:rsid w:val="00C90271"/>
    <w:rsid w:val="00CD1BDD"/>
    <w:rsid w:val="00CF6996"/>
    <w:rsid w:val="00D06C46"/>
    <w:rsid w:val="00D31D50"/>
    <w:rsid w:val="00DB6B7C"/>
    <w:rsid w:val="00EE2CB7"/>
    <w:rsid w:val="00EE2E08"/>
    <w:rsid w:val="00F04FC4"/>
    <w:rsid w:val="00F72436"/>
    <w:rsid w:val="00F77BAC"/>
    <w:rsid w:val="00FD3F8F"/>
    <w:rsid w:val="12471ECF"/>
    <w:rsid w:val="1A847FEE"/>
    <w:rsid w:val="1E28325B"/>
    <w:rsid w:val="1F365FA6"/>
    <w:rsid w:val="22D87085"/>
    <w:rsid w:val="387E20BD"/>
    <w:rsid w:val="507A13EC"/>
    <w:rsid w:val="7A89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077E77-E33B-4370-A8B4-6506668850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137</Characters>
  <Lines>1</Lines>
  <Paragraphs>1</Paragraphs>
  <ScaleCrop>false</ScaleCrop>
  <LinksUpToDate>false</LinksUpToDate>
  <CharactersWithSpaces>159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2017-07-31T07:11:00Z</dcterms:created>
  <dc:creator>Administrator</dc:creator>
  <cp:lastModifiedBy>lenovo</cp:lastModifiedBy>
  <dcterms:modified xsi:type="dcterms:W3CDTF">2017-10-25T12:51:32Z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