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附表2</w:t>
      </w:r>
    </w:p>
    <w:p>
      <w:pPr>
        <w:jc w:val="center"/>
        <w:rPr>
          <w:rFonts w:hint="default" w:ascii="Times New Roman" w:hAnsi="Times New Roman" w:eastAsia="方正小标宋简体"/>
          <w:b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贵州省</w:t>
      </w:r>
      <w:r>
        <w:rPr>
          <w:rFonts w:hint="default" w:ascii="Times New Roman" w:hAnsi="Times New Roman" w:eastAsia="方正小标宋简体"/>
          <w:b w:val="0"/>
          <w:bCs/>
          <w:sz w:val="44"/>
          <w:szCs w:val="44"/>
        </w:rPr>
        <w:t>农用地分类管理工作落实情况统计</w:t>
      </w:r>
      <w:r>
        <w:rPr>
          <w:rFonts w:hint="eastAsia" w:ascii="Times New Roman" w:hAnsi="Times New Roman" w:eastAsia="方正小标宋简体"/>
          <w:b w:val="0"/>
          <w:bCs/>
          <w:sz w:val="44"/>
          <w:szCs w:val="44"/>
          <w:lang w:eastAsia="zh-CN"/>
        </w:rPr>
        <w:t>表</w:t>
      </w:r>
      <w:bookmarkEnd w:id="0"/>
    </w:p>
    <w:p>
      <w:pPr>
        <w:jc w:val="left"/>
        <w:rPr>
          <w:rFonts w:hint="default" w:ascii="Times New Roman" w:hAnsi="Times New Roman" w:eastAsia="方正小标宋简体"/>
          <w:b/>
          <w:sz w:val="36"/>
          <w:szCs w:val="36"/>
        </w:rPr>
      </w:pPr>
      <w:r>
        <w:rPr>
          <w:rFonts w:ascii="Times New Roman" w:hAnsi="Times New Roman" w:eastAsia="仿宋_GB2312"/>
          <w:sz w:val="28"/>
          <w:szCs w:val="28"/>
        </w:rPr>
        <w:t>市州填报单位（盖章）：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    填报时间：   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28"/>
          <w:szCs w:val="28"/>
        </w:rPr>
        <w:t xml:space="preserve">      联系人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及电话</w:t>
      </w:r>
      <w:r>
        <w:rPr>
          <w:rFonts w:ascii="Times New Roman" w:hAnsi="Times New Roman" w:eastAsia="仿宋_GB2312"/>
          <w:sz w:val="28"/>
          <w:szCs w:val="28"/>
        </w:rPr>
        <w:t xml:space="preserve">： </w:t>
      </w:r>
      <w:r>
        <w:rPr>
          <w:rFonts w:ascii="Times New Roman" w:hAnsi="Times New Roman" w:eastAsia="仿宋_GB2312"/>
          <w:sz w:val="24"/>
          <w:szCs w:val="24"/>
        </w:rPr>
        <w:t xml:space="preserve">           </w:t>
      </w:r>
    </w:p>
    <w:tbl>
      <w:tblPr>
        <w:tblStyle w:val="3"/>
        <w:tblW w:w="14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1"/>
        <w:gridCol w:w="1200"/>
        <w:gridCol w:w="6315"/>
        <w:gridCol w:w="151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</w:rPr>
            </w:pPr>
            <w:r>
              <w:rPr>
                <w:rFonts w:hint="default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 xml:space="preserve">工  作  </w:t>
            </w: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内</w:t>
            </w:r>
            <w:r>
              <w:rPr>
                <w:rFonts w:hint="default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 xml:space="preserve">  </w:t>
            </w: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容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开展情况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（勾选）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台账（文件号或资料名</w:t>
            </w:r>
            <w:r>
              <w:rPr>
                <w:rFonts w:hint="default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t>（照片视频</w:t>
            </w:r>
            <w:r>
              <w:rPr>
                <w:rFonts w:hint="default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t>、截图仅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vertAlign w:val="baseline"/>
              </w:rPr>
              <w:t>作辅助证明材料）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eastAsia="zh-CN"/>
              </w:rPr>
              <w:t>完成时间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eastAsia="zh-CN"/>
              </w:rPr>
              <w:t>（年</w:t>
            </w: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val="en-US" w:eastAsia="zh-CN"/>
              </w:rPr>
              <w:t>/月</w:t>
            </w:r>
            <w:r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黑体-简" w:hAnsi="黑体-简" w:eastAsia="黑体-简" w:cs="黑体-简"/>
                <w:b/>
                <w:bCs/>
                <w:sz w:val="24"/>
                <w:szCs w:val="24"/>
                <w:vertAlign w:val="baseline"/>
              </w:rPr>
              <w:t>填表说明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1.培训或工作会议召开并明确任务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针对农用地分类管理，辖区内各职能部门牵头落实的均可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2.专项资金申报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3.整合或专项资金落实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4.与同级生态环境局对接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生态环境部门主动对接农业部门的也可。提供对接函或会议纪要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5.土壤污染防治专项申报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各级申报均可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6.建立对下工作调度机制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针对农用地分类管理，辖区内各职能部门牵头建立的均可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，农业农村部门内部建立责任分工。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7.建立同级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责任分工及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工作调度机制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8.对下技术指导、印发资料汇编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技术指导证明可截图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9.建立保密室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有领导批示的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10.有熟练操作ArcGIS的人员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借调、委托、聘用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均可，技术员相关学历、资格、证明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已掌握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农用地详查数据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，并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与同级内部共享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详查数据在同级农业农村局内部可共享。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12.2019年质量类别划分试点县确定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辖区内各职能部门牵头完成的均可，质量类别划分方案可以作为第25项受污染耕地安全利用方案的子内容。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质量类别划分实施方案制定并呈报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14.质量类别划分完成并上报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已完成0 / 1 / 2 / 3 / 全部县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15.在严格管控类耕地（重度污染耕地）开展特定农产品调查，提出特定农产品禁产区，报同级政府审批并实施的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按照国家印发的种植结构调整相关技术指南，在严格管控类耕地划定特定农产品禁产区。可与质量类别划分工作合并执行，单独成报告。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16.根据实际情况，开展农产品加密调查或实地踏勘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vertAlign w:val="baseline"/>
              </w:rPr>
              <w:t>非专项开展调查亦可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vertAlign w:val="baseline"/>
                <w:lang w:eastAsia="zh-CN"/>
              </w:rPr>
              <w:t>，提供报告或项目下达文件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17.协商自然资源部门提供基础测绘成果数据、在耕地上开展的环境质量调查相关数据、矿产开发利用分布、拟开发为农用地的区域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土壤环境质量状况评估情况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协商生态环境部门提供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涉镉等重金属重点行业企业排查整治情况、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污染源分布、排污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与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固体废弃物堆存处置情况；重金属重点行业企业排查整治信息；农用地详查点位、评价单元、污染程度与范围等情况；生态红线划定情况；土壤环境监测网数据；目标考核任务量化到县；土壤污染防治专项治理农用地范围、矿区生态修复范围；农用地信访举报及环境污染事件信息等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协商发改委、林业部门提供种植业结构调整、退耕还林还草等数据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20.协商水利部门提供重点污染源周边耕地灌溉水监测数据。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21.协商粮食安全部门提供区域内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产地农产品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监测相关数据。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22.协商农业农村部门提供种植结构调整、退耕还林还草、退耕还湿、轮作休耕、轮牧休牧、农产品质量安全调查及土地确权数据、优化施肥、水分调节、深翻耕、低积累品种替代、土壤调理、撒施石灰、生物修复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措施。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有会议纪要或文件证明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23.收集到部分或全部农用地安全利用与严格管控措施类数据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应用于叠加受污染耕地，并收集了相关措施的实施台账。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以现有相关部门实施的项目为基础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相关部门提供数据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及台账。本表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填写数据来源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的文件号、资料名、数据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共享协议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签收单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等之一。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24.落实或整合资金，实施了部分或全部受污染耕地的安全利用措施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，建立受污染耕地安全利用集中推进区。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辖区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各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行政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部门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落实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资金专项实施的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25.受污染耕地安全利用实施方案制定并呈报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需市州制定辖区内整体的实施方案。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26.组织开展受污染耕地安全利用率核算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组织开展的文件或合同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27.受污染耕地安全利用率核算结果上报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提供上报文件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3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28.其他工作情况（按实际内容自行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添行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填写）……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是 / 否</w:t>
            </w:r>
          </w:p>
        </w:tc>
        <w:tc>
          <w:tcPr>
            <w:tcW w:w="63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1. 完成本表格填写，不局限于农业部门某一个科室开展的工作。辖区内任何单位开展的工作均可。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2. 本表格中有台账证明的工作内容，在“开展情况”项才能填写“是”。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3. 台账正文（尽量红头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和原始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文件，亦可复印件），非涉密情况下请按本表顺序排列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扫描成1个PDF文件作为本表格的附件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 xml:space="preserve">4. 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本表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按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月报送，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已开展的工作每次应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重复填写。已提交的台账无须重复扫描，但须在本表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中台账项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备注“几月已提交”。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5. 本表由市州统一填写，可收集县级台账。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eastAsia="zh-CN"/>
        </w:rPr>
        <w:t>填表时尽量不改变格式，可缩小字体填写。</w:t>
      </w:r>
    </w:p>
    <w:p/>
    <w:sectPr>
      <w:pgSz w:w="16838" w:h="11906" w:orient="landscape"/>
      <w:pgMar w:top="1417" w:right="1304" w:bottom="1417" w:left="1440" w:header="851" w:footer="992" w:gutter="0"/>
      <w:pgNumType w:fmt="decimal"/>
      <w:cols w:space="720" w:num="1"/>
      <w:rtlGutter w:val="0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-简">
    <w:altName w:val="黑体"/>
    <w:panose1 w:val="02000000000000000000"/>
    <w:charset w:val="86"/>
    <w:family w:val="auto"/>
    <w:pitch w:val="default"/>
    <w:sig w:usb0="00000000" w:usb1="00000000" w:usb2="00000000" w:usb3="00000000" w:csb0="203E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28FC5"/>
    <w:multiLevelType w:val="singleLevel"/>
    <w:tmpl w:val="5D428FC5"/>
    <w:lvl w:ilvl="0" w:tentative="0">
      <w:start w:val="11"/>
      <w:numFmt w:val="decimal"/>
      <w:suff w:val="nothing"/>
      <w:lvlText w:val="%1."/>
      <w:lvlJc w:val="left"/>
    </w:lvl>
  </w:abstractNum>
  <w:abstractNum w:abstractNumId="1">
    <w:nsid w:val="5D428FE1"/>
    <w:multiLevelType w:val="singleLevel"/>
    <w:tmpl w:val="5D428FE1"/>
    <w:lvl w:ilvl="0" w:tentative="0">
      <w:start w:val="1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E789F"/>
    <w:rsid w:val="0C4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2019-08-23T09:02:00Z</dcterms:created>
  <dc:creator>voodooyy</dc:creator>
  <cp:lastModifiedBy>voodooyy</cp:lastModifiedBy>
  <dcterms:modified xsi:type="dcterms:W3CDTF">2019-08-23T09:02:55Z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