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val="0"/>
        <w:shd w:val="clear" w:color="auto" w:fill="auto"/>
        <w:bidi w:val="0"/>
        <w:spacing w:before="0" w:after="0" w:line="609" w:lineRule="exact"/>
        <w:ind w:left="0" w:right="0" w:firstLine="0"/>
        <w:jc w:val="left"/>
        <w:rPr>
          <w:rFonts w:hint="eastAsia" w:ascii="黑体" w:hAnsi="黑体" w:eastAsia="黑体" w:cs="黑体"/>
          <w:color w:val="272D30"/>
          <w:spacing w:val="0"/>
          <w:w w:val="100"/>
          <w:position w:val="0"/>
          <w:sz w:val="32"/>
          <w:szCs w:val="32"/>
          <w:lang w:val="en-US" w:eastAsia="zh-CN"/>
        </w:rPr>
      </w:pPr>
      <w:bookmarkStart w:id="5" w:name="_GoBack"/>
      <w:bookmarkEnd w:id="5"/>
      <w:r>
        <w:rPr>
          <w:rFonts w:hint="eastAsia" w:ascii="黑体" w:hAnsi="黑体" w:eastAsia="黑体" w:cs="黑体"/>
          <w:color w:val="272D30"/>
          <w:spacing w:val="0"/>
          <w:w w:val="100"/>
          <w:position w:val="0"/>
          <w:sz w:val="32"/>
          <w:szCs w:val="32"/>
          <w:lang w:eastAsia="zh-CN"/>
        </w:rPr>
        <w:t>附件</w:t>
      </w:r>
      <w:r>
        <w:rPr>
          <w:rFonts w:hint="eastAsia" w:ascii="黑体" w:hAnsi="黑体" w:eastAsia="黑体" w:cs="黑体"/>
          <w:color w:val="272D30"/>
          <w:spacing w:val="0"/>
          <w:w w:val="100"/>
          <w:position w:val="0"/>
          <w:sz w:val="32"/>
          <w:szCs w:val="32"/>
          <w:lang w:val="en-US" w:eastAsia="zh-CN"/>
        </w:rPr>
        <w:t>3</w:t>
      </w:r>
    </w:p>
    <w:p>
      <w:pPr>
        <w:pStyle w:val="13"/>
        <w:keepNext w:val="0"/>
        <w:keepLines w:val="0"/>
        <w:widowControl w:val="0"/>
        <w:shd w:val="clear" w:color="auto" w:fill="auto"/>
        <w:bidi w:val="0"/>
        <w:spacing w:before="0" w:after="0" w:line="609" w:lineRule="exact"/>
        <w:ind w:left="0" w:right="0" w:firstLine="0"/>
        <w:jc w:val="left"/>
        <w:rPr>
          <w:rFonts w:hint="default" w:ascii="黑体" w:hAnsi="黑体" w:eastAsia="黑体" w:cs="黑体"/>
          <w:color w:val="272D30"/>
          <w:spacing w:val="0"/>
          <w:w w:val="100"/>
          <w:position w:val="0"/>
          <w:sz w:val="32"/>
          <w:szCs w:val="32"/>
          <w:lang w:val="en-US" w:eastAsia="zh-CN"/>
        </w:rPr>
      </w:pPr>
    </w:p>
    <w:p>
      <w:pPr>
        <w:pStyle w:val="13"/>
        <w:keepNext w:val="0"/>
        <w:keepLines w:val="0"/>
        <w:widowControl w:val="0"/>
        <w:shd w:val="clear" w:color="auto" w:fill="auto"/>
        <w:bidi w:val="0"/>
        <w:spacing w:before="0" w:after="0" w:line="609" w:lineRule="exact"/>
        <w:ind w:left="0" w:right="0" w:firstLine="0"/>
        <w:jc w:val="center"/>
        <w:rPr>
          <w:rFonts w:hint="eastAsia" w:ascii="宋体" w:hAnsi="宋体" w:eastAsia="宋体" w:cs="宋体"/>
          <w:b/>
          <w:bCs/>
          <w:color w:val="000000"/>
          <w:spacing w:val="0"/>
          <w:w w:val="100"/>
          <w:position w:val="0"/>
          <w:sz w:val="30"/>
          <w:szCs w:val="30"/>
        </w:rPr>
      </w:pPr>
      <w:r>
        <w:rPr>
          <w:rFonts w:hint="eastAsia" w:ascii="方正小标宋简体" w:hAnsi="方正小标宋简体" w:eastAsia="方正小标宋简体" w:cs="方正小标宋简体"/>
          <w:b w:val="0"/>
          <w:bCs w:val="0"/>
          <w:color w:val="272D30"/>
          <w:spacing w:val="0"/>
          <w:w w:val="100"/>
          <w:position w:val="0"/>
          <w:sz w:val="44"/>
          <w:szCs w:val="44"/>
          <w:lang w:eastAsia="zh-CN"/>
        </w:rPr>
        <w:t>贵州省农业资源及生态保护补助资金</w:t>
      </w:r>
      <w:r>
        <w:rPr>
          <w:rFonts w:hint="eastAsia" w:ascii="方正小标宋简体" w:hAnsi="方正小标宋简体" w:eastAsia="方正小标宋简体" w:cs="方正小标宋简体"/>
          <w:b w:val="0"/>
          <w:bCs w:val="0"/>
          <w:color w:val="272D30"/>
          <w:spacing w:val="0"/>
          <w:w w:val="100"/>
          <w:position w:val="0"/>
          <w:sz w:val="44"/>
          <w:szCs w:val="44"/>
        </w:rPr>
        <w:t>管理</w:t>
      </w:r>
      <w:r>
        <w:rPr>
          <w:rFonts w:hint="eastAsia" w:ascii="方正小标宋简体" w:hAnsi="方正小标宋简体" w:eastAsia="方正小标宋简体" w:cs="方正小标宋简体"/>
          <w:b w:val="0"/>
          <w:bCs w:val="0"/>
          <w:color w:val="272D30"/>
          <w:spacing w:val="0"/>
          <w:w w:val="100"/>
          <w:position w:val="0"/>
          <w:sz w:val="44"/>
          <w:szCs w:val="44"/>
          <w:lang w:val="en-US" w:eastAsia="zh-CN"/>
        </w:rPr>
        <w:t>办法</w:t>
      </w:r>
    </w:p>
    <w:p>
      <w:pPr>
        <w:pStyle w:val="13"/>
        <w:keepNext w:val="0"/>
        <w:keepLines w:val="0"/>
        <w:widowControl w:val="0"/>
        <w:numPr>
          <w:ilvl w:val="0"/>
          <w:numId w:val="1"/>
        </w:numPr>
        <w:shd w:val="clear" w:color="auto" w:fill="auto"/>
        <w:bidi w:val="0"/>
        <w:spacing w:before="592" w:beforeLines="100" w:after="592" w:afterLines="100" w:line="590" w:lineRule="exact"/>
        <w:ind w:leftChars="0" w:right="0" w:rightChars="0" w:firstLine="0"/>
        <w:jc w:val="center"/>
        <w:rPr>
          <w:rFonts w:hint="eastAsia" w:ascii="宋体" w:hAnsi="宋体" w:eastAsia="宋体" w:cs="宋体"/>
          <w:b/>
          <w:bCs/>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t>总则</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第一条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为加强和规范农业资源及生态保护补助资金管理，推进资金统筹使用，提高资金使用效益，</w:t>
      </w:r>
      <w:r>
        <w:rPr>
          <w:rFonts w:hint="eastAsia" w:ascii="仿宋_GB2312" w:hAnsi="仿宋_GB2312" w:eastAsia="仿宋_GB2312" w:cs="仿宋_GB2312"/>
          <w:color w:val="auto"/>
          <w:spacing w:val="0"/>
          <w:w w:val="100"/>
          <w:position w:val="0"/>
          <w:sz w:val="32"/>
          <w:szCs w:val="32"/>
          <w:lang w:eastAsia="zh-CN"/>
        </w:rPr>
        <w:t>促进农业可持续发展，</w:t>
      </w:r>
      <w:r>
        <w:rPr>
          <w:rFonts w:hint="eastAsia" w:ascii="仿宋_GB2312" w:hAnsi="仿宋_GB2312" w:eastAsia="仿宋_GB2312" w:cs="仿宋_GB2312"/>
          <w:color w:val="auto"/>
          <w:spacing w:val="0"/>
          <w:w w:val="100"/>
          <w:position w:val="0"/>
          <w:sz w:val="32"/>
          <w:szCs w:val="32"/>
        </w:rPr>
        <w:t>根据《中华人民共和国预算法》</w:t>
      </w:r>
      <w:r>
        <w:rPr>
          <w:rFonts w:hint="eastAsia" w:ascii="仿宋_GB2312" w:hAnsi="仿宋_GB2312" w:eastAsia="仿宋_GB2312" w:cs="仿宋_GB2312"/>
          <w:color w:val="auto"/>
          <w:spacing w:val="0"/>
          <w:w w:val="100"/>
          <w:position w:val="0"/>
          <w:sz w:val="32"/>
          <w:szCs w:val="32"/>
          <w:lang w:eastAsia="zh-CN"/>
        </w:rPr>
        <w:t>《省人民政府关于进一步深化预算管理制度改革的实施意见》（黔府发〔</w:t>
      </w:r>
      <w:r>
        <w:rPr>
          <w:rFonts w:hint="eastAsia" w:ascii="仿宋_GB2312" w:hAnsi="仿宋_GB2312" w:eastAsia="仿宋_GB2312" w:cs="仿宋_GB2312"/>
          <w:color w:val="auto"/>
          <w:spacing w:val="0"/>
          <w:w w:val="100"/>
          <w:position w:val="0"/>
          <w:sz w:val="32"/>
          <w:szCs w:val="32"/>
          <w:lang w:val="en-US" w:eastAsia="zh-CN"/>
        </w:rPr>
        <w:t>2022</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3号</w:t>
      </w:r>
      <w:r>
        <w:rPr>
          <w:rFonts w:hint="eastAsia" w:ascii="仿宋_GB2312" w:hAnsi="仿宋_GB2312" w:eastAsia="仿宋_GB2312" w:cs="仿宋_GB2312"/>
          <w:color w:val="auto"/>
          <w:spacing w:val="0"/>
          <w:w w:val="100"/>
          <w:position w:val="0"/>
          <w:sz w:val="32"/>
          <w:szCs w:val="32"/>
          <w:lang w:eastAsia="zh-CN"/>
        </w:rPr>
        <w:t>）、《财政部</w:t>
      </w:r>
      <w:r>
        <w:rPr>
          <w:rFonts w:hint="eastAsia" w:ascii="仿宋_GB2312" w:hAnsi="仿宋_GB2312" w:eastAsia="仿宋_GB2312" w:cs="仿宋_GB2312"/>
          <w:color w:val="auto"/>
          <w:spacing w:val="0"/>
          <w:w w:val="100"/>
          <w:position w:val="0"/>
          <w:sz w:val="32"/>
          <w:szCs w:val="32"/>
          <w:lang w:val="en-US" w:eastAsia="zh-CN"/>
        </w:rPr>
        <w:t xml:space="preserve"> 农业农村部关于修订农业相关转移支付资金管理办法的通知</w:t>
      </w:r>
      <w:r>
        <w:rPr>
          <w:rFonts w:hint="eastAsia" w:ascii="仿宋_GB2312" w:hAnsi="仿宋_GB2312" w:eastAsia="仿宋_GB2312" w:cs="仿宋_GB2312"/>
          <w:color w:val="auto"/>
          <w:spacing w:val="0"/>
          <w:w w:val="100"/>
          <w:position w:val="0"/>
          <w:sz w:val="32"/>
          <w:szCs w:val="32"/>
          <w:lang w:eastAsia="zh-CN"/>
        </w:rPr>
        <w:t>》（财农〔</w:t>
      </w:r>
      <w:r>
        <w:rPr>
          <w:rFonts w:hint="eastAsia" w:ascii="仿宋_GB2312" w:hAnsi="仿宋_GB2312" w:eastAsia="仿宋_GB2312" w:cs="仿宋_GB2312"/>
          <w:color w:val="auto"/>
          <w:spacing w:val="0"/>
          <w:w w:val="100"/>
          <w:position w:val="0"/>
          <w:sz w:val="32"/>
          <w:szCs w:val="32"/>
          <w:lang w:val="en-US" w:eastAsia="zh-CN"/>
        </w:rPr>
        <w:t>2022</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25号</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等有关法律法规和制度规定，</w:t>
      </w:r>
      <w:r>
        <w:rPr>
          <w:rFonts w:hint="eastAsia" w:ascii="仿宋_GB2312" w:hAnsi="仿宋_GB2312" w:eastAsia="仿宋_GB2312" w:cs="仿宋_GB2312"/>
          <w:color w:val="auto"/>
          <w:spacing w:val="0"/>
          <w:w w:val="100"/>
          <w:position w:val="0"/>
          <w:sz w:val="32"/>
          <w:szCs w:val="32"/>
          <w:lang w:val="en-US" w:eastAsia="zh-CN"/>
        </w:rPr>
        <w:t>结合我省实际，</w:t>
      </w:r>
      <w:r>
        <w:rPr>
          <w:rFonts w:hint="eastAsia" w:ascii="仿宋_GB2312" w:hAnsi="仿宋_GB2312" w:eastAsia="仿宋_GB2312" w:cs="仿宋_GB2312"/>
          <w:color w:val="auto"/>
          <w:spacing w:val="0"/>
          <w:w w:val="100"/>
          <w:position w:val="0"/>
          <w:sz w:val="32"/>
          <w:szCs w:val="32"/>
        </w:rPr>
        <w:t>制定本</w:t>
      </w:r>
      <w:r>
        <w:rPr>
          <w:rFonts w:hint="eastAsia" w:ascii="仿宋_GB2312" w:hAnsi="仿宋_GB2312" w:eastAsia="仿宋_GB2312" w:cs="仿宋_GB2312"/>
          <w:color w:val="auto"/>
          <w:spacing w:val="0"/>
          <w:w w:val="100"/>
          <w:position w:val="0"/>
          <w:sz w:val="32"/>
          <w:szCs w:val="32"/>
          <w:lang w:val="en-US" w:eastAsia="zh-CN"/>
        </w:rPr>
        <w:t>办法</w:t>
      </w:r>
      <w:r>
        <w:rPr>
          <w:rFonts w:hint="eastAsia" w:ascii="仿宋_GB2312" w:hAnsi="仿宋_GB2312" w:eastAsia="仿宋_GB2312" w:cs="仿宋_GB2312"/>
          <w:color w:val="auto"/>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第二条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本</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办法</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所称</w:t>
      </w:r>
      <w:r>
        <w:rPr>
          <w:rFonts w:hint="eastAsia" w:ascii="仿宋_GB2312" w:hAnsi="仿宋_GB2312" w:eastAsia="仿宋_GB2312" w:cs="仿宋_GB2312"/>
          <w:color w:val="auto"/>
          <w:spacing w:val="0"/>
          <w:w w:val="100"/>
          <w:position w:val="0"/>
          <w:sz w:val="32"/>
          <w:szCs w:val="32"/>
        </w:rPr>
        <w:t>农业资源及生态保护补助资金</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，是指</w:t>
      </w:r>
      <w:r>
        <w:rPr>
          <w:rFonts w:hint="eastAsia" w:ascii="仿宋_GB2312" w:hAnsi="仿宋_GB2312" w:eastAsia="仿宋_GB2312" w:cs="仿宋_GB2312"/>
          <w:color w:val="auto"/>
          <w:spacing w:val="0"/>
          <w:w w:val="100"/>
          <w:position w:val="0"/>
          <w:sz w:val="32"/>
          <w:szCs w:val="32"/>
        </w:rPr>
        <w:t>中央</w:t>
      </w:r>
      <w:r>
        <w:rPr>
          <w:rFonts w:hint="eastAsia" w:ascii="仿宋_GB2312" w:hAnsi="仿宋_GB2312" w:eastAsia="仿宋_GB2312" w:cs="仿宋_GB2312"/>
          <w:color w:val="auto"/>
          <w:spacing w:val="0"/>
          <w:w w:val="100"/>
          <w:position w:val="0"/>
          <w:sz w:val="32"/>
          <w:szCs w:val="32"/>
          <w:lang w:eastAsia="zh-CN"/>
        </w:rPr>
        <w:t>和省级</w:t>
      </w:r>
      <w:r>
        <w:rPr>
          <w:rFonts w:hint="eastAsia" w:ascii="仿宋_GB2312" w:hAnsi="仿宋_GB2312" w:eastAsia="仿宋_GB2312" w:cs="仿宋_GB2312"/>
          <w:color w:val="auto"/>
          <w:spacing w:val="0"/>
          <w:w w:val="100"/>
          <w:position w:val="0"/>
          <w:sz w:val="32"/>
          <w:szCs w:val="32"/>
        </w:rPr>
        <w:t>财政安排用于农业资源养护、生态保护及利益补偿等的共同财政事权转移支付资金。</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第三条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仿宋_GB2312" w:eastAsia="仿宋_GB2312" w:cs="仿宋_GB2312"/>
          <w:color w:val="auto"/>
          <w:spacing w:val="0"/>
          <w:w w:val="100"/>
          <w:position w:val="0"/>
          <w:sz w:val="32"/>
          <w:szCs w:val="32"/>
        </w:rPr>
        <w:t>农业资源及生态保护补助资金的分配、使用、管理和监督适用本</w:t>
      </w:r>
      <w:r>
        <w:rPr>
          <w:rFonts w:hint="eastAsia" w:ascii="仿宋_GB2312" w:hAnsi="仿宋_GB2312" w:eastAsia="仿宋_GB2312" w:cs="仿宋_GB2312"/>
          <w:color w:val="auto"/>
          <w:spacing w:val="0"/>
          <w:w w:val="100"/>
          <w:position w:val="0"/>
          <w:sz w:val="32"/>
          <w:szCs w:val="32"/>
          <w:lang w:val="en-US" w:eastAsia="zh-CN"/>
        </w:rPr>
        <w:t>办法</w:t>
      </w:r>
      <w:r>
        <w:rPr>
          <w:rFonts w:hint="eastAsia" w:ascii="仿宋_GB2312" w:hAnsi="仿宋_GB2312" w:eastAsia="仿宋_GB2312" w:cs="仿宋_GB2312"/>
          <w:color w:val="auto"/>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第四条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仿宋_GB2312" w:eastAsia="仿宋_GB2312" w:cs="仿宋_GB2312"/>
          <w:color w:val="auto"/>
          <w:spacing w:val="0"/>
          <w:w w:val="100"/>
          <w:position w:val="0"/>
          <w:sz w:val="32"/>
          <w:szCs w:val="32"/>
        </w:rPr>
        <w:t>在预算执行中，</w:t>
      </w: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rPr>
        <w:t>会同</w:t>
      </w:r>
      <w:r>
        <w:rPr>
          <w:rFonts w:hint="eastAsia" w:ascii="仿宋_GB2312" w:hAnsi="仿宋_GB2312" w:eastAsia="仿宋_GB2312" w:cs="仿宋_GB2312"/>
          <w:color w:val="auto"/>
          <w:spacing w:val="0"/>
          <w:w w:val="100"/>
          <w:position w:val="0"/>
          <w:sz w:val="32"/>
          <w:szCs w:val="32"/>
          <w:lang w:eastAsia="zh-CN"/>
        </w:rPr>
        <w:t>省农业农村厅</w:t>
      </w:r>
      <w:r>
        <w:rPr>
          <w:rFonts w:hint="eastAsia" w:ascii="仿宋_GB2312" w:hAnsi="仿宋_GB2312" w:eastAsia="仿宋_GB2312" w:cs="仿宋_GB2312"/>
          <w:color w:val="auto"/>
          <w:spacing w:val="0"/>
          <w:w w:val="100"/>
          <w:position w:val="0"/>
          <w:sz w:val="32"/>
          <w:szCs w:val="32"/>
        </w:rPr>
        <w:t>根据政策实施情况和</w:t>
      </w:r>
      <w:r>
        <w:rPr>
          <w:rFonts w:hint="eastAsia" w:ascii="仿宋_GB2312" w:hAnsi="仿宋_GB2312" w:eastAsia="仿宋_GB2312" w:cs="仿宋_GB2312"/>
          <w:color w:val="auto"/>
          <w:spacing w:val="0"/>
          <w:w w:val="100"/>
          <w:position w:val="0"/>
          <w:sz w:val="32"/>
          <w:szCs w:val="32"/>
          <w:lang w:eastAsia="zh-CN"/>
        </w:rPr>
        <w:t>相关</w:t>
      </w:r>
      <w:r>
        <w:rPr>
          <w:rFonts w:hint="eastAsia" w:ascii="仿宋_GB2312" w:hAnsi="仿宋_GB2312" w:eastAsia="仿宋_GB2312" w:cs="仿宋_GB2312"/>
          <w:color w:val="auto"/>
          <w:spacing w:val="0"/>
          <w:w w:val="100"/>
          <w:position w:val="0"/>
          <w:sz w:val="32"/>
          <w:szCs w:val="32"/>
        </w:rPr>
        <w:t>评估结果完善资金管理政策</w:t>
      </w:r>
      <w:r>
        <w:rPr>
          <w:rFonts w:hint="eastAsia" w:ascii="仿宋_GB2312" w:hAnsi="仿宋_GB2312" w:eastAsia="仿宋_GB2312" w:cs="仿宋_GB2312"/>
          <w:color w:val="auto"/>
          <w:spacing w:val="0"/>
          <w:w w:val="100"/>
          <w:position w:val="0"/>
          <w:sz w:val="32"/>
          <w:szCs w:val="32"/>
          <w:lang w:val="zh-TW"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color w:val="auto"/>
          <w:spacing w:val="0"/>
          <w:w w:val="100"/>
          <w:position w:val="0"/>
          <w:sz w:val="32"/>
          <w:szCs w:val="32"/>
        </w:rPr>
        <w:t>农业</w:t>
      </w:r>
      <w:r>
        <w:rPr>
          <w:rFonts w:hint="eastAsia" w:ascii="仿宋_GB2312" w:hAnsi="仿宋_GB2312" w:eastAsia="仿宋_GB2312" w:cs="仿宋_GB2312"/>
          <w:color w:val="auto"/>
          <w:spacing w:val="0"/>
          <w:w w:val="100"/>
          <w:position w:val="0"/>
          <w:sz w:val="32"/>
          <w:szCs w:val="32"/>
          <w:lang w:eastAsia="zh-CN"/>
        </w:rPr>
        <w:t>资源及生态保护补助</w:t>
      </w:r>
      <w:r>
        <w:rPr>
          <w:rFonts w:hint="eastAsia" w:ascii="仿宋_GB2312" w:hAnsi="仿宋_GB2312" w:eastAsia="仿宋_GB2312" w:cs="仿宋_GB2312"/>
          <w:color w:val="auto"/>
          <w:spacing w:val="0"/>
          <w:w w:val="100"/>
          <w:position w:val="0"/>
          <w:sz w:val="32"/>
          <w:szCs w:val="32"/>
        </w:rPr>
        <w:t>资金实施期限至2025年，</w:t>
      </w:r>
      <w:r>
        <w:rPr>
          <w:rFonts w:hint="eastAsia" w:ascii="仿宋_GB2312" w:hAnsi="仿宋_GB2312" w:eastAsia="仿宋_GB2312" w:cs="仿宋_GB2312"/>
          <w:color w:val="auto"/>
          <w:spacing w:val="0"/>
          <w:w w:val="100"/>
          <w:position w:val="0"/>
          <w:sz w:val="32"/>
          <w:szCs w:val="32"/>
          <w:lang w:eastAsia="zh-CN"/>
        </w:rPr>
        <w:t>中央财政安排的农业</w:t>
      </w:r>
      <w:r>
        <w:rPr>
          <w:rFonts w:hint="eastAsia" w:ascii="仿宋_GB2312" w:hAnsi="仿宋_GB2312" w:eastAsia="仿宋_GB2312" w:cs="仿宋_GB2312"/>
          <w:color w:val="auto"/>
          <w:spacing w:val="0"/>
          <w:w w:val="100"/>
          <w:position w:val="0"/>
          <w:sz w:val="32"/>
          <w:szCs w:val="32"/>
          <w:lang w:val="en-US" w:eastAsia="zh-CN"/>
        </w:rPr>
        <w:t>资源及生态保护补助</w:t>
      </w:r>
      <w:r>
        <w:rPr>
          <w:rFonts w:hint="eastAsia" w:ascii="仿宋_GB2312" w:hAnsi="仿宋_GB2312" w:eastAsia="仿宋_GB2312" w:cs="仿宋_GB2312"/>
          <w:color w:val="auto"/>
          <w:spacing w:val="0"/>
          <w:w w:val="100"/>
          <w:position w:val="0"/>
          <w:sz w:val="32"/>
          <w:szCs w:val="32"/>
          <w:lang w:eastAsia="zh-CN"/>
        </w:rPr>
        <w:t>资金</w:t>
      </w:r>
      <w:r>
        <w:rPr>
          <w:rFonts w:hint="eastAsia" w:ascii="仿宋_GB2312" w:hAnsi="仿宋_GB2312" w:eastAsia="仿宋_GB2312" w:cs="仿宋_GB2312"/>
          <w:color w:val="auto"/>
          <w:spacing w:val="0"/>
          <w:w w:val="100"/>
          <w:position w:val="0"/>
          <w:sz w:val="32"/>
          <w:szCs w:val="32"/>
        </w:rPr>
        <w:t>到期前</w:t>
      </w:r>
      <w:r>
        <w:rPr>
          <w:rFonts w:hint="eastAsia" w:ascii="仿宋_GB2312" w:hAnsi="仿宋_GB2312" w:eastAsia="仿宋_GB2312" w:cs="仿宋_GB2312"/>
          <w:color w:val="auto"/>
          <w:spacing w:val="0"/>
          <w:w w:val="100"/>
          <w:position w:val="0"/>
          <w:sz w:val="32"/>
          <w:szCs w:val="32"/>
          <w:lang w:eastAsia="zh-CN"/>
        </w:rPr>
        <w:t>是否继续实施按照财政部和农业农村</w:t>
      </w:r>
      <w:r>
        <w:rPr>
          <w:rFonts w:hint="eastAsia" w:ascii="仿宋_GB2312" w:hAnsi="仿宋_GB2312" w:eastAsia="仿宋_GB2312" w:cs="仿宋_GB2312"/>
          <w:color w:val="auto"/>
          <w:spacing w:val="0"/>
          <w:w w:val="100"/>
          <w:position w:val="0"/>
          <w:sz w:val="32"/>
          <w:szCs w:val="32"/>
          <w:lang w:val="en-US" w:eastAsia="zh-CN"/>
        </w:rPr>
        <w:t>部</w:t>
      </w:r>
      <w:r>
        <w:rPr>
          <w:rFonts w:hint="eastAsia" w:ascii="仿宋_GB2312" w:hAnsi="仿宋_GB2312" w:eastAsia="仿宋_GB2312" w:cs="仿宋_GB2312"/>
          <w:color w:val="auto"/>
          <w:spacing w:val="0"/>
          <w:w w:val="100"/>
          <w:position w:val="0"/>
          <w:sz w:val="32"/>
          <w:szCs w:val="32"/>
          <w:lang w:eastAsia="zh-CN"/>
        </w:rPr>
        <w:t>确定的调整政策执行。省级财政安排的</w:t>
      </w:r>
      <w:r>
        <w:rPr>
          <w:rFonts w:hint="eastAsia" w:ascii="仿宋_GB2312" w:hAnsi="仿宋_GB2312" w:eastAsia="仿宋_GB2312" w:cs="仿宋_GB2312"/>
          <w:color w:val="auto"/>
          <w:spacing w:val="0"/>
          <w:w w:val="100"/>
          <w:position w:val="0"/>
          <w:sz w:val="32"/>
          <w:szCs w:val="32"/>
        </w:rPr>
        <w:t>农业</w:t>
      </w:r>
      <w:r>
        <w:rPr>
          <w:rFonts w:hint="eastAsia" w:ascii="仿宋_GB2312" w:hAnsi="仿宋_GB2312" w:eastAsia="仿宋_GB2312" w:cs="仿宋_GB2312"/>
          <w:color w:val="auto"/>
          <w:spacing w:val="0"/>
          <w:w w:val="100"/>
          <w:position w:val="0"/>
          <w:sz w:val="32"/>
          <w:szCs w:val="32"/>
          <w:lang w:eastAsia="zh-CN"/>
        </w:rPr>
        <w:t>资源及生态保护补助</w:t>
      </w:r>
      <w:r>
        <w:rPr>
          <w:rFonts w:hint="eastAsia" w:ascii="仿宋_GB2312" w:hAnsi="仿宋_GB2312" w:eastAsia="仿宋_GB2312" w:cs="仿宋_GB2312"/>
          <w:color w:val="auto"/>
          <w:spacing w:val="0"/>
          <w:w w:val="100"/>
          <w:position w:val="0"/>
          <w:sz w:val="32"/>
          <w:szCs w:val="32"/>
        </w:rPr>
        <w:t>资金</w:t>
      </w:r>
      <w:r>
        <w:rPr>
          <w:rFonts w:hint="eastAsia" w:ascii="仿宋_GB2312" w:hAnsi="仿宋_GB2312" w:eastAsia="仿宋_GB2312" w:cs="仿宋_GB2312"/>
          <w:color w:val="auto"/>
          <w:spacing w:val="0"/>
          <w:w w:val="100"/>
          <w:position w:val="0"/>
          <w:sz w:val="32"/>
          <w:szCs w:val="32"/>
          <w:lang w:eastAsia="zh-CN"/>
        </w:rPr>
        <w:t>到期前是否继续实施由省财政厅会同省农业农村厅根据中央的政策调整要求，结合贵州省实际评估确定</w:t>
      </w:r>
      <w:r>
        <w:rPr>
          <w:rFonts w:hint="eastAsia" w:ascii="仿宋_GB2312" w:hAnsi="仿宋_GB2312" w:eastAsia="仿宋_GB2312" w:cs="仿宋_GB2312"/>
          <w:color w:val="auto"/>
          <w:spacing w:val="0"/>
          <w:w w:val="100"/>
          <w:position w:val="0"/>
          <w:sz w:val="32"/>
          <w:szCs w:val="32"/>
        </w:rPr>
        <w:t>。</w:t>
      </w:r>
    </w:p>
    <w:p>
      <w:pPr>
        <w:pStyle w:val="13"/>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90" w:lineRule="exact"/>
        <w:ind w:right="0" w:firstLine="632"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en-US" w:eastAsia="zh-CN"/>
        </w:rPr>
        <w:t xml:space="preserve">第五条 </w:t>
      </w:r>
      <w:r>
        <w:rPr>
          <w:rFonts w:hint="eastAsia" w:ascii="仿宋_GB2312" w:hAnsi="仿宋_GB2312" w:eastAsia="仿宋_GB2312" w:cs="仿宋_GB2312"/>
          <w:color w:val="auto"/>
          <w:spacing w:val="0"/>
          <w:w w:val="100"/>
          <w:position w:val="0"/>
          <w:sz w:val="32"/>
          <w:szCs w:val="32"/>
        </w:rPr>
        <w:t>农业</w:t>
      </w:r>
      <w:r>
        <w:rPr>
          <w:rFonts w:hint="eastAsia" w:ascii="仿宋_GB2312" w:hAnsi="仿宋_GB2312" w:eastAsia="仿宋_GB2312" w:cs="仿宋_GB2312"/>
          <w:color w:val="auto"/>
          <w:spacing w:val="0"/>
          <w:w w:val="100"/>
          <w:position w:val="0"/>
          <w:sz w:val="32"/>
          <w:szCs w:val="32"/>
          <w:lang w:eastAsia="zh-CN"/>
        </w:rPr>
        <w:t>资源及生态保护补助</w:t>
      </w:r>
      <w:r>
        <w:rPr>
          <w:rFonts w:hint="eastAsia" w:ascii="仿宋_GB2312" w:hAnsi="仿宋_GB2312" w:eastAsia="仿宋_GB2312" w:cs="仿宋_GB2312"/>
          <w:color w:val="auto"/>
          <w:spacing w:val="0"/>
          <w:w w:val="100"/>
          <w:position w:val="0"/>
          <w:sz w:val="32"/>
          <w:szCs w:val="32"/>
        </w:rPr>
        <w:t>资金由</w:t>
      </w: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rPr>
        <w:t>会同</w:t>
      </w:r>
      <w:r>
        <w:rPr>
          <w:rFonts w:hint="eastAsia" w:ascii="仿宋_GB2312" w:hAnsi="仿宋_GB2312" w:eastAsia="仿宋_GB2312" w:cs="仿宋_GB2312"/>
          <w:color w:val="auto"/>
          <w:spacing w:val="0"/>
          <w:w w:val="100"/>
          <w:position w:val="0"/>
          <w:sz w:val="32"/>
          <w:szCs w:val="32"/>
          <w:lang w:eastAsia="zh-CN"/>
        </w:rPr>
        <w:t>省农业农村厅</w:t>
      </w:r>
      <w:r>
        <w:rPr>
          <w:rFonts w:hint="eastAsia" w:ascii="仿宋_GB2312" w:hAnsi="仿宋_GB2312" w:eastAsia="仿宋_GB2312" w:cs="仿宋_GB2312"/>
          <w:color w:val="auto"/>
          <w:spacing w:val="0"/>
          <w:w w:val="100"/>
          <w:position w:val="0"/>
          <w:sz w:val="32"/>
          <w:szCs w:val="32"/>
        </w:rPr>
        <w:t>按照</w:t>
      </w:r>
      <w:r>
        <w:rPr>
          <w:rFonts w:hint="eastAsia" w:ascii="仿宋_GB2312" w:hAnsi="仿宋_GB2312" w:eastAsia="仿宋_GB2312" w:cs="仿宋_GB2312"/>
          <w:color w:val="auto"/>
          <w:spacing w:val="0"/>
          <w:w w:val="100"/>
          <w:position w:val="0"/>
          <w:sz w:val="32"/>
          <w:szCs w:val="32"/>
          <w:lang w:val="zh-CN" w:eastAsia="zh-CN" w:bidi="zh-CN"/>
        </w:rPr>
        <w:t>“政</w:t>
      </w:r>
      <w:r>
        <w:rPr>
          <w:rFonts w:hint="eastAsia" w:ascii="仿宋_GB2312" w:hAnsi="仿宋_GB2312" w:eastAsia="仿宋_GB2312" w:cs="仿宋_GB2312"/>
          <w:color w:val="auto"/>
          <w:spacing w:val="0"/>
          <w:w w:val="100"/>
          <w:position w:val="0"/>
          <w:sz w:val="32"/>
          <w:szCs w:val="32"/>
        </w:rPr>
        <w:t>策目标明确、分配办法科学、支出方向协调、绩效结果导向”的原则分配、使用和管理。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rPr>
        <w:t>负责</w:t>
      </w:r>
      <w:r>
        <w:rPr>
          <w:rFonts w:hint="eastAsia" w:ascii="仿宋_GB2312" w:hAnsi="仿宋_GB2312" w:eastAsia="仿宋_GB2312" w:cs="仿宋_GB2312"/>
          <w:color w:val="auto"/>
          <w:spacing w:val="0"/>
          <w:w w:val="100"/>
          <w:position w:val="0"/>
          <w:sz w:val="32"/>
          <w:szCs w:val="32"/>
          <w:lang w:eastAsia="zh-CN"/>
        </w:rPr>
        <w:t>省级</w:t>
      </w:r>
      <w:r>
        <w:rPr>
          <w:rFonts w:hint="eastAsia" w:ascii="仿宋_GB2312" w:hAnsi="仿宋_GB2312" w:eastAsia="仿宋_GB2312" w:cs="仿宋_GB2312"/>
          <w:color w:val="auto"/>
          <w:spacing w:val="0"/>
          <w:w w:val="100"/>
          <w:position w:val="0"/>
          <w:sz w:val="32"/>
          <w:szCs w:val="32"/>
        </w:rPr>
        <w:t>农业</w:t>
      </w:r>
      <w:r>
        <w:rPr>
          <w:rFonts w:hint="eastAsia" w:ascii="仿宋_GB2312" w:hAnsi="仿宋_GB2312" w:eastAsia="仿宋_GB2312" w:cs="仿宋_GB2312"/>
          <w:color w:val="auto"/>
          <w:spacing w:val="0"/>
          <w:w w:val="100"/>
          <w:position w:val="0"/>
          <w:sz w:val="32"/>
          <w:szCs w:val="32"/>
          <w:lang w:eastAsia="zh-CN"/>
        </w:rPr>
        <w:t>资源及生态保护补助</w:t>
      </w:r>
      <w:r>
        <w:rPr>
          <w:rFonts w:hint="eastAsia" w:ascii="仿宋_GB2312" w:hAnsi="仿宋_GB2312" w:eastAsia="仿宋_GB2312" w:cs="仿宋_GB2312"/>
          <w:color w:val="auto"/>
          <w:spacing w:val="0"/>
          <w:w w:val="100"/>
          <w:position w:val="0"/>
          <w:sz w:val="32"/>
          <w:szCs w:val="32"/>
        </w:rPr>
        <w:t>资金的预算</w:t>
      </w:r>
      <w:r>
        <w:rPr>
          <w:rFonts w:hint="eastAsia" w:ascii="仿宋_GB2312" w:hAnsi="仿宋_GB2312" w:eastAsia="仿宋_GB2312" w:cs="仿宋_GB2312"/>
          <w:color w:val="auto"/>
          <w:spacing w:val="0"/>
          <w:w w:val="100"/>
          <w:position w:val="0"/>
          <w:sz w:val="32"/>
          <w:szCs w:val="32"/>
          <w:lang w:eastAsia="zh-CN"/>
        </w:rPr>
        <w:t>安排，会同省农业农村厅</w:t>
      </w:r>
      <w:r>
        <w:rPr>
          <w:rFonts w:hint="eastAsia" w:ascii="仿宋_GB2312" w:hAnsi="仿宋_GB2312" w:eastAsia="仿宋_GB2312" w:cs="仿宋_GB2312"/>
          <w:color w:val="auto"/>
          <w:spacing w:val="0"/>
          <w:w w:val="100"/>
          <w:position w:val="0"/>
          <w:sz w:val="32"/>
          <w:szCs w:val="32"/>
        </w:rPr>
        <w:t>分解下达</w:t>
      </w:r>
      <w:r>
        <w:rPr>
          <w:rFonts w:hint="eastAsia" w:ascii="仿宋_GB2312" w:hAnsi="仿宋_GB2312" w:eastAsia="仿宋_GB2312" w:cs="仿宋_GB2312"/>
          <w:color w:val="auto"/>
          <w:spacing w:val="0"/>
          <w:w w:val="100"/>
          <w:position w:val="0"/>
          <w:sz w:val="32"/>
          <w:szCs w:val="32"/>
          <w:lang w:eastAsia="zh-CN"/>
        </w:rPr>
        <w:t>中央和省级</w:t>
      </w:r>
      <w:r>
        <w:rPr>
          <w:rFonts w:hint="eastAsia" w:ascii="仿宋_GB2312" w:hAnsi="仿宋_GB2312" w:eastAsia="仿宋_GB2312" w:cs="仿宋_GB2312"/>
          <w:color w:val="auto"/>
          <w:spacing w:val="0"/>
          <w:w w:val="100"/>
          <w:position w:val="0"/>
          <w:sz w:val="32"/>
          <w:szCs w:val="32"/>
        </w:rPr>
        <w:t>农业</w:t>
      </w:r>
      <w:r>
        <w:rPr>
          <w:rFonts w:hint="eastAsia" w:ascii="仿宋_GB2312" w:hAnsi="仿宋_GB2312" w:eastAsia="仿宋_GB2312" w:cs="仿宋_GB2312"/>
          <w:color w:val="auto"/>
          <w:spacing w:val="0"/>
          <w:w w:val="100"/>
          <w:position w:val="0"/>
          <w:sz w:val="32"/>
          <w:szCs w:val="32"/>
          <w:lang w:eastAsia="zh-CN"/>
        </w:rPr>
        <w:t>资源及生态保护补助</w:t>
      </w:r>
      <w:r>
        <w:rPr>
          <w:rFonts w:hint="eastAsia" w:ascii="仿宋_GB2312" w:hAnsi="仿宋_GB2312" w:eastAsia="仿宋_GB2312" w:cs="仿宋_GB2312"/>
          <w:color w:val="auto"/>
          <w:spacing w:val="0"/>
          <w:w w:val="100"/>
          <w:position w:val="0"/>
          <w:sz w:val="32"/>
          <w:szCs w:val="32"/>
        </w:rPr>
        <w:t>资金、审核拨付资金、预算绩效管理及资金使用监督。</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eastAsia="zh-CN"/>
        </w:rPr>
        <w:t>省农业农村厅</w:t>
      </w:r>
      <w:r>
        <w:rPr>
          <w:rFonts w:hint="eastAsia" w:ascii="仿宋_GB2312" w:hAnsi="仿宋_GB2312" w:eastAsia="仿宋_GB2312" w:cs="仿宋_GB2312"/>
          <w:color w:val="auto"/>
          <w:spacing w:val="0"/>
          <w:w w:val="100"/>
          <w:position w:val="0"/>
          <w:sz w:val="32"/>
          <w:szCs w:val="32"/>
        </w:rPr>
        <w:t>负责</w:t>
      </w:r>
      <w:r>
        <w:rPr>
          <w:rFonts w:hint="eastAsia" w:ascii="仿宋_GB2312" w:hAnsi="仿宋_GB2312" w:eastAsia="仿宋_GB2312" w:cs="仿宋_GB2312"/>
          <w:color w:val="auto"/>
          <w:spacing w:val="0"/>
          <w:w w:val="100"/>
          <w:position w:val="0"/>
          <w:sz w:val="32"/>
          <w:szCs w:val="32"/>
          <w:lang w:eastAsia="zh-CN"/>
        </w:rPr>
        <w:t>全省</w:t>
      </w:r>
      <w:r>
        <w:rPr>
          <w:rFonts w:hint="eastAsia" w:ascii="仿宋_GB2312" w:hAnsi="仿宋_GB2312" w:eastAsia="仿宋_GB2312" w:cs="仿宋_GB2312"/>
          <w:color w:val="auto"/>
          <w:kern w:val="0"/>
          <w:sz w:val="32"/>
          <w:szCs w:val="32"/>
          <w:highlight w:val="none"/>
        </w:rPr>
        <w:t>农业资源及生态保护</w:t>
      </w:r>
      <w:r>
        <w:rPr>
          <w:rFonts w:hint="eastAsia" w:ascii="仿宋_GB2312" w:hAnsi="仿宋_GB2312" w:eastAsia="仿宋_GB2312" w:cs="仿宋_GB2312"/>
          <w:color w:val="auto"/>
          <w:spacing w:val="0"/>
          <w:w w:val="100"/>
          <w:position w:val="0"/>
          <w:sz w:val="32"/>
          <w:szCs w:val="32"/>
          <w:lang w:eastAsia="zh-CN"/>
        </w:rPr>
        <w:t>发展规划或实施方案编制，指导、推动和监督开展全省</w:t>
      </w:r>
      <w:r>
        <w:rPr>
          <w:rFonts w:hint="eastAsia" w:ascii="仿宋_GB2312" w:hAnsi="仿宋_GB2312" w:eastAsia="仿宋_GB2312" w:cs="仿宋_GB2312"/>
          <w:color w:val="auto"/>
          <w:kern w:val="0"/>
          <w:sz w:val="32"/>
          <w:szCs w:val="32"/>
          <w:highlight w:val="none"/>
        </w:rPr>
        <w:t>农业资源及生态保护</w:t>
      </w:r>
      <w:r>
        <w:rPr>
          <w:rFonts w:hint="eastAsia" w:ascii="仿宋_GB2312" w:hAnsi="仿宋_GB2312" w:eastAsia="仿宋_GB2312" w:cs="仿宋_GB2312"/>
          <w:color w:val="auto"/>
          <w:spacing w:val="0"/>
          <w:w w:val="100"/>
          <w:position w:val="0"/>
          <w:sz w:val="32"/>
          <w:szCs w:val="32"/>
          <w:lang w:eastAsia="zh-CN"/>
        </w:rPr>
        <w:t>工作，</w:t>
      </w:r>
      <w:r>
        <w:rPr>
          <w:rFonts w:hint="eastAsia" w:ascii="仿宋_GB2312" w:hAnsi="仿宋_GB2312" w:eastAsia="仿宋_GB2312" w:cs="仿宋_GB2312"/>
          <w:color w:val="auto"/>
          <w:spacing w:val="0"/>
          <w:w w:val="100"/>
          <w:position w:val="0"/>
          <w:sz w:val="32"/>
          <w:szCs w:val="32"/>
        </w:rPr>
        <w:t>研究提出资金和任务清单分解安排建议方案，做好预算执行和绩效目标管理、绩效监控和绩效评价等工作。</w:t>
      </w:r>
    </w:p>
    <w:p>
      <w:pPr>
        <w:keepNext w:val="0"/>
        <w:keepLines w:val="0"/>
        <w:pageBreakBefore w:val="0"/>
        <w:widowControl/>
        <w:kinsoku/>
        <w:wordWrap/>
        <w:overflowPunct/>
        <w:topLinePunct w:val="0"/>
        <w:autoSpaceDE/>
        <w:autoSpaceDN/>
        <w:bidi w:val="0"/>
        <w:adjustRightInd/>
        <w:snapToGrid/>
        <w:spacing w:line="590" w:lineRule="exact"/>
        <w:ind w:firstLine="660"/>
        <w:jc w:val="both"/>
        <w:textAlignment w:val="auto"/>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pP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市县财政部门主要负责</w:t>
      </w:r>
      <w:r>
        <w:rPr>
          <w:rFonts w:hint="eastAsia" w:ascii="仿宋_GB2312" w:hAnsi="仿宋_GB2312" w:eastAsia="仿宋_GB2312" w:cs="仿宋_GB2312"/>
          <w:color w:val="auto"/>
          <w:kern w:val="0"/>
          <w:sz w:val="32"/>
          <w:szCs w:val="32"/>
          <w:highlight w:val="none"/>
        </w:rPr>
        <w:t>农业资源及生态保护</w:t>
      </w:r>
      <w:r>
        <w:rPr>
          <w:rFonts w:hint="eastAsia" w:hAnsi="仿宋_GB2312" w:cs="仿宋_GB2312"/>
          <w:color w:val="auto"/>
          <w:kern w:val="0"/>
          <w:sz w:val="32"/>
          <w:szCs w:val="32"/>
          <w:highlight w:val="none"/>
          <w:lang w:val="en-US" w:eastAsia="zh-CN"/>
        </w:rPr>
        <w:t>补助</w:t>
      </w:r>
      <w:r>
        <w:rPr>
          <w:rFonts w:hint="eastAsia" w:ascii="仿宋_GB2312" w:hAnsi="仿宋_GB2312" w:eastAsia="仿宋_GB2312" w:cs="仿宋_GB2312"/>
          <w:color w:val="auto"/>
          <w:kern w:val="0"/>
          <w:sz w:val="32"/>
          <w:szCs w:val="32"/>
          <w:highlight w:val="none"/>
          <w:lang w:eastAsia="zh-CN"/>
        </w:rPr>
        <w:t>资金的</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审核拨付、本地区预算绩效管理以及资金使用监督等工作。</w:t>
      </w:r>
    </w:p>
    <w:p>
      <w:pPr>
        <w:keepNext w:val="0"/>
        <w:keepLines w:val="0"/>
        <w:pageBreakBefore w:val="0"/>
        <w:widowControl/>
        <w:kinsoku/>
        <w:wordWrap/>
        <w:overflowPunct/>
        <w:topLinePunct w:val="0"/>
        <w:autoSpaceDE/>
        <w:autoSpaceDN/>
        <w:bidi w:val="0"/>
        <w:adjustRightInd/>
        <w:snapToGrid/>
        <w:spacing w:line="590" w:lineRule="exact"/>
        <w:ind w:firstLine="66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市县农业农村部门主要负责本地区</w:t>
      </w:r>
      <w:r>
        <w:rPr>
          <w:rFonts w:hint="eastAsia" w:ascii="仿宋_GB2312" w:hAnsi="仿宋_GB2312" w:eastAsia="仿宋_GB2312" w:cs="仿宋_GB2312"/>
          <w:color w:val="auto"/>
          <w:kern w:val="0"/>
          <w:sz w:val="32"/>
          <w:szCs w:val="32"/>
          <w:highlight w:val="none"/>
        </w:rPr>
        <w:t>农业资源及生态保护</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相关工作任务项目申报、实施方案编制、项目组织实施等，做好预算执行和绩效管理等工作、完成下达的任务清单和绩效目标等。</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592" w:beforeLines="100" w:after="592" w:afterLines="100" w:line="590" w:lineRule="exact"/>
        <w:ind w:left="0" w:right="0" w:firstLine="0"/>
        <w:jc w:val="center"/>
        <w:textAlignment w:val="auto"/>
        <w:rPr>
          <w:rFonts w:hint="eastAsia" w:ascii="黑体" w:hAnsi="黑体" w:eastAsia="黑体" w:cs="黑体"/>
          <w:sz w:val="32"/>
          <w:szCs w:val="32"/>
        </w:rPr>
      </w:pPr>
      <w:r>
        <w:rPr>
          <w:rFonts w:hint="eastAsia" w:ascii="黑体" w:hAnsi="黑体" w:eastAsia="黑体" w:cs="黑体"/>
          <w:b w:val="0"/>
          <w:bCs w:val="0"/>
          <w:color w:val="000000"/>
          <w:spacing w:val="0"/>
          <w:w w:val="100"/>
          <w:position w:val="0"/>
          <w:sz w:val="32"/>
          <w:szCs w:val="32"/>
        </w:rPr>
        <w:t>第二章</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position w:val="0"/>
          <w:sz w:val="32"/>
          <w:szCs w:val="32"/>
        </w:rPr>
        <w:t>资金支出范围</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第六条</w:t>
      </w:r>
      <w:r>
        <w:rPr>
          <w:rFonts w:hint="eastAsia" w:ascii="仿宋_GB2312" w:hAnsi="仿宋_GB2312" w:eastAsia="仿宋_GB2312" w:cs="仿宋_GB2312"/>
          <w:color w:val="auto"/>
          <w:spacing w:val="0"/>
          <w:w w:val="100"/>
          <w:position w:val="0"/>
          <w:sz w:val="32"/>
          <w:szCs w:val="32"/>
        </w:rPr>
        <w:t xml:space="preserve"> 农业</w:t>
      </w:r>
      <w:r>
        <w:rPr>
          <w:rFonts w:hint="eastAsia" w:ascii="仿宋_GB2312" w:hAnsi="仿宋_GB2312" w:eastAsia="仿宋_GB2312" w:cs="仿宋_GB2312"/>
          <w:color w:val="auto"/>
          <w:spacing w:val="0"/>
          <w:w w:val="100"/>
          <w:position w:val="0"/>
          <w:sz w:val="32"/>
          <w:szCs w:val="32"/>
          <w:lang w:eastAsia="zh-CN"/>
        </w:rPr>
        <w:t>资源及生态保护补助</w:t>
      </w:r>
      <w:r>
        <w:rPr>
          <w:rFonts w:hint="eastAsia" w:ascii="仿宋_GB2312" w:hAnsi="仿宋_GB2312" w:eastAsia="仿宋_GB2312" w:cs="仿宋_GB2312"/>
          <w:color w:val="auto"/>
          <w:spacing w:val="0"/>
          <w:w w:val="100"/>
          <w:position w:val="0"/>
          <w:sz w:val="32"/>
          <w:szCs w:val="32"/>
        </w:rPr>
        <w:t>资金主要用于以下方面：</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position w:val="0"/>
          <w:sz w:val="32"/>
          <w:szCs w:val="32"/>
          <w:highlight w:val="none"/>
          <w:lang w:eastAsia="zh-CN"/>
        </w:rPr>
      </w:pPr>
      <w:r>
        <w:rPr>
          <w:rFonts w:hint="eastAsia" w:ascii="仿宋_GB2312" w:hAnsi="仿宋_GB2312" w:eastAsia="仿宋_GB2312" w:cs="仿宋_GB2312"/>
          <w:color w:val="auto"/>
          <w:spacing w:val="0"/>
          <w:w w:val="100"/>
          <w:position w:val="0"/>
          <w:sz w:val="32"/>
          <w:szCs w:val="32"/>
          <w:lang w:eastAsia="zh-CN"/>
        </w:rPr>
        <w:t>（一）耕地资源保护支出。主要用于支持</w:t>
      </w:r>
      <w:r>
        <w:rPr>
          <w:rFonts w:hint="eastAsia" w:ascii="仿宋_GB2312" w:hAnsi="仿宋_GB2312" w:eastAsia="仿宋_GB2312" w:cs="仿宋_GB2312"/>
          <w:color w:val="auto"/>
          <w:spacing w:val="0"/>
          <w:w w:val="100"/>
          <w:position w:val="0"/>
          <w:sz w:val="32"/>
          <w:szCs w:val="32"/>
          <w:highlight w:val="none"/>
          <w:lang w:eastAsia="zh-CN"/>
        </w:rPr>
        <w:t>耕地轮作等农业结构调整、退化耕地治理、耕地保护与质量提升、耕地生产障碍治理、耕地质量等级调查评价等方面。</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position w:val="0"/>
          <w:sz w:val="32"/>
          <w:szCs w:val="32"/>
          <w:lang w:eastAsia="zh-CN"/>
        </w:rPr>
      </w:pPr>
      <w:bookmarkStart w:id="0" w:name="bookmark25"/>
      <w:r>
        <w:rPr>
          <w:rFonts w:hint="eastAsia" w:ascii="仿宋_GB2312" w:hAnsi="仿宋_GB2312" w:eastAsia="仿宋_GB2312" w:cs="仿宋_GB2312"/>
          <w:color w:val="auto"/>
          <w:spacing w:val="0"/>
          <w:w w:val="100"/>
          <w:position w:val="0"/>
          <w:sz w:val="32"/>
          <w:szCs w:val="32"/>
          <w:lang w:eastAsia="zh-CN"/>
        </w:rPr>
        <w:t>（</w:t>
      </w:r>
      <w:bookmarkEnd w:id="0"/>
      <w:r>
        <w:rPr>
          <w:rFonts w:hint="eastAsia" w:ascii="仿宋_GB2312" w:hAnsi="仿宋_GB2312" w:eastAsia="仿宋_GB2312" w:cs="仿宋_GB2312"/>
          <w:color w:val="auto"/>
          <w:spacing w:val="0"/>
          <w:w w:val="100"/>
          <w:position w:val="0"/>
          <w:sz w:val="32"/>
          <w:szCs w:val="32"/>
          <w:lang w:eastAsia="zh-CN"/>
        </w:rPr>
        <w:t>二）渔业资源保护支出。主要用于支持渔业增殖放流等方面。</w:t>
      </w:r>
    </w:p>
    <w:p>
      <w:pPr>
        <w:pStyle w:val="13"/>
        <w:keepNext w:val="0"/>
        <w:keepLines w:val="0"/>
        <w:pageBreakBefore w:val="0"/>
        <w:widowControl w:val="0"/>
        <w:shd w:val="clear" w:color="auto" w:fill="auto"/>
        <w:tabs>
          <w:tab w:val="left" w:pos="1590"/>
        </w:tabs>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position w:val="0"/>
          <w:sz w:val="32"/>
          <w:szCs w:val="32"/>
          <w:lang w:eastAsia="zh-CN"/>
        </w:rPr>
      </w:pPr>
      <w:bookmarkStart w:id="1" w:name="bookmark27"/>
      <w:r>
        <w:rPr>
          <w:rFonts w:hint="eastAsia" w:ascii="仿宋_GB2312" w:hAnsi="仿宋_GB2312" w:eastAsia="仿宋_GB2312" w:cs="仿宋_GB2312"/>
          <w:color w:val="auto"/>
          <w:spacing w:val="0"/>
          <w:w w:val="100"/>
          <w:position w:val="0"/>
          <w:sz w:val="32"/>
          <w:szCs w:val="32"/>
        </w:rPr>
        <w:t>（</w:t>
      </w:r>
      <w:bookmarkEnd w:id="1"/>
      <w:r>
        <w:rPr>
          <w:rFonts w:hint="eastAsia" w:ascii="仿宋_GB2312" w:hAnsi="仿宋_GB2312" w:eastAsia="仿宋_GB2312" w:cs="仿宋_GB2312"/>
          <w:color w:val="auto"/>
          <w:spacing w:val="0"/>
          <w:w w:val="100"/>
          <w:position w:val="0"/>
          <w:sz w:val="32"/>
          <w:szCs w:val="32"/>
          <w:lang w:eastAsia="zh-CN"/>
        </w:rPr>
        <w:t>三</w:t>
      </w:r>
      <w:r>
        <w:rPr>
          <w:rFonts w:hint="eastAsia" w:ascii="仿宋_GB2312" w:hAnsi="仿宋_GB2312" w:eastAsia="仿宋_GB2312" w:cs="仿宋_GB2312"/>
          <w:color w:val="auto"/>
          <w:spacing w:val="0"/>
          <w:w w:val="100"/>
          <w:position w:val="0"/>
          <w:sz w:val="32"/>
          <w:szCs w:val="32"/>
        </w:rPr>
        <w:t>）农业废弃物资源化利用支出</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主要用于农作物秸秆综合利用、地膜科学使用回收</w:t>
      </w:r>
      <w:r>
        <w:rPr>
          <w:rFonts w:hint="eastAsia" w:ascii="仿宋_GB2312" w:hAnsi="仿宋_GB2312" w:eastAsia="仿宋_GB2312" w:cs="仿宋_GB2312"/>
          <w:color w:val="auto"/>
          <w:spacing w:val="0"/>
          <w:w w:val="100"/>
          <w:position w:val="0"/>
          <w:sz w:val="32"/>
          <w:szCs w:val="32"/>
          <w:lang w:eastAsia="zh-CN"/>
        </w:rPr>
        <w:t>、废旧农膜回收利用</w:t>
      </w:r>
      <w:r>
        <w:rPr>
          <w:rFonts w:hint="eastAsia" w:ascii="仿宋_GB2312" w:hAnsi="仿宋_GB2312" w:eastAsia="仿宋_GB2312" w:cs="仿宋_GB2312"/>
          <w:color w:val="auto"/>
          <w:spacing w:val="0"/>
          <w:w w:val="100"/>
          <w:position w:val="0"/>
          <w:sz w:val="32"/>
          <w:szCs w:val="32"/>
        </w:rPr>
        <w:t>以及绿色种养循环农业等方面</w:t>
      </w:r>
      <w:r>
        <w:rPr>
          <w:rFonts w:hint="eastAsia" w:ascii="仿宋_GB2312" w:hAnsi="仿宋_GB2312" w:eastAsia="仿宋_GB2312" w:cs="仿宋_GB2312"/>
          <w:color w:val="auto"/>
          <w:spacing w:val="0"/>
          <w:w w:val="100"/>
          <w:position w:val="0"/>
          <w:sz w:val="32"/>
          <w:szCs w:val="32"/>
          <w:lang w:eastAsia="zh-CN"/>
        </w:rPr>
        <w:t>。</w:t>
      </w:r>
    </w:p>
    <w:p>
      <w:pPr>
        <w:pStyle w:val="13"/>
        <w:keepNext w:val="0"/>
        <w:keepLines w:val="0"/>
        <w:pageBreakBefore w:val="0"/>
        <w:widowControl w:val="0"/>
        <w:shd w:val="clear" w:color="auto" w:fill="auto"/>
        <w:tabs>
          <w:tab w:val="left" w:pos="1590"/>
        </w:tabs>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color w:val="auto"/>
          <w:spacing w:val="0"/>
          <w:w w:val="100"/>
          <w:position w:val="0"/>
          <w:sz w:val="32"/>
          <w:szCs w:val="32"/>
          <w:lang w:eastAsia="zh-CN"/>
        </w:rPr>
        <w:t>（四）农业生物多样性保护支出。</w:t>
      </w:r>
      <w:r>
        <w:rPr>
          <w:rFonts w:hint="eastAsia" w:ascii="仿宋_GB2312" w:hAnsi="仿宋_GB2312" w:eastAsia="仿宋_GB2312" w:cs="仿宋_GB2312"/>
          <w:b w:val="0"/>
          <w:bCs w:val="0"/>
          <w:color w:val="auto"/>
          <w:spacing w:val="0"/>
          <w:w w:val="100"/>
          <w:position w:val="0"/>
          <w:sz w:val="32"/>
          <w:szCs w:val="32"/>
          <w:highlight w:val="none"/>
          <w:u w:val="none"/>
          <w:lang w:val="en-US" w:eastAsia="zh-CN"/>
        </w:rPr>
        <w:t>主要用于支持农业外来入侵物种监测防控、农业野生生物保护等方面。</w:t>
      </w:r>
    </w:p>
    <w:p>
      <w:pPr>
        <w:pStyle w:val="13"/>
        <w:keepNext w:val="0"/>
        <w:keepLines w:val="0"/>
        <w:pageBreakBefore w:val="0"/>
        <w:widowControl w:val="0"/>
        <w:shd w:val="clear" w:color="auto" w:fill="auto"/>
        <w:tabs>
          <w:tab w:val="left" w:pos="1590"/>
        </w:tabs>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eastAsia="zh-CN"/>
        </w:rPr>
        <w:t>（五）</w:t>
      </w:r>
      <w:r>
        <w:rPr>
          <w:rFonts w:hint="eastAsia" w:ascii="仿宋_GB2312" w:hAnsi="仿宋_GB2312" w:eastAsia="仿宋_GB2312" w:cs="仿宋_GB2312"/>
          <w:color w:val="auto"/>
          <w:kern w:val="0"/>
          <w:sz w:val="32"/>
          <w:szCs w:val="32"/>
          <w:highlight w:val="none"/>
          <w:shd w:val="clear" w:color="auto" w:fill="FFFFFF"/>
          <w:lang w:val="en-US" w:eastAsia="zh-CN"/>
        </w:rPr>
        <w:t>党中央、国务院和</w:t>
      </w:r>
      <w:r>
        <w:rPr>
          <w:rFonts w:hint="eastAsia" w:ascii="仿宋_GB2312" w:hAnsi="仿宋_GB2312" w:eastAsia="仿宋_GB2312" w:cs="仿宋_GB2312"/>
          <w:color w:val="auto"/>
          <w:spacing w:val="0"/>
          <w:w w:val="100"/>
          <w:position w:val="0"/>
          <w:sz w:val="32"/>
          <w:szCs w:val="32"/>
          <w:lang w:eastAsia="zh-CN"/>
        </w:rPr>
        <w:t>省委</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eastAsia="zh-CN"/>
        </w:rPr>
        <w:t>省政府</w:t>
      </w:r>
      <w:r>
        <w:rPr>
          <w:rFonts w:hint="eastAsia" w:ascii="仿宋_GB2312" w:hAnsi="仿宋_GB2312" w:eastAsia="仿宋_GB2312" w:cs="仿宋_GB2312"/>
          <w:color w:val="auto"/>
          <w:spacing w:val="0"/>
          <w:w w:val="100"/>
          <w:position w:val="0"/>
          <w:sz w:val="32"/>
          <w:szCs w:val="32"/>
        </w:rPr>
        <w:t>确定的支持农业</w:t>
      </w:r>
      <w:r>
        <w:rPr>
          <w:rFonts w:hint="eastAsia" w:ascii="仿宋_GB2312" w:hAnsi="仿宋_GB2312" w:eastAsia="仿宋_GB2312" w:cs="仿宋_GB2312"/>
          <w:color w:val="auto"/>
          <w:spacing w:val="0"/>
          <w:w w:val="100"/>
          <w:position w:val="0"/>
          <w:sz w:val="32"/>
          <w:szCs w:val="32"/>
          <w:lang w:eastAsia="zh-CN"/>
        </w:rPr>
        <w:t>资源及生态保护</w:t>
      </w:r>
      <w:r>
        <w:rPr>
          <w:rFonts w:hint="eastAsia" w:ascii="仿宋_GB2312" w:hAnsi="仿宋_GB2312" w:eastAsia="仿宋_GB2312" w:cs="仿宋_GB2312"/>
          <w:color w:val="auto"/>
          <w:spacing w:val="0"/>
          <w:w w:val="100"/>
          <w:position w:val="0"/>
          <w:sz w:val="32"/>
          <w:szCs w:val="32"/>
        </w:rPr>
        <w:t>的其他重点工作。</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农业</w:t>
      </w:r>
      <w:r>
        <w:rPr>
          <w:rFonts w:hint="eastAsia" w:ascii="仿宋_GB2312" w:hAnsi="仿宋_GB2312" w:eastAsia="仿宋_GB2312" w:cs="仿宋_GB2312"/>
          <w:color w:val="auto"/>
          <w:spacing w:val="0"/>
          <w:w w:val="100"/>
          <w:position w:val="0"/>
          <w:sz w:val="32"/>
          <w:szCs w:val="32"/>
          <w:lang w:eastAsia="zh-CN"/>
        </w:rPr>
        <w:t>资源及生态保护补助</w:t>
      </w:r>
      <w:r>
        <w:rPr>
          <w:rFonts w:hint="eastAsia" w:ascii="仿宋_GB2312" w:hAnsi="仿宋_GB2312" w:eastAsia="仿宋_GB2312" w:cs="仿宋_GB2312"/>
          <w:color w:val="auto"/>
          <w:spacing w:val="0"/>
          <w:w w:val="100"/>
          <w:position w:val="0"/>
          <w:sz w:val="32"/>
          <w:szCs w:val="32"/>
        </w:rPr>
        <w:t>资金不得用于兴建楼堂馆所、弥补预算支出缺口等与农</w:t>
      </w:r>
      <w:r>
        <w:rPr>
          <w:rFonts w:hint="eastAsia" w:ascii="仿宋_GB2312" w:hAnsi="仿宋_GB2312" w:eastAsia="仿宋_GB2312" w:cs="仿宋_GB2312"/>
          <w:color w:val="auto"/>
          <w:spacing w:val="0"/>
          <w:w w:val="100"/>
          <w:position w:val="0"/>
          <w:sz w:val="32"/>
          <w:szCs w:val="32"/>
          <w:lang w:eastAsia="zh-CN"/>
        </w:rPr>
        <w:t>业资源及生态保护</w:t>
      </w:r>
      <w:r>
        <w:rPr>
          <w:rFonts w:hint="eastAsia" w:ascii="仿宋_GB2312" w:hAnsi="仿宋_GB2312" w:eastAsia="仿宋_GB2312" w:cs="仿宋_GB2312"/>
          <w:color w:val="auto"/>
          <w:spacing w:val="0"/>
          <w:w w:val="100"/>
          <w:position w:val="0"/>
          <w:sz w:val="32"/>
          <w:szCs w:val="32"/>
        </w:rPr>
        <w:t>无关的支出。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第七条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仿宋_GB2312" w:eastAsia="仿宋_GB2312" w:cs="仿宋_GB2312"/>
          <w:color w:val="auto"/>
          <w:spacing w:val="0"/>
          <w:w w:val="100"/>
          <w:position w:val="0"/>
          <w:sz w:val="32"/>
          <w:szCs w:val="32"/>
        </w:rPr>
        <w:t>农业资源及生态保护补助资金的支持对象主要是农民、牧民、渔民</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新型农业经营主体以及承担项目任务的单位和个人。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第八条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仿宋_GB2312" w:eastAsia="仿宋_GB2312" w:cs="仿宋_GB2312"/>
          <w:color w:val="auto"/>
          <w:spacing w:val="0"/>
          <w:w w:val="100"/>
          <w:position w:val="0"/>
          <w:sz w:val="32"/>
          <w:szCs w:val="32"/>
        </w:rPr>
        <w:t>农业资源及生态保护补助资金可以采取直接补助</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政府购买服务、先建后补、以奖代补、贷款贴息、资产折股量化等方式。具体由</w:t>
      </w: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rPr>
        <w:t>商</w:t>
      </w:r>
      <w:r>
        <w:rPr>
          <w:rFonts w:hint="eastAsia" w:ascii="仿宋_GB2312" w:hAnsi="仿宋_GB2312" w:eastAsia="仿宋_GB2312" w:cs="仿宋_GB2312"/>
          <w:color w:val="auto"/>
          <w:spacing w:val="0"/>
          <w:w w:val="100"/>
          <w:position w:val="0"/>
          <w:sz w:val="32"/>
          <w:szCs w:val="32"/>
          <w:lang w:eastAsia="zh-CN"/>
        </w:rPr>
        <w:t>省农业农村厅</w:t>
      </w:r>
      <w:r>
        <w:rPr>
          <w:rFonts w:hint="eastAsia" w:ascii="仿宋_GB2312" w:hAnsi="仿宋_GB2312" w:eastAsia="仿宋_GB2312" w:cs="仿宋_GB2312"/>
          <w:color w:val="auto"/>
          <w:spacing w:val="0"/>
          <w:w w:val="100"/>
          <w:position w:val="0"/>
          <w:sz w:val="32"/>
          <w:szCs w:val="32"/>
        </w:rPr>
        <w:t>确定。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592" w:beforeLines="100" w:after="592" w:afterLines="100" w:line="590" w:lineRule="exact"/>
        <w:ind w:left="0" w:right="0" w:firstLine="0"/>
        <w:jc w:val="center"/>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pacing w:val="0"/>
          <w:w w:val="100"/>
          <w:position w:val="0"/>
          <w:sz w:val="32"/>
          <w:szCs w:val="32"/>
          <w:lang w:val="en-US" w:eastAsia="zh-CN"/>
        </w:rPr>
        <w:t>第三章 资金分配和预算下达</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第九条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农业资源及生态保护补助资金</w:t>
      </w:r>
      <w:r>
        <w:rPr>
          <w:rFonts w:hint="eastAsia" w:ascii="仿宋_GB2312" w:hAnsi="仿宋_GB2312" w:eastAsia="仿宋_GB2312" w:cs="仿宋_GB2312"/>
          <w:color w:val="auto"/>
          <w:spacing w:val="0"/>
          <w:w w:val="100"/>
          <w:position w:val="0"/>
          <w:sz w:val="32"/>
          <w:szCs w:val="32"/>
          <w:lang w:eastAsia="zh-CN"/>
        </w:rPr>
        <w:t>主要</w:t>
      </w:r>
      <w:r>
        <w:rPr>
          <w:rFonts w:hint="eastAsia" w:ascii="仿宋_GB2312" w:hAnsi="仿宋_GB2312" w:eastAsia="仿宋_GB2312" w:cs="仿宋_GB2312"/>
          <w:color w:val="auto"/>
          <w:spacing w:val="0"/>
          <w:w w:val="100"/>
          <w:position w:val="0"/>
          <w:sz w:val="32"/>
          <w:szCs w:val="32"/>
        </w:rPr>
        <w:t>采取因素法</w:t>
      </w:r>
      <w:r>
        <w:rPr>
          <w:rFonts w:hint="eastAsia" w:ascii="仿宋_GB2312" w:hAnsi="仿宋_GB2312" w:eastAsia="仿宋_GB2312" w:cs="仿宋_GB2312"/>
          <w:color w:val="auto"/>
          <w:spacing w:val="0"/>
          <w:w w:val="100"/>
          <w:position w:val="0"/>
          <w:sz w:val="32"/>
          <w:szCs w:val="32"/>
          <w:lang w:eastAsia="zh-CN"/>
        </w:rPr>
        <w:t>和项目法</w:t>
      </w:r>
      <w:r>
        <w:rPr>
          <w:rFonts w:hint="eastAsia" w:ascii="仿宋_GB2312" w:hAnsi="仿宋_GB2312" w:eastAsia="仿宋_GB2312" w:cs="仿宋_GB2312"/>
          <w:color w:val="auto"/>
          <w:spacing w:val="0"/>
          <w:w w:val="100"/>
          <w:position w:val="0"/>
          <w:sz w:val="32"/>
          <w:szCs w:val="32"/>
        </w:rPr>
        <w:t>分配，并可根据绩效评价结果、地方财政支农投入、资金监督管理等因素进行适当调节。分配因素包括：</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720"/>
        <w:jc w:val="both"/>
        <w:textAlignment w:val="auto"/>
        <w:rPr>
          <w:rFonts w:hint="eastAsia" w:ascii="仿宋_GB2312" w:hAnsi="仿宋_GB2312" w:eastAsia="仿宋_GB2312" w:cs="仿宋_GB2312"/>
          <w:color w:val="auto"/>
          <w:sz w:val="32"/>
          <w:szCs w:val="32"/>
        </w:rPr>
      </w:pPr>
      <w:bookmarkStart w:id="2" w:name="bookmark29"/>
      <w:r>
        <w:rPr>
          <w:rFonts w:hint="eastAsia" w:ascii="仿宋_GB2312" w:hAnsi="仿宋_GB2312" w:eastAsia="仿宋_GB2312" w:cs="仿宋_GB2312"/>
          <w:color w:val="auto"/>
          <w:spacing w:val="0"/>
          <w:w w:val="100"/>
          <w:position w:val="0"/>
          <w:sz w:val="32"/>
          <w:szCs w:val="32"/>
        </w:rPr>
        <w:t>（</w:t>
      </w:r>
      <w:bookmarkEnd w:id="2"/>
      <w:r>
        <w:rPr>
          <w:rFonts w:hint="eastAsia" w:ascii="仿宋_GB2312" w:hAnsi="仿宋_GB2312" w:eastAsia="仿宋_GB2312" w:cs="仿宋_GB2312"/>
          <w:color w:val="auto"/>
          <w:spacing w:val="0"/>
          <w:w w:val="100"/>
          <w:position w:val="0"/>
          <w:sz w:val="32"/>
          <w:szCs w:val="32"/>
        </w:rPr>
        <w:t>一）基础资源因素，包括耕地草原及渔业水域面积、农业废弃物资源量等。</w:t>
      </w:r>
    </w:p>
    <w:p>
      <w:pPr>
        <w:pStyle w:val="13"/>
        <w:keepNext w:val="0"/>
        <w:keepLines w:val="0"/>
        <w:pageBreakBefore w:val="0"/>
        <w:widowControl w:val="0"/>
        <w:shd w:val="clear" w:color="auto" w:fill="auto"/>
        <w:tabs>
          <w:tab w:val="left" w:pos="1505"/>
        </w:tabs>
        <w:kinsoku/>
        <w:wordWrap/>
        <w:overflowPunct/>
        <w:topLinePunct w:val="0"/>
        <w:autoSpaceDE/>
        <w:autoSpaceDN/>
        <w:bidi w:val="0"/>
        <w:adjustRightInd/>
        <w:snapToGrid/>
        <w:spacing w:before="0" w:after="0" w:line="590" w:lineRule="exact"/>
        <w:ind w:left="0" w:right="0" w:firstLine="632" w:firstLineChars="200"/>
        <w:jc w:val="both"/>
        <w:textAlignment w:val="auto"/>
        <w:rPr>
          <w:rFonts w:hint="eastAsia" w:ascii="仿宋_GB2312" w:hAnsi="仿宋_GB2312" w:eastAsia="仿宋_GB2312" w:cs="仿宋_GB2312"/>
          <w:color w:val="auto"/>
          <w:sz w:val="32"/>
          <w:szCs w:val="32"/>
        </w:rPr>
      </w:pPr>
      <w:bookmarkStart w:id="3" w:name="bookmark30"/>
      <w:r>
        <w:rPr>
          <w:rFonts w:hint="eastAsia" w:ascii="仿宋_GB2312" w:hAnsi="仿宋_GB2312" w:eastAsia="仿宋_GB2312" w:cs="仿宋_GB2312"/>
          <w:color w:val="auto"/>
          <w:spacing w:val="0"/>
          <w:w w:val="100"/>
          <w:position w:val="0"/>
          <w:sz w:val="32"/>
          <w:szCs w:val="32"/>
        </w:rPr>
        <w:t>（</w:t>
      </w:r>
      <w:bookmarkEnd w:id="3"/>
      <w:r>
        <w:rPr>
          <w:rFonts w:hint="eastAsia" w:ascii="仿宋_GB2312" w:hAnsi="仿宋_GB2312" w:eastAsia="仿宋_GB2312" w:cs="仿宋_GB2312"/>
          <w:color w:val="auto"/>
          <w:spacing w:val="0"/>
          <w:w w:val="100"/>
          <w:position w:val="0"/>
          <w:sz w:val="32"/>
          <w:szCs w:val="32"/>
        </w:rPr>
        <w:t>二）政策任务因素，分为约束性任务和指导性任务，约束性任务主要包括党中央、国务院</w:t>
      </w:r>
      <w:r>
        <w:rPr>
          <w:rFonts w:hint="eastAsia" w:ascii="仿宋_GB2312" w:hAnsi="仿宋_GB2312" w:eastAsia="仿宋_GB2312" w:cs="仿宋_GB2312"/>
          <w:color w:val="auto"/>
          <w:spacing w:val="0"/>
          <w:w w:val="100"/>
          <w:position w:val="0"/>
          <w:sz w:val="32"/>
          <w:szCs w:val="32"/>
          <w:lang w:eastAsia="zh-CN"/>
        </w:rPr>
        <w:t>和省委、省政府</w:t>
      </w:r>
      <w:r>
        <w:rPr>
          <w:rFonts w:hint="eastAsia" w:ascii="仿宋_GB2312" w:hAnsi="仿宋_GB2312" w:eastAsia="仿宋_GB2312" w:cs="仿宋_GB2312"/>
          <w:color w:val="auto"/>
          <w:spacing w:val="0"/>
          <w:w w:val="100"/>
          <w:position w:val="0"/>
          <w:sz w:val="32"/>
          <w:szCs w:val="32"/>
        </w:rPr>
        <w:t>明确要求的涉及国计民生的事项、重大规划任务、新设试点任务以及对农牧渔民直接补贴等，其他任务为指导性任务。</w:t>
      </w:r>
    </w:p>
    <w:p>
      <w:pPr>
        <w:pStyle w:val="13"/>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90" w:lineRule="exact"/>
        <w:ind w:left="0" w:right="0" w:firstLine="800"/>
        <w:jc w:val="both"/>
        <w:textAlignment w:val="auto"/>
        <w:rPr>
          <w:rFonts w:hint="eastAsia" w:ascii="仿宋_GB2312" w:hAnsi="仿宋_GB2312" w:eastAsia="仿宋_GB2312" w:cs="仿宋_GB2312"/>
          <w:color w:val="auto"/>
          <w:spacing w:val="0"/>
          <w:w w:val="100"/>
          <w:position w:val="0"/>
          <w:sz w:val="32"/>
          <w:szCs w:val="32"/>
          <w:highlight w:val="none"/>
        </w:rPr>
      </w:pPr>
      <w:bookmarkStart w:id="4" w:name="bookmark31"/>
      <w:r>
        <w:rPr>
          <w:rFonts w:hint="eastAsia" w:ascii="仿宋_GB2312" w:hAnsi="仿宋_GB2312" w:eastAsia="仿宋_GB2312" w:cs="仿宋_GB2312"/>
          <w:color w:val="auto"/>
          <w:spacing w:val="0"/>
          <w:w w:val="100"/>
          <w:position w:val="0"/>
          <w:sz w:val="32"/>
          <w:szCs w:val="32"/>
        </w:rPr>
        <w:t>（</w:t>
      </w:r>
      <w:bookmarkEnd w:id="4"/>
      <w:r>
        <w:rPr>
          <w:rFonts w:hint="eastAsia" w:ascii="仿宋_GB2312" w:hAnsi="仿宋_GB2312" w:eastAsia="仿宋_GB2312" w:cs="仿宋_GB2312"/>
          <w:color w:val="auto"/>
          <w:spacing w:val="0"/>
          <w:w w:val="100"/>
          <w:position w:val="0"/>
          <w:sz w:val="32"/>
          <w:szCs w:val="32"/>
        </w:rPr>
        <w:t>三）</w:t>
      </w:r>
      <w:r>
        <w:rPr>
          <w:rFonts w:hint="eastAsia" w:ascii="仿宋_GB2312" w:hAnsi="仿宋_GB2312" w:eastAsia="仿宋_GB2312" w:cs="仿宋_GB2312"/>
          <w:color w:val="auto"/>
          <w:spacing w:val="0"/>
          <w:w w:val="100"/>
          <w:position w:val="0"/>
          <w:sz w:val="32"/>
          <w:szCs w:val="32"/>
          <w:highlight w:val="none"/>
        </w:rPr>
        <w:t>脱贫地区因素，包括</w:t>
      </w:r>
      <w:r>
        <w:rPr>
          <w:rFonts w:hint="eastAsia" w:ascii="仿宋_GB2312" w:hAnsi="仿宋_GB2312" w:eastAsia="仿宋_GB2312" w:cs="仿宋_GB2312"/>
          <w:color w:val="auto"/>
          <w:spacing w:val="0"/>
          <w:w w:val="100"/>
          <w:position w:val="0"/>
          <w:sz w:val="32"/>
          <w:szCs w:val="32"/>
          <w:highlight w:val="none"/>
          <w:lang w:val="en-US" w:eastAsia="zh-CN"/>
        </w:rPr>
        <w:t>66</w:t>
      </w:r>
      <w:r>
        <w:rPr>
          <w:rFonts w:hint="eastAsia" w:ascii="仿宋_GB2312" w:hAnsi="仿宋_GB2312" w:eastAsia="仿宋_GB2312" w:cs="仿宋_GB2312"/>
          <w:color w:val="auto"/>
          <w:spacing w:val="0"/>
          <w:w w:val="100"/>
          <w:position w:val="0"/>
          <w:sz w:val="32"/>
          <w:szCs w:val="32"/>
          <w:highlight w:val="none"/>
        </w:rPr>
        <w:t>个脱贫县（原国家扶贫开发工作重点县和连片特困地区县）粮食播种面积和所在</w:t>
      </w:r>
      <w:r>
        <w:rPr>
          <w:rFonts w:hint="eastAsia" w:ascii="仿宋_GB2312" w:hAnsi="仿宋_GB2312" w:eastAsia="仿宋_GB2312" w:cs="仿宋_GB2312"/>
          <w:color w:val="auto"/>
          <w:spacing w:val="0"/>
          <w:w w:val="100"/>
          <w:position w:val="0"/>
          <w:sz w:val="32"/>
          <w:szCs w:val="32"/>
          <w:highlight w:val="none"/>
          <w:lang w:eastAsia="zh-CN"/>
        </w:rPr>
        <w:t>县</w:t>
      </w:r>
      <w:r>
        <w:rPr>
          <w:rFonts w:hint="eastAsia" w:ascii="仿宋_GB2312" w:hAnsi="仿宋_GB2312" w:eastAsia="仿宋_GB2312" w:cs="仿宋_GB2312"/>
          <w:color w:val="auto"/>
          <w:spacing w:val="0"/>
          <w:w w:val="100"/>
          <w:position w:val="0"/>
          <w:sz w:val="32"/>
          <w:szCs w:val="32"/>
          <w:highlight w:val="none"/>
        </w:rPr>
        <w:t>脱贫人口等。</w:t>
      </w:r>
    </w:p>
    <w:p>
      <w:pPr>
        <w:pStyle w:val="13"/>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90" w:lineRule="exact"/>
        <w:ind w:left="0" w:right="0" w:firstLine="8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基础资源、政策任务、脱贫地区因素根据相关支出方向具体确定，并可根据党中央、国务院</w:t>
      </w:r>
      <w:r>
        <w:rPr>
          <w:rFonts w:hint="eastAsia" w:ascii="仿宋_GB2312" w:hAnsi="仿宋_GB2312" w:eastAsia="仿宋_GB2312" w:cs="仿宋_GB2312"/>
          <w:color w:val="auto"/>
          <w:spacing w:val="0"/>
          <w:w w:val="100"/>
          <w:position w:val="0"/>
          <w:sz w:val="32"/>
          <w:szCs w:val="32"/>
          <w:lang w:val="en-US" w:eastAsia="zh-CN"/>
        </w:rPr>
        <w:t>和</w:t>
      </w:r>
      <w:r>
        <w:rPr>
          <w:rFonts w:hint="eastAsia" w:ascii="仿宋_GB2312" w:hAnsi="仿宋_GB2312" w:eastAsia="仿宋_GB2312" w:cs="仿宋_GB2312"/>
          <w:color w:val="auto"/>
          <w:spacing w:val="0"/>
          <w:w w:val="100"/>
          <w:position w:val="0"/>
          <w:sz w:val="32"/>
          <w:szCs w:val="32"/>
          <w:lang w:eastAsia="zh-CN"/>
        </w:rPr>
        <w:t>省委、省政府</w:t>
      </w:r>
      <w:r>
        <w:rPr>
          <w:rFonts w:hint="eastAsia" w:ascii="仿宋_GB2312" w:hAnsi="仿宋_GB2312" w:eastAsia="仿宋_GB2312" w:cs="仿宋_GB2312"/>
          <w:color w:val="auto"/>
          <w:spacing w:val="0"/>
          <w:w w:val="100"/>
          <w:position w:val="0"/>
          <w:sz w:val="32"/>
          <w:szCs w:val="32"/>
        </w:rPr>
        <w:t>有关决策部署</w:t>
      </w:r>
      <w:r>
        <w:rPr>
          <w:rFonts w:hint="eastAsia" w:ascii="仿宋_GB2312" w:hAnsi="仿宋_GB2312" w:eastAsia="仿宋_GB2312" w:cs="仿宋_GB2312"/>
          <w:color w:val="auto"/>
          <w:spacing w:val="0"/>
          <w:w w:val="100"/>
          <w:position w:val="0"/>
          <w:sz w:val="32"/>
          <w:szCs w:val="32"/>
          <w:lang w:val="en-US" w:eastAsia="zh-CN"/>
        </w:rPr>
        <w:t>、</w:t>
      </w:r>
      <w:r>
        <w:rPr>
          <w:rFonts w:hint="eastAsia" w:ascii="仿宋_GB2312" w:hAnsi="仿宋_GB2312" w:eastAsia="仿宋_GB2312" w:cs="仿宋_GB2312"/>
          <w:color w:val="auto"/>
          <w:spacing w:val="0"/>
          <w:w w:val="100"/>
          <w:position w:val="0"/>
          <w:sz w:val="32"/>
          <w:szCs w:val="32"/>
        </w:rPr>
        <w:t>农业</w:t>
      </w:r>
      <w:r>
        <w:rPr>
          <w:rFonts w:hint="eastAsia" w:ascii="仿宋_GB2312" w:hAnsi="仿宋_GB2312" w:eastAsia="仿宋_GB2312" w:cs="仿宋_GB2312"/>
          <w:color w:val="auto"/>
          <w:spacing w:val="0"/>
          <w:w w:val="100"/>
          <w:position w:val="0"/>
          <w:sz w:val="32"/>
          <w:szCs w:val="32"/>
          <w:lang w:val="en-US" w:eastAsia="zh-CN"/>
        </w:rPr>
        <w:t>资源及生态保护</w:t>
      </w:r>
      <w:r>
        <w:rPr>
          <w:rFonts w:hint="eastAsia" w:ascii="仿宋_GB2312" w:hAnsi="仿宋_GB2312" w:eastAsia="仿宋_GB2312" w:cs="仿宋_GB2312"/>
          <w:color w:val="auto"/>
          <w:spacing w:val="0"/>
          <w:w w:val="100"/>
          <w:position w:val="0"/>
          <w:sz w:val="32"/>
          <w:szCs w:val="32"/>
        </w:rPr>
        <w:t>实际需要适当调整。</w:t>
      </w:r>
    </w:p>
    <w:p>
      <w:pPr>
        <w:pStyle w:val="13"/>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90" w:lineRule="exact"/>
        <w:ind w:left="0" w:right="0" w:firstLine="80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color w:val="auto"/>
          <w:spacing w:val="0"/>
          <w:w w:val="100"/>
          <w:position w:val="0"/>
          <w:sz w:val="32"/>
          <w:szCs w:val="32"/>
          <w:lang w:eastAsia="zh-CN"/>
        </w:rPr>
        <w:t>采用项目法分配的资金，应印发项目资金申报指南、执行专家评审、建立项目库，原则上资金分配根据专家评审意见或从项目库中择优分配。</w:t>
      </w:r>
      <w:r>
        <w:rPr>
          <w:rFonts w:hint="eastAsia" w:ascii="仿宋_GB2312" w:hAnsi="仿宋_GB2312" w:eastAsia="仿宋_GB2312" w:cs="仿宋_GB2312"/>
          <w:color w:val="auto"/>
          <w:spacing w:val="0"/>
          <w:w w:val="100"/>
          <w:position w:val="0"/>
          <w:sz w:val="32"/>
          <w:szCs w:val="32"/>
        </w:rPr>
        <w:t>实行项目管理、承担的相关试点或据实结算的任务</w:t>
      </w:r>
      <w:r>
        <w:rPr>
          <w:rFonts w:hint="eastAsia" w:ascii="仿宋_GB2312" w:hAnsi="仿宋_GB2312" w:eastAsia="仿宋_GB2312" w:cs="仿宋_GB2312"/>
          <w:color w:val="auto"/>
          <w:spacing w:val="0"/>
          <w:w w:val="100"/>
          <w:position w:val="0"/>
          <w:sz w:val="32"/>
          <w:szCs w:val="32"/>
          <w:lang w:eastAsia="zh-CN"/>
        </w:rPr>
        <w:t>，可根据需要采取定额测算分配方式。</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78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第十条</w:t>
      </w:r>
      <w:r>
        <w:rPr>
          <w:rFonts w:hint="eastAsia" w:ascii="仿宋_GB2312" w:hAnsi="仿宋_GB2312" w:eastAsia="仿宋_GB2312" w:cs="仿宋_GB2312"/>
          <w:color w:val="auto"/>
          <w:spacing w:val="0"/>
          <w:w w:val="100"/>
          <w:position w:val="0"/>
          <w:sz w:val="32"/>
          <w:szCs w:val="32"/>
        </w:rPr>
        <w:t xml:space="preserve"> </w:t>
      </w: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rPr>
        <w:t>应当在中央</w:t>
      </w:r>
      <w:r>
        <w:rPr>
          <w:rFonts w:hint="eastAsia" w:ascii="仿宋_GB2312" w:hAnsi="仿宋_GB2312" w:eastAsia="仿宋_GB2312" w:cs="仿宋_GB2312"/>
          <w:color w:val="auto"/>
          <w:spacing w:val="0"/>
          <w:w w:val="100"/>
          <w:position w:val="0"/>
          <w:sz w:val="32"/>
          <w:szCs w:val="32"/>
          <w:lang w:eastAsia="zh-CN"/>
        </w:rPr>
        <w:t>财政资金下达省级后</w:t>
      </w:r>
      <w:r>
        <w:rPr>
          <w:rFonts w:hint="eastAsia" w:ascii="仿宋_GB2312" w:hAnsi="仿宋_GB2312" w:eastAsia="仿宋_GB2312" w:cs="仿宋_GB2312"/>
          <w:color w:val="auto"/>
          <w:spacing w:val="0"/>
          <w:w w:val="100"/>
          <w:position w:val="0"/>
          <w:sz w:val="32"/>
          <w:szCs w:val="32"/>
        </w:rPr>
        <w:t>30日内将</w:t>
      </w:r>
      <w:r>
        <w:rPr>
          <w:rFonts w:hint="eastAsia" w:ascii="仿宋_GB2312" w:hAnsi="仿宋_GB2312" w:eastAsia="仿宋_GB2312" w:cs="仿宋_GB2312"/>
          <w:color w:val="auto"/>
          <w:spacing w:val="0"/>
          <w:w w:val="100"/>
          <w:position w:val="0"/>
          <w:sz w:val="32"/>
          <w:szCs w:val="32"/>
          <w:lang w:eastAsia="zh-CN"/>
        </w:rPr>
        <w:t>中央农业资源及生态保护补助</w:t>
      </w:r>
      <w:r>
        <w:rPr>
          <w:rFonts w:hint="eastAsia" w:ascii="仿宋_GB2312" w:hAnsi="仿宋_GB2312" w:eastAsia="仿宋_GB2312" w:cs="仿宋_GB2312"/>
          <w:color w:val="auto"/>
          <w:spacing w:val="0"/>
          <w:w w:val="100"/>
          <w:position w:val="0"/>
          <w:sz w:val="32"/>
          <w:szCs w:val="32"/>
        </w:rPr>
        <w:t>资金预算下达</w:t>
      </w:r>
      <w:r>
        <w:rPr>
          <w:rFonts w:hint="eastAsia" w:ascii="仿宋_GB2312" w:hAnsi="仿宋_GB2312" w:eastAsia="仿宋_GB2312" w:cs="仿宋_GB2312"/>
          <w:color w:val="auto"/>
          <w:spacing w:val="0"/>
          <w:w w:val="100"/>
          <w:position w:val="0"/>
          <w:sz w:val="32"/>
          <w:szCs w:val="32"/>
          <w:lang w:eastAsia="zh-CN"/>
        </w:rPr>
        <w:t>各地财政部</w:t>
      </w:r>
      <w:r>
        <w:rPr>
          <w:rFonts w:hint="eastAsia" w:ascii="仿宋_GB2312" w:hAnsi="仿宋_GB2312" w:eastAsia="仿宋_GB2312" w:cs="仿宋_GB2312"/>
          <w:color w:val="auto"/>
          <w:spacing w:val="0"/>
          <w:w w:val="100"/>
          <w:position w:val="0"/>
          <w:sz w:val="32"/>
          <w:szCs w:val="32"/>
        </w:rPr>
        <w:t>门，同时抄送</w:t>
      </w:r>
      <w:r>
        <w:rPr>
          <w:rFonts w:hint="eastAsia" w:ascii="仿宋_GB2312" w:hAnsi="仿宋_GB2312" w:eastAsia="仿宋_GB2312" w:cs="仿宋_GB2312"/>
          <w:color w:val="auto"/>
          <w:spacing w:val="0"/>
          <w:w w:val="100"/>
          <w:position w:val="0"/>
          <w:sz w:val="32"/>
          <w:szCs w:val="32"/>
          <w:lang w:eastAsia="zh-CN"/>
        </w:rPr>
        <w:t>财政部驻贵州</w:t>
      </w:r>
      <w:r>
        <w:rPr>
          <w:rFonts w:hint="eastAsia" w:ascii="仿宋_GB2312" w:hAnsi="仿宋_GB2312" w:eastAsia="仿宋_GB2312" w:cs="仿宋_GB2312"/>
          <w:color w:val="auto"/>
          <w:spacing w:val="0"/>
          <w:w w:val="100"/>
          <w:position w:val="0"/>
          <w:sz w:val="32"/>
          <w:szCs w:val="32"/>
        </w:rPr>
        <w:t>监管局，并同步下达区域绩效目标，作为开展绩效监控、绩效评价的依据。</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32" w:firstLineChars="20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color w:val="auto"/>
          <w:spacing w:val="0"/>
          <w:w w:val="100"/>
          <w:position w:val="0"/>
          <w:sz w:val="32"/>
          <w:szCs w:val="32"/>
          <w:lang w:val="en-US" w:eastAsia="zh-CN"/>
        </w:rPr>
        <w:t>省级农业资源及生态保护补助资金预算批复后，省财政厅会同省农业农村厅将省级农业资源及生态保护补助资金预算下达各地财政、农业农村部门，并同步下达区域绩效目标，作为开展绩效监控、绩效评价的依据。</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32"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eastAsia="zh-CN"/>
        </w:rPr>
        <w:t>农业资源及生态保护补助资金</w:t>
      </w:r>
      <w:r>
        <w:rPr>
          <w:rFonts w:hint="eastAsia" w:ascii="仿宋_GB2312" w:hAnsi="仿宋_GB2312" w:eastAsia="仿宋_GB2312" w:cs="仿宋_GB2312"/>
          <w:color w:val="auto"/>
          <w:spacing w:val="0"/>
          <w:w w:val="100"/>
          <w:position w:val="0"/>
          <w:sz w:val="32"/>
          <w:szCs w:val="32"/>
        </w:rPr>
        <w:t>分配结果在资金预算下达文件印发后20日内向社会公开，涉及国家秘密的除外。</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8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第十一条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农业资源及生态保护补助资金的支付，按照国库集中支付制度有关规定执行。属于政府采购管理范围的，按照政府采购法律制度规定执行。</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592" w:beforeLines="100" w:after="592" w:afterLines="100" w:line="590" w:lineRule="exact"/>
        <w:ind w:left="0" w:right="0" w:firstLine="0"/>
        <w:jc w:val="center"/>
        <w:textAlignment w:val="auto"/>
        <w:rPr>
          <w:rFonts w:hint="eastAsia" w:ascii="黑体" w:hAnsi="黑体" w:eastAsia="黑体" w:cs="黑体"/>
          <w:sz w:val="32"/>
          <w:szCs w:val="32"/>
        </w:rPr>
      </w:pPr>
      <w:r>
        <w:rPr>
          <w:rFonts w:hint="eastAsia" w:ascii="黑体" w:hAnsi="黑体" w:eastAsia="黑体" w:cs="黑体"/>
          <w:b w:val="0"/>
          <w:bCs w:val="0"/>
          <w:color w:val="000000"/>
          <w:spacing w:val="0"/>
          <w:w w:val="100"/>
          <w:position w:val="0"/>
          <w:sz w:val="32"/>
          <w:szCs w:val="32"/>
        </w:rPr>
        <w:t>第四章</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position w:val="0"/>
          <w:sz w:val="32"/>
          <w:szCs w:val="32"/>
        </w:rPr>
        <w:t>资金使用和管理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32" w:firstLineChars="20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第十二条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农业资源及生态保护补助资金实行</w:t>
      </w:r>
      <w:r>
        <w:rPr>
          <w:rFonts w:hint="eastAsia" w:ascii="仿宋_GB2312" w:hAnsi="仿宋_GB2312" w:eastAsia="仿宋_GB2312" w:cs="仿宋_GB2312"/>
          <w:color w:val="auto"/>
          <w:spacing w:val="0"/>
          <w:w w:val="100"/>
          <w:position w:val="0"/>
          <w:sz w:val="32"/>
          <w:szCs w:val="32"/>
          <w:lang w:val="zh-CN" w:eastAsia="zh-CN" w:bidi="zh-CN"/>
        </w:rPr>
        <w:t>“大专</w:t>
      </w:r>
      <w:r>
        <w:rPr>
          <w:rFonts w:hint="eastAsia" w:ascii="仿宋_GB2312" w:hAnsi="仿宋_GB2312" w:eastAsia="仿宋_GB2312" w:cs="仿宋_GB2312"/>
          <w:color w:val="auto"/>
          <w:spacing w:val="0"/>
          <w:w w:val="100"/>
          <w:position w:val="0"/>
          <w:sz w:val="32"/>
          <w:szCs w:val="32"/>
        </w:rPr>
        <w:t>项+任务清单</w:t>
      </w:r>
      <w:r>
        <w:rPr>
          <w:rFonts w:hint="eastAsia" w:ascii="仿宋_GB2312" w:hAnsi="仿宋_GB2312" w:eastAsia="仿宋_GB2312" w:cs="仿宋_GB2312"/>
          <w:color w:val="auto"/>
          <w:spacing w:val="0"/>
          <w:w w:val="100"/>
          <w:position w:val="0"/>
          <w:sz w:val="32"/>
          <w:szCs w:val="32"/>
          <w:lang w:val="zh-CN" w:eastAsia="zh-CN" w:bidi="zh-CN"/>
        </w:rPr>
        <w:t>”管理</w:t>
      </w:r>
      <w:r>
        <w:rPr>
          <w:rFonts w:hint="eastAsia" w:ascii="仿宋_GB2312" w:hAnsi="仿宋_GB2312" w:eastAsia="仿宋_GB2312" w:cs="仿宋_GB2312"/>
          <w:color w:val="auto"/>
          <w:spacing w:val="0"/>
          <w:w w:val="100"/>
          <w:position w:val="0"/>
          <w:sz w:val="32"/>
          <w:szCs w:val="32"/>
        </w:rPr>
        <w:t>方式，并实施年度动态调整。任务清单主要包括农业资源及生态保护补助资金</w:t>
      </w:r>
      <w:r>
        <w:rPr>
          <w:rFonts w:hint="eastAsia" w:ascii="仿宋_GB2312" w:hAnsi="仿宋_GB2312" w:eastAsia="仿宋_GB2312" w:cs="仿宋_GB2312"/>
          <w:color w:val="auto"/>
          <w:spacing w:val="0"/>
          <w:w w:val="100"/>
          <w:position w:val="0"/>
          <w:sz w:val="32"/>
          <w:szCs w:val="32"/>
          <w:lang w:eastAsia="zh-CN"/>
        </w:rPr>
        <w:t>支持的年度重点工作、任务支持方向、具体任务清单等，与资金同步下达。资金下达时明确约束性任务、指导性任务对应资金额度。各地在完成约束性任务的前提下，可根据当地发展需要，区分轻重缓急，在</w:t>
      </w:r>
      <w:r>
        <w:rPr>
          <w:rFonts w:hint="eastAsia" w:ascii="仿宋_GB2312" w:hAnsi="仿宋_GB2312" w:eastAsia="仿宋_GB2312" w:cs="仿宋_GB2312"/>
          <w:b w:val="0"/>
          <w:bCs w:val="0"/>
          <w:color w:val="auto"/>
          <w:kern w:val="0"/>
          <w:sz w:val="32"/>
          <w:szCs w:val="32"/>
          <w:highlight w:val="none"/>
        </w:rPr>
        <w:t>农业资源及生态保护补助资金</w:t>
      </w:r>
      <w:r>
        <w:rPr>
          <w:rFonts w:hint="eastAsia" w:ascii="仿宋_GB2312" w:hAnsi="仿宋_GB2312" w:eastAsia="仿宋_GB2312" w:cs="仿宋_GB2312"/>
          <w:color w:val="auto"/>
          <w:spacing w:val="0"/>
          <w:w w:val="100"/>
          <w:position w:val="0"/>
          <w:sz w:val="32"/>
          <w:szCs w:val="32"/>
          <w:lang w:eastAsia="zh-CN"/>
        </w:rPr>
        <w:t>项目内调剂使用资金，但不得跨转移支付项目整合资金，不得超出资金范围安排资金，不得将中央和省级财政资金直接切块用于地方性政策任务。</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32" w:firstLineChars="200"/>
        <w:jc w:val="both"/>
        <w:textAlignment w:val="auto"/>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第十三条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按照因素法</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t>分配的，采取切块方式下达资金，省农业农村厅负责分解下达绩效目标和工作任务；市（州）级农业农村部门负责按照项目法实施本级项目及下级项目资金监管；县级农业农村部门负责按照项目法具体实施。</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32" w:firstLineChars="200"/>
        <w:jc w:val="both"/>
        <w:textAlignment w:val="auto"/>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SA"/>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第十四条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按照项目法分配的，采取竞争性立项方式分配资金。省农业农村厅负责分解下达绩效目标、项目批复或签订任务委托书，市（州）级农业农村部门负责本级项目实施及下级项目资金监管，县级农业农村部门负责具体实施。</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32"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按照“谁批复、谁调整”的管理原则，项目实施方案批复后，实施单位必须严格执行，原则上不得擅自调整。对确需调整且变更批复总资金</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10%以上的项目，</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按原程序逐级报批；对变更批复总资金不足</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10%的项目，按程序自行调整后，逐级报省农业农村厅备案。</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32"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第十五条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仿宋_GB2312" w:eastAsia="仿宋_GB2312" w:cs="仿宋_GB2312"/>
          <w:color w:val="auto"/>
          <w:spacing w:val="0"/>
          <w:w w:val="100"/>
          <w:position w:val="0"/>
          <w:sz w:val="32"/>
          <w:szCs w:val="32"/>
          <w:lang w:val="en-US" w:eastAsia="zh-CN"/>
        </w:rPr>
        <w:t>各级财政、农业农村部门应当加快预算执行，提高资金使用效益。结转结余的</w:t>
      </w:r>
      <w:r>
        <w:rPr>
          <w:rFonts w:hint="eastAsia" w:ascii="仿宋_GB2312" w:hAnsi="仿宋_GB2312" w:eastAsia="仿宋_GB2312" w:cs="仿宋_GB2312"/>
          <w:color w:val="auto"/>
          <w:spacing w:val="0"/>
          <w:w w:val="100"/>
          <w:position w:val="0"/>
          <w:sz w:val="32"/>
          <w:szCs w:val="32"/>
        </w:rPr>
        <w:t>农业资源及生态保护补助资金</w:t>
      </w:r>
      <w:r>
        <w:rPr>
          <w:rFonts w:hint="eastAsia" w:ascii="仿宋_GB2312" w:hAnsi="仿宋_GB2312" w:eastAsia="仿宋_GB2312" w:cs="仿宋_GB2312"/>
          <w:color w:val="auto"/>
          <w:spacing w:val="0"/>
          <w:w w:val="100"/>
          <w:position w:val="0"/>
          <w:sz w:val="32"/>
          <w:szCs w:val="32"/>
          <w:lang w:val="en-US" w:eastAsia="zh-CN"/>
        </w:rPr>
        <w:t>，按照《中华人民共和国预算法》和财政有关结转结余资金管理规定处理。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32"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第十六条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仿宋_GB2312" w:eastAsia="仿宋_GB2312" w:cs="仿宋_GB2312"/>
          <w:color w:val="auto"/>
          <w:spacing w:val="0"/>
          <w:w w:val="100"/>
          <w:position w:val="0"/>
          <w:sz w:val="32"/>
          <w:szCs w:val="32"/>
          <w:lang w:val="en-US" w:eastAsia="zh-CN"/>
        </w:rPr>
        <w:t>省财政厅会同省农业农村厅，根据财政部和农业农村部下达的工作任务清单与绩效目标，结合农业资源及生态保护实际情况，制定中央财政年度资金使用方案，于每年6月30前报财政部、农业农村部备案，抄送财政部驻贵州监管局。纳入直达资金管理范围的，按照有关要求做好备案工作。</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第十七条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仿宋_GB2312" w:eastAsia="仿宋_GB2312" w:cs="仿宋_GB2312"/>
          <w:color w:val="auto"/>
          <w:spacing w:val="0"/>
          <w:w w:val="100"/>
          <w:position w:val="0"/>
          <w:sz w:val="32"/>
          <w:szCs w:val="32"/>
        </w:rPr>
        <w:t>各级</w:t>
      </w:r>
      <w:r>
        <w:rPr>
          <w:rFonts w:hint="eastAsia" w:ascii="仿宋_GB2312" w:hAnsi="仿宋_GB2312" w:eastAsia="仿宋_GB2312" w:cs="仿宋_GB2312"/>
          <w:color w:val="auto"/>
          <w:spacing w:val="0"/>
          <w:w w:val="100"/>
          <w:position w:val="0"/>
          <w:sz w:val="32"/>
          <w:szCs w:val="32"/>
          <w:lang w:eastAsia="zh-CN"/>
        </w:rPr>
        <w:t>农业农村部</w:t>
      </w:r>
      <w:r>
        <w:rPr>
          <w:rFonts w:hint="eastAsia" w:ascii="仿宋_GB2312" w:hAnsi="仿宋_GB2312" w:eastAsia="仿宋_GB2312" w:cs="仿宋_GB2312"/>
          <w:color w:val="auto"/>
          <w:spacing w:val="0"/>
          <w:w w:val="100"/>
          <w:position w:val="0"/>
          <w:sz w:val="32"/>
          <w:szCs w:val="32"/>
        </w:rPr>
        <w:t>门应当组织核实资金支持对象的资格、条件，督促检查工作任务清单完成情况，为</w:t>
      </w:r>
      <w:r>
        <w:rPr>
          <w:rFonts w:hint="eastAsia" w:ascii="仿宋_GB2312" w:hAnsi="仿宋_GB2312" w:eastAsia="仿宋_GB2312" w:cs="仿宋_GB2312"/>
          <w:color w:val="auto"/>
          <w:spacing w:val="0"/>
          <w:w w:val="100"/>
          <w:position w:val="0"/>
          <w:sz w:val="32"/>
          <w:szCs w:val="32"/>
          <w:lang w:eastAsia="zh-CN"/>
        </w:rPr>
        <w:t>财政部</w:t>
      </w:r>
      <w:r>
        <w:rPr>
          <w:rFonts w:hint="eastAsia" w:ascii="仿宋_GB2312" w:hAnsi="仿宋_GB2312" w:eastAsia="仿宋_GB2312" w:cs="仿宋_GB2312"/>
          <w:color w:val="auto"/>
          <w:spacing w:val="0"/>
          <w:w w:val="100"/>
          <w:position w:val="0"/>
          <w:sz w:val="32"/>
          <w:szCs w:val="32"/>
        </w:rPr>
        <w:t>门按规定标准分配、审核拨付资金提供依据，对不符合法律、行政法规等有关规定，政策到期，以及已从中央</w:t>
      </w:r>
      <w:r>
        <w:rPr>
          <w:rFonts w:hint="eastAsia" w:ascii="仿宋_GB2312" w:hAnsi="仿宋_GB2312" w:eastAsia="仿宋_GB2312" w:cs="仿宋_GB2312"/>
          <w:color w:val="auto"/>
          <w:spacing w:val="0"/>
          <w:w w:val="100"/>
          <w:position w:val="0"/>
          <w:sz w:val="32"/>
          <w:szCs w:val="32"/>
          <w:lang w:eastAsia="zh-CN"/>
        </w:rPr>
        <w:t>和省级</w:t>
      </w:r>
      <w:r>
        <w:rPr>
          <w:rFonts w:hint="eastAsia" w:ascii="仿宋_GB2312" w:hAnsi="仿宋_GB2312" w:eastAsia="仿宋_GB2312" w:cs="仿宋_GB2312"/>
          <w:color w:val="auto"/>
          <w:spacing w:val="0"/>
          <w:w w:val="100"/>
          <w:position w:val="0"/>
          <w:sz w:val="32"/>
          <w:szCs w:val="32"/>
        </w:rPr>
        <w:t>基建投资等其他渠道获得</w:t>
      </w:r>
      <w:r>
        <w:rPr>
          <w:rFonts w:hint="eastAsia" w:ascii="仿宋_GB2312" w:hAnsi="仿宋_GB2312" w:eastAsia="仿宋_GB2312" w:cs="仿宋_GB2312"/>
          <w:color w:val="auto"/>
          <w:spacing w:val="0"/>
          <w:w w:val="100"/>
          <w:position w:val="0"/>
          <w:sz w:val="32"/>
          <w:szCs w:val="32"/>
          <w:lang w:val="en-US" w:eastAsia="zh-CN"/>
        </w:rPr>
        <w:t>中央和省级</w:t>
      </w:r>
      <w:r>
        <w:rPr>
          <w:rFonts w:hint="eastAsia" w:ascii="仿宋_GB2312" w:hAnsi="仿宋_GB2312" w:eastAsia="仿宋_GB2312" w:cs="仿宋_GB2312"/>
          <w:color w:val="auto"/>
          <w:spacing w:val="0"/>
          <w:w w:val="100"/>
          <w:position w:val="0"/>
          <w:sz w:val="32"/>
          <w:szCs w:val="32"/>
        </w:rPr>
        <w:t>财政资金支持的项目严格审核，不得申请农业资源及生态保护补助资金支持。</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第十八条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仿宋_GB2312" w:eastAsia="仿宋_GB2312" w:cs="仿宋_GB2312"/>
          <w:color w:val="auto"/>
          <w:spacing w:val="0"/>
          <w:w w:val="100"/>
          <w:position w:val="0"/>
          <w:sz w:val="32"/>
          <w:szCs w:val="32"/>
        </w:rPr>
        <w:t>安排给</w:t>
      </w:r>
      <w:r>
        <w:rPr>
          <w:rFonts w:hint="eastAsia" w:ascii="仿宋_GB2312" w:hAnsi="仿宋_GB2312" w:eastAsia="仿宋_GB2312" w:cs="仿宋_GB2312"/>
          <w:color w:val="auto"/>
          <w:spacing w:val="0"/>
          <w:w w:val="100"/>
          <w:position w:val="0"/>
          <w:sz w:val="32"/>
          <w:szCs w:val="32"/>
          <w:lang w:val="en-US" w:eastAsia="zh-CN"/>
        </w:rPr>
        <w:t>66</w:t>
      </w:r>
      <w:r>
        <w:rPr>
          <w:rFonts w:hint="eastAsia" w:ascii="仿宋_GB2312" w:hAnsi="仿宋_GB2312" w:eastAsia="仿宋_GB2312" w:cs="仿宋_GB2312"/>
          <w:color w:val="auto"/>
          <w:spacing w:val="0"/>
          <w:w w:val="100"/>
          <w:position w:val="0"/>
          <w:sz w:val="32"/>
          <w:szCs w:val="32"/>
        </w:rPr>
        <w:t>个脱贫县（原国家扶贫开发工作重点县和连片特困地区县）和国家乡村振兴重点帮扶县的资金，按照</w:t>
      </w: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rPr>
        <w:t>等11部门《关于继续支持脱贫县统筹整合使用财政涉农 资金工作的通知》（财农〔2021〕22号）</w:t>
      </w:r>
      <w:r>
        <w:rPr>
          <w:rFonts w:hint="eastAsia" w:ascii="仿宋_GB2312" w:hAnsi="仿宋_GB2312" w:eastAsia="仿宋_GB2312" w:cs="仿宋_GB2312"/>
          <w:color w:val="auto"/>
          <w:spacing w:val="0"/>
          <w:w w:val="100"/>
          <w:position w:val="0"/>
          <w:sz w:val="32"/>
          <w:szCs w:val="32"/>
          <w:lang w:eastAsia="zh-CN"/>
        </w:rPr>
        <w:t>、省财政厅等</w:t>
      </w:r>
      <w:r>
        <w:rPr>
          <w:rFonts w:hint="eastAsia" w:ascii="仿宋_GB2312" w:hAnsi="仿宋_GB2312" w:eastAsia="仿宋_GB2312" w:cs="仿宋_GB2312"/>
          <w:color w:val="auto"/>
          <w:spacing w:val="0"/>
          <w:w w:val="100"/>
          <w:position w:val="0"/>
          <w:sz w:val="32"/>
          <w:szCs w:val="32"/>
          <w:lang w:val="en-US" w:eastAsia="zh-CN"/>
        </w:rPr>
        <w:t>11部门《关于继续支持脱贫县统筹整合使用财政涉农资金的通知》（黔</w:t>
      </w:r>
      <w:r>
        <w:rPr>
          <w:rFonts w:hint="eastAsia" w:ascii="仿宋_GB2312" w:hAnsi="仿宋_GB2312" w:eastAsia="仿宋_GB2312" w:cs="仿宋_GB2312"/>
          <w:color w:val="auto"/>
          <w:spacing w:val="0"/>
          <w:w w:val="100"/>
          <w:position w:val="0"/>
          <w:sz w:val="32"/>
          <w:szCs w:val="32"/>
        </w:rPr>
        <w:t>财农〔2021〕</w:t>
      </w:r>
      <w:r>
        <w:rPr>
          <w:rFonts w:hint="eastAsia" w:ascii="仿宋_GB2312" w:hAnsi="仿宋_GB2312" w:eastAsia="仿宋_GB2312" w:cs="仿宋_GB2312"/>
          <w:color w:val="auto"/>
          <w:spacing w:val="0"/>
          <w:w w:val="100"/>
          <w:position w:val="0"/>
          <w:sz w:val="32"/>
          <w:szCs w:val="32"/>
          <w:lang w:val="en-US" w:eastAsia="zh-CN"/>
        </w:rPr>
        <w:t>1</w:t>
      </w:r>
      <w:r>
        <w:rPr>
          <w:rFonts w:hint="eastAsia" w:ascii="仿宋_GB2312" w:hAnsi="仿宋_GB2312" w:eastAsia="仿宋_GB2312" w:cs="仿宋_GB2312"/>
          <w:color w:val="auto"/>
          <w:spacing w:val="0"/>
          <w:w w:val="100"/>
          <w:position w:val="0"/>
          <w:sz w:val="32"/>
          <w:szCs w:val="32"/>
        </w:rPr>
        <w:t>2</w:t>
      </w:r>
      <w:r>
        <w:rPr>
          <w:rFonts w:hint="eastAsia" w:ascii="仿宋_GB2312" w:hAnsi="仿宋_GB2312" w:eastAsia="仿宋_GB2312" w:cs="仿宋_GB2312"/>
          <w:color w:val="auto"/>
          <w:spacing w:val="0"/>
          <w:w w:val="100"/>
          <w:position w:val="0"/>
          <w:sz w:val="32"/>
          <w:szCs w:val="32"/>
          <w:lang w:val="en-US" w:eastAsia="zh-CN"/>
        </w:rPr>
        <w:t>4</w:t>
      </w:r>
      <w:r>
        <w:rPr>
          <w:rFonts w:hint="eastAsia" w:ascii="仿宋_GB2312" w:hAnsi="仿宋_GB2312" w:eastAsia="仿宋_GB2312" w:cs="仿宋_GB2312"/>
          <w:color w:val="auto"/>
          <w:spacing w:val="0"/>
          <w:w w:val="100"/>
          <w:position w:val="0"/>
          <w:sz w:val="32"/>
          <w:szCs w:val="32"/>
        </w:rPr>
        <w:t>号</w:t>
      </w:r>
      <w:r>
        <w:rPr>
          <w:rFonts w:hint="eastAsia" w:ascii="仿宋_GB2312" w:hAnsi="仿宋_GB2312" w:eastAsia="仿宋_GB2312" w:cs="仿宋_GB2312"/>
          <w:color w:val="auto"/>
          <w:spacing w:val="0"/>
          <w:w w:val="100"/>
          <w:position w:val="0"/>
          <w:sz w:val="32"/>
          <w:szCs w:val="32"/>
          <w:lang w:val="en-US" w:eastAsia="zh-CN"/>
        </w:rPr>
        <w:t>）</w:t>
      </w:r>
      <w:r>
        <w:rPr>
          <w:rFonts w:hint="eastAsia" w:ascii="仿宋_GB2312" w:hAnsi="仿宋_GB2312" w:eastAsia="仿宋_GB2312" w:cs="仿宋_GB2312"/>
          <w:color w:val="auto"/>
          <w:spacing w:val="0"/>
          <w:w w:val="100"/>
          <w:position w:val="0"/>
          <w:sz w:val="32"/>
          <w:szCs w:val="32"/>
        </w:rPr>
        <w:t>有关规定执行。</w:t>
      </w:r>
    </w:p>
    <w:p>
      <w:pPr>
        <w:pStyle w:val="14"/>
        <w:keepNext w:val="0"/>
        <w:keepLines w:val="0"/>
        <w:pageBreakBefore w:val="0"/>
        <w:kinsoku/>
        <w:wordWrap/>
        <w:overflowPunct/>
        <w:topLinePunct w:val="0"/>
        <w:autoSpaceDE/>
        <w:autoSpaceDN/>
        <w:bidi w:val="0"/>
        <w:adjustRightInd/>
        <w:snapToGrid/>
        <w:spacing w:before="592" w:beforeLines="100" w:after="592" w:afterLines="100" w:line="590" w:lineRule="exact"/>
        <w:jc w:val="center"/>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第</w:t>
      </w:r>
      <w:r>
        <w:rPr>
          <w:rFonts w:hint="eastAsia" w:ascii="黑体" w:hAnsi="黑体" w:eastAsia="黑体" w:cs="黑体"/>
          <w:b w:val="0"/>
          <w:bCs w:val="0"/>
          <w:color w:val="auto"/>
          <w:kern w:val="0"/>
          <w:sz w:val="32"/>
          <w:szCs w:val="32"/>
          <w:highlight w:val="none"/>
          <w:lang w:val="en-US" w:eastAsia="zh-CN"/>
        </w:rPr>
        <w:t>五</w:t>
      </w:r>
      <w:r>
        <w:rPr>
          <w:rFonts w:hint="eastAsia" w:ascii="黑体" w:hAnsi="黑体" w:eastAsia="黑体" w:cs="黑体"/>
          <w:b w:val="0"/>
          <w:bCs w:val="0"/>
          <w:color w:val="auto"/>
          <w:kern w:val="0"/>
          <w:sz w:val="32"/>
          <w:szCs w:val="32"/>
          <w:highlight w:val="none"/>
        </w:rPr>
        <w:t>章  项目验收管理</w:t>
      </w:r>
    </w:p>
    <w:p>
      <w:pPr>
        <w:pStyle w:val="14"/>
        <w:keepNext w:val="0"/>
        <w:keepLines w:val="0"/>
        <w:pageBreakBefore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第</w:t>
      </w:r>
      <w:r>
        <w:rPr>
          <w:rFonts w:hint="eastAsia" w:ascii="仿宋_GB2312" w:hAnsi="仿宋_GB2312" w:eastAsia="仿宋_GB2312" w:cs="仿宋_GB2312"/>
          <w:color w:val="auto"/>
          <w:kern w:val="0"/>
          <w:sz w:val="32"/>
          <w:szCs w:val="32"/>
          <w:highlight w:val="none"/>
          <w:lang w:eastAsia="zh-CN"/>
        </w:rPr>
        <w:t>十九</w:t>
      </w:r>
      <w:r>
        <w:rPr>
          <w:rFonts w:hint="eastAsia" w:ascii="仿宋_GB2312" w:hAnsi="仿宋_GB2312" w:eastAsia="仿宋_GB2312" w:cs="仿宋_GB2312"/>
          <w:color w:val="auto"/>
          <w:kern w:val="0"/>
          <w:sz w:val="32"/>
          <w:szCs w:val="32"/>
          <w:highlight w:val="none"/>
        </w:rPr>
        <w:t>条</w:t>
      </w:r>
      <w:r>
        <w:rPr>
          <w:rFonts w:hint="eastAsia" w:ascii="仿宋_GB2312" w:hAnsi="仿宋_GB2312" w:eastAsia="仿宋_GB2312" w:cs="仿宋_GB2312"/>
          <w:color w:val="auto"/>
          <w:sz w:val="32"/>
          <w:szCs w:val="32"/>
          <w:highlight w:val="none"/>
        </w:rPr>
        <w:t xml:space="preserve"> 项目法分配下达的资金，按照“谁批复、谁验收”的原则，以批复的实施方案为依据，“分级管理、逐级申</w:t>
      </w:r>
      <w:r>
        <w:rPr>
          <w:rFonts w:hint="eastAsia" w:ascii="仿宋_GB2312" w:hAnsi="仿宋_GB2312" w:eastAsia="仿宋_GB2312" w:cs="仿宋_GB2312"/>
          <w:color w:val="auto"/>
          <w:sz w:val="32"/>
          <w:szCs w:val="32"/>
          <w:highlight w:val="none"/>
          <w:lang w:eastAsia="zh-CN"/>
        </w:rPr>
        <w:t>请</w:t>
      </w:r>
      <w:r>
        <w:rPr>
          <w:rFonts w:hint="eastAsia" w:ascii="仿宋_GB2312" w:hAnsi="仿宋_GB2312" w:eastAsia="仿宋_GB2312" w:cs="仿宋_GB2312"/>
          <w:color w:val="auto"/>
          <w:sz w:val="32"/>
          <w:szCs w:val="32"/>
          <w:highlight w:val="none"/>
        </w:rPr>
        <w:t>”批复单位组织验收。</w:t>
      </w:r>
    </w:p>
    <w:p>
      <w:pPr>
        <w:pStyle w:val="14"/>
        <w:keepNext w:val="0"/>
        <w:keepLines w:val="0"/>
        <w:pageBreakBefore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省级批复</w:t>
      </w:r>
      <w:r>
        <w:rPr>
          <w:rFonts w:hint="eastAsia" w:ascii="仿宋_GB2312" w:hAnsi="仿宋_GB2312" w:eastAsia="仿宋_GB2312" w:cs="仿宋_GB2312"/>
          <w:color w:val="auto"/>
          <w:sz w:val="32"/>
          <w:szCs w:val="32"/>
          <w:highlight w:val="none"/>
        </w:rPr>
        <w:t>市（州）农业农村部门本级实施的项目，由市（州）提出验收申请，经省级初审合格并受理后的30个工作日内组织验收。</w:t>
      </w:r>
    </w:p>
    <w:p>
      <w:pPr>
        <w:pStyle w:val="14"/>
        <w:keepNext w:val="0"/>
        <w:keepLines w:val="0"/>
        <w:pageBreakBefore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省级批复</w:t>
      </w:r>
      <w:r>
        <w:rPr>
          <w:rFonts w:hint="eastAsia" w:ascii="仿宋_GB2312" w:hAnsi="仿宋_GB2312" w:eastAsia="仿宋_GB2312" w:cs="仿宋_GB2312"/>
          <w:color w:val="auto"/>
          <w:sz w:val="32"/>
          <w:szCs w:val="32"/>
          <w:highlight w:val="none"/>
        </w:rPr>
        <w:t>县级农业农村部门实施的项目，由县、市（州）级逐级验收合格后提出验收申请，经省级初审合格并受理后的30个工作日内组织验收。</w:t>
      </w:r>
    </w:p>
    <w:p>
      <w:pPr>
        <w:pStyle w:val="14"/>
        <w:keepNext w:val="0"/>
        <w:keepLines w:val="0"/>
        <w:pageBreakBefore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第</w:t>
      </w:r>
      <w:r>
        <w:rPr>
          <w:rFonts w:hint="eastAsia" w:ascii="仿宋_GB2312" w:hAnsi="仿宋_GB2312" w:eastAsia="仿宋_GB2312" w:cs="仿宋_GB2312"/>
          <w:color w:val="auto"/>
          <w:kern w:val="0"/>
          <w:sz w:val="32"/>
          <w:szCs w:val="32"/>
          <w:highlight w:val="none"/>
          <w:lang w:eastAsia="zh-CN"/>
        </w:rPr>
        <w:t>二十</w:t>
      </w:r>
      <w:r>
        <w:rPr>
          <w:rFonts w:hint="eastAsia" w:ascii="仿宋_GB2312" w:hAnsi="仿宋_GB2312" w:eastAsia="仿宋_GB2312" w:cs="仿宋_GB2312"/>
          <w:color w:val="auto"/>
          <w:kern w:val="0"/>
          <w:sz w:val="32"/>
          <w:szCs w:val="32"/>
          <w:highlight w:val="none"/>
        </w:rPr>
        <w:t>条</w:t>
      </w:r>
      <w:r>
        <w:rPr>
          <w:rFonts w:hint="eastAsia" w:ascii="仿宋_GB2312" w:hAnsi="仿宋_GB2312" w:eastAsia="仿宋_GB2312" w:cs="仿宋_GB2312"/>
          <w:color w:val="auto"/>
          <w:sz w:val="32"/>
          <w:szCs w:val="32"/>
          <w:highlight w:val="none"/>
        </w:rPr>
        <w:t xml:space="preserve"> 省直有关单位实施的项目，项目完成后提出验收申请，经省农业农村厅初审合格并受理后的30个工作日内组织验收。</w:t>
      </w:r>
    </w:p>
    <w:p>
      <w:pPr>
        <w:pStyle w:val="14"/>
        <w:keepNext w:val="0"/>
        <w:keepLines w:val="0"/>
        <w:pageBreakBefore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省级采取因素法分配到各地的资金，由各级按程序根据管理权限批复后，参照省级项目法验收流程执行。</w:t>
      </w:r>
    </w:p>
    <w:p>
      <w:pPr>
        <w:pStyle w:val="14"/>
        <w:keepNext w:val="0"/>
        <w:keepLines w:val="0"/>
        <w:pageBreakBefore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第二十</w:t>
      </w:r>
      <w:r>
        <w:rPr>
          <w:rFonts w:hint="eastAsia" w:ascii="仿宋_GB2312" w:hAnsi="仿宋_GB2312" w:eastAsia="仿宋_GB2312" w:cs="仿宋_GB2312"/>
          <w:color w:val="auto"/>
          <w:kern w:val="0"/>
          <w:sz w:val="32"/>
          <w:szCs w:val="32"/>
          <w:highlight w:val="none"/>
          <w:lang w:eastAsia="zh-CN"/>
        </w:rPr>
        <w:t>一</w:t>
      </w:r>
      <w:r>
        <w:rPr>
          <w:rFonts w:hint="eastAsia" w:ascii="仿宋_GB2312" w:hAnsi="仿宋_GB2312" w:eastAsia="仿宋_GB2312" w:cs="仿宋_GB2312"/>
          <w:color w:val="auto"/>
          <w:kern w:val="0"/>
          <w:sz w:val="32"/>
          <w:szCs w:val="32"/>
          <w:highlight w:val="none"/>
        </w:rPr>
        <w:t>条</w:t>
      </w:r>
      <w:r>
        <w:rPr>
          <w:rFonts w:hint="eastAsia" w:ascii="仿宋_GB2312" w:hAnsi="仿宋_GB2312" w:eastAsia="仿宋_GB2312" w:cs="仿宋_GB2312"/>
          <w:color w:val="auto"/>
          <w:sz w:val="32"/>
          <w:szCs w:val="32"/>
          <w:highlight w:val="none"/>
        </w:rPr>
        <w:t xml:space="preserve"> 验收合格的，组织验收的部门（单位）在10个工作日内形成验收</w:t>
      </w:r>
      <w:r>
        <w:rPr>
          <w:rFonts w:hint="eastAsia" w:ascii="仿宋_GB2312" w:hAnsi="仿宋_GB2312" w:eastAsia="仿宋_GB2312" w:cs="仿宋_GB2312"/>
          <w:color w:val="auto"/>
          <w:sz w:val="32"/>
          <w:szCs w:val="32"/>
          <w:highlight w:val="none"/>
          <w:lang w:eastAsia="zh-CN"/>
        </w:rPr>
        <w:t>意见</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由县级财政部门</w:t>
      </w:r>
      <w:r>
        <w:rPr>
          <w:rFonts w:hint="eastAsia" w:ascii="仿宋_GB2312" w:hAnsi="仿宋_GB2312" w:eastAsia="仿宋_GB2312" w:cs="仿宋_GB2312"/>
          <w:color w:val="auto"/>
          <w:sz w:val="32"/>
          <w:szCs w:val="32"/>
          <w:highlight w:val="none"/>
        </w:rPr>
        <w:t>及时兑现或拨付项目资金；验收不合格的，组织验收的部门（单位）提出整改意见，整改期限原则上不超过3个月，逾期未完成的，视情节轻重，通报批评、扣减或暂停安排下年度项目资金，并追究相关责任。</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kern w:val="0"/>
          <w:sz w:val="32"/>
          <w:szCs w:val="32"/>
          <w:highlight w:val="none"/>
        </w:rPr>
        <w:t>第二十</w:t>
      </w:r>
      <w:r>
        <w:rPr>
          <w:rFonts w:hint="eastAsia" w:ascii="仿宋_GB2312" w:hAnsi="仿宋_GB2312" w:eastAsia="仿宋_GB2312" w:cs="仿宋_GB2312"/>
          <w:color w:val="auto"/>
          <w:kern w:val="0"/>
          <w:sz w:val="32"/>
          <w:szCs w:val="32"/>
          <w:highlight w:val="none"/>
          <w:lang w:eastAsia="zh-CN"/>
        </w:rPr>
        <w:t>二</w:t>
      </w:r>
      <w:r>
        <w:rPr>
          <w:rFonts w:hint="eastAsia" w:ascii="仿宋_GB2312" w:hAnsi="仿宋_GB2312" w:eastAsia="仿宋_GB2312" w:cs="仿宋_GB2312"/>
          <w:color w:val="auto"/>
          <w:kern w:val="0"/>
          <w:sz w:val="32"/>
          <w:szCs w:val="32"/>
          <w:highlight w:val="none"/>
        </w:rPr>
        <w:t>条</w:t>
      </w:r>
      <w:r>
        <w:rPr>
          <w:rFonts w:hint="eastAsia" w:ascii="仿宋_GB2312" w:hAnsi="仿宋_GB2312" w:eastAsia="仿宋_GB2312" w:cs="仿宋_GB2312"/>
          <w:color w:val="auto"/>
          <w:sz w:val="32"/>
          <w:szCs w:val="32"/>
          <w:highlight w:val="none"/>
        </w:rPr>
        <w:t xml:space="preserve"> 项目通过验收后，按相关规定办理固定资产、档案资料等移交手续。</w:t>
      </w:r>
    </w:p>
    <w:p>
      <w:pPr>
        <w:pStyle w:val="14"/>
        <w:keepNext w:val="0"/>
        <w:keepLines w:val="0"/>
        <w:pageBreakBefore w:val="0"/>
        <w:numPr>
          <w:ilvl w:val="0"/>
          <w:numId w:val="0"/>
        </w:numPr>
        <w:kinsoku/>
        <w:wordWrap/>
        <w:overflowPunct/>
        <w:topLinePunct w:val="0"/>
        <w:autoSpaceDE/>
        <w:autoSpaceDN/>
        <w:bidi w:val="0"/>
        <w:adjustRightInd/>
        <w:snapToGrid/>
        <w:spacing w:before="592" w:beforeLines="100" w:after="592" w:afterLines="100" w:line="590" w:lineRule="exact"/>
        <w:jc w:val="center"/>
        <w:textAlignment w:val="auto"/>
        <w:rPr>
          <w:rFonts w:hint="eastAsia" w:ascii="黑体" w:hAnsi="黑体" w:eastAsia="黑体" w:cs="黑体"/>
          <w:color w:val="auto"/>
          <w:spacing w:val="0"/>
          <w:w w:val="100"/>
          <w:kern w:val="0"/>
          <w:position w:val="0"/>
          <w:sz w:val="32"/>
          <w:szCs w:val="32"/>
          <w:u w:val="none"/>
          <w:shd w:val="clear" w:color="auto" w:fill="auto"/>
          <w:lang w:val="zh-TW" w:eastAsia="zh-TW" w:bidi="zh-TW"/>
        </w:rPr>
      </w:pPr>
      <w:r>
        <w:rPr>
          <w:rFonts w:hint="eastAsia" w:ascii="黑体" w:hAnsi="黑体" w:eastAsia="黑体" w:cs="黑体"/>
          <w:b w:val="0"/>
          <w:bCs w:val="0"/>
          <w:color w:val="auto"/>
          <w:spacing w:val="0"/>
          <w:w w:val="100"/>
          <w:kern w:val="0"/>
          <w:position w:val="0"/>
          <w:sz w:val="32"/>
          <w:szCs w:val="32"/>
          <w:u w:val="none"/>
          <w:shd w:val="clear" w:color="auto" w:fill="auto"/>
          <w:lang w:val="zh-TW" w:eastAsia="zh-CN" w:bidi="zh-TW"/>
        </w:rPr>
        <w:t>第六章</w:t>
      </w:r>
      <w:r>
        <w:rPr>
          <w:rFonts w:hint="eastAsia" w:ascii="黑体" w:hAnsi="黑体" w:eastAsia="黑体" w:cs="黑体"/>
          <w:b w:val="0"/>
          <w:bCs w:val="0"/>
          <w:color w:val="auto"/>
          <w:spacing w:val="0"/>
          <w:w w:val="100"/>
          <w:kern w:val="0"/>
          <w:position w:val="0"/>
          <w:sz w:val="32"/>
          <w:szCs w:val="32"/>
          <w:u w:val="none"/>
          <w:shd w:val="clear" w:color="auto" w:fill="auto"/>
          <w:lang w:val="zh-TW" w:eastAsia="zh-TW" w:bidi="zh-TW"/>
        </w:rPr>
        <w:t xml:space="preserve"> 监督和绩效管理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第二十三条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仿宋_GB2312" w:eastAsia="仿宋_GB2312" w:cs="仿宋_GB2312"/>
          <w:color w:val="auto"/>
          <w:spacing w:val="0"/>
          <w:w w:val="100"/>
          <w:position w:val="0"/>
          <w:sz w:val="32"/>
          <w:szCs w:val="32"/>
        </w:rPr>
        <w:t>各级财政、</w:t>
      </w:r>
      <w:r>
        <w:rPr>
          <w:rFonts w:hint="eastAsia" w:ascii="仿宋_GB2312" w:hAnsi="仿宋_GB2312" w:eastAsia="仿宋_GB2312" w:cs="仿宋_GB2312"/>
          <w:color w:val="auto"/>
          <w:spacing w:val="0"/>
          <w:w w:val="100"/>
          <w:position w:val="0"/>
          <w:sz w:val="32"/>
          <w:szCs w:val="32"/>
          <w:lang w:eastAsia="zh-CN"/>
        </w:rPr>
        <w:t>农业农村部</w:t>
      </w:r>
      <w:r>
        <w:rPr>
          <w:rFonts w:hint="eastAsia" w:ascii="仿宋_GB2312" w:hAnsi="仿宋_GB2312" w:eastAsia="仿宋_GB2312" w:cs="仿宋_GB2312"/>
          <w:color w:val="auto"/>
          <w:spacing w:val="0"/>
          <w:w w:val="100"/>
          <w:position w:val="0"/>
          <w:sz w:val="32"/>
          <w:szCs w:val="32"/>
        </w:rPr>
        <w:t>门应当按照防范和化解财政风险要求，强化流程控制、依法合规分配和使用资金，实行不相容岗位 （职责）分离控制</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加强对农业资源及生态保护补助资金分配、使用、管理情况的监督，发现问题及时纠正</w:t>
      </w:r>
      <w:r>
        <w:rPr>
          <w:rFonts w:hint="eastAsia" w:ascii="仿宋_GB2312" w:hAnsi="仿宋_GB2312" w:eastAsia="仿宋_GB2312" w:cs="仿宋_GB2312"/>
          <w:color w:val="auto"/>
          <w:spacing w:val="0"/>
          <w:w w:val="100"/>
          <w:position w:val="0"/>
          <w:sz w:val="32"/>
          <w:szCs w:val="32"/>
          <w:lang w:eastAsia="zh-CN"/>
        </w:rPr>
        <w:t>，对照</w:t>
      </w:r>
      <w:r>
        <w:rPr>
          <w:rFonts w:hint="eastAsia" w:ascii="仿宋_GB2312" w:hAnsi="仿宋_GB2312" w:eastAsia="仿宋_GB2312" w:cs="仿宋_GB2312"/>
          <w:color w:val="auto"/>
          <w:spacing w:val="0"/>
          <w:w w:val="100"/>
          <w:position w:val="0"/>
          <w:sz w:val="32"/>
          <w:szCs w:val="32"/>
        </w:rPr>
        <w:t>年度工作任务清单和区域绩效目标，</w:t>
      </w:r>
      <w:r>
        <w:rPr>
          <w:rFonts w:hint="eastAsia" w:ascii="仿宋_GB2312" w:hAnsi="仿宋_GB2312" w:eastAsia="仿宋_GB2312" w:cs="仿宋_GB2312"/>
          <w:color w:val="auto"/>
          <w:spacing w:val="0"/>
          <w:w w:val="100"/>
          <w:position w:val="0"/>
          <w:sz w:val="32"/>
          <w:szCs w:val="32"/>
          <w:lang w:eastAsia="zh-CN"/>
        </w:rPr>
        <w:t>及时对监督和绩效评价过程中发现的问题进行整改落实</w:t>
      </w:r>
      <w:r>
        <w:rPr>
          <w:rFonts w:hint="eastAsia" w:ascii="仿宋_GB2312" w:hAnsi="仿宋_GB2312" w:eastAsia="仿宋_GB2312" w:cs="仿宋_GB2312"/>
          <w:color w:val="auto"/>
          <w:spacing w:val="0"/>
          <w:w w:val="100"/>
          <w:position w:val="0"/>
          <w:sz w:val="32"/>
          <w:szCs w:val="32"/>
          <w:highlight w:val="none"/>
        </w:rPr>
        <w:t>。</w:t>
      </w:r>
    </w:p>
    <w:p>
      <w:pPr>
        <w:pStyle w:val="14"/>
        <w:keepNext w:val="0"/>
        <w:keepLines w:val="0"/>
        <w:pageBreakBefore w:val="0"/>
        <w:numPr>
          <w:ilvl w:val="0"/>
          <w:numId w:val="0"/>
        </w:numPr>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第二十四条</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 </w:t>
      </w:r>
      <w:r>
        <w:rPr>
          <w:rFonts w:hint="eastAsia" w:ascii="仿宋_GB2312" w:hAnsi="仿宋_GB2312" w:eastAsia="仿宋_GB2312" w:cs="仿宋_GB2312"/>
          <w:color w:val="auto"/>
          <w:spacing w:val="0"/>
          <w:w w:val="100"/>
          <w:position w:val="0"/>
          <w:sz w:val="32"/>
          <w:szCs w:val="32"/>
        </w:rPr>
        <w:t>农业资源及生态保护补助资金实行全过程预算绩效管理，</w:t>
      </w:r>
      <w:r>
        <w:rPr>
          <w:rFonts w:hint="eastAsia" w:ascii="仿宋_GB2312" w:hAnsi="仿宋_GB2312" w:eastAsia="仿宋_GB2312" w:cs="仿宋_GB2312"/>
          <w:color w:val="auto"/>
          <w:spacing w:val="0"/>
          <w:w w:val="100"/>
          <w:position w:val="0"/>
          <w:sz w:val="32"/>
          <w:szCs w:val="32"/>
          <w:lang w:eastAsia="zh-CN"/>
        </w:rPr>
        <w:t>省财政厅、省农业农村厅</w:t>
      </w:r>
      <w:r>
        <w:rPr>
          <w:rFonts w:hint="eastAsia" w:ascii="仿宋_GB2312" w:hAnsi="仿宋_GB2312" w:eastAsia="仿宋_GB2312" w:cs="仿宋_GB2312"/>
          <w:color w:val="auto"/>
          <w:spacing w:val="0"/>
          <w:w w:val="100"/>
          <w:position w:val="0"/>
          <w:sz w:val="32"/>
          <w:szCs w:val="32"/>
        </w:rPr>
        <w:t>按照《农业相关转移支付资金绩效管理办法》（财农〔2019〕48号）</w:t>
      </w:r>
      <w:r>
        <w:rPr>
          <w:rFonts w:hint="eastAsia" w:ascii="仿宋_GB2312" w:hAnsi="仿宋_GB2312" w:eastAsia="仿宋_GB2312" w:cs="仿宋_GB2312"/>
          <w:color w:val="auto"/>
          <w:spacing w:val="0"/>
          <w:w w:val="100"/>
          <w:position w:val="0"/>
          <w:sz w:val="32"/>
          <w:szCs w:val="32"/>
          <w:lang w:eastAsia="zh-CN"/>
        </w:rPr>
        <w:t>、《贵州省农业相关转移支付资金绩效管理实施细则》（黔财农</w:t>
      </w:r>
      <w:r>
        <w:rPr>
          <w:rFonts w:hint="eastAsia" w:ascii="仿宋_GB2312" w:hAnsi="仿宋_GB2312" w:eastAsia="仿宋_GB2312" w:cs="仿宋_GB2312"/>
          <w:color w:val="auto"/>
          <w:spacing w:val="0"/>
          <w:w w:val="100"/>
          <w:position w:val="0"/>
          <w:sz w:val="32"/>
          <w:szCs w:val="32"/>
        </w:rPr>
        <w:t>〔20</w:t>
      </w:r>
      <w:r>
        <w:rPr>
          <w:rFonts w:hint="eastAsia" w:ascii="仿宋_GB2312" w:hAnsi="仿宋_GB2312" w:eastAsia="仿宋_GB2312" w:cs="仿宋_GB2312"/>
          <w:color w:val="auto"/>
          <w:spacing w:val="0"/>
          <w:w w:val="100"/>
          <w:position w:val="0"/>
          <w:sz w:val="32"/>
          <w:szCs w:val="32"/>
          <w:lang w:val="en-US" w:eastAsia="zh-CN"/>
        </w:rPr>
        <w:t>21</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val="en-US" w:eastAsia="zh-CN"/>
        </w:rPr>
        <w:t>171</w:t>
      </w:r>
      <w:r>
        <w:rPr>
          <w:rFonts w:hint="eastAsia" w:ascii="仿宋_GB2312" w:hAnsi="仿宋_GB2312" w:eastAsia="仿宋_GB2312" w:cs="仿宋_GB2312"/>
          <w:color w:val="auto"/>
          <w:spacing w:val="0"/>
          <w:w w:val="100"/>
          <w:position w:val="0"/>
          <w:sz w:val="32"/>
          <w:szCs w:val="32"/>
        </w:rPr>
        <w:t>号</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等有关制度规定，</w:t>
      </w:r>
      <w:r>
        <w:rPr>
          <w:rFonts w:hint="eastAsia" w:ascii="仿宋_GB2312" w:hAnsi="仿宋_GB2312" w:eastAsia="仿宋_GB2312" w:cs="仿宋_GB2312"/>
          <w:color w:val="auto"/>
          <w:spacing w:val="0"/>
          <w:w w:val="100"/>
          <w:position w:val="0"/>
          <w:sz w:val="32"/>
          <w:szCs w:val="32"/>
          <w:lang w:eastAsia="zh-CN"/>
        </w:rPr>
        <w:t>科学合理</w:t>
      </w:r>
      <w:r>
        <w:rPr>
          <w:rFonts w:hint="eastAsia" w:ascii="仿宋_GB2312" w:hAnsi="仿宋_GB2312" w:eastAsia="仿宋_GB2312" w:cs="仿宋_GB2312"/>
          <w:color w:val="auto"/>
          <w:spacing w:val="0"/>
          <w:w w:val="100"/>
          <w:position w:val="0"/>
          <w:sz w:val="32"/>
          <w:szCs w:val="32"/>
        </w:rPr>
        <w:t>设定资金绩</w:t>
      </w:r>
      <w:r>
        <w:rPr>
          <w:rFonts w:hint="eastAsia" w:ascii="仿宋_GB2312" w:hAnsi="仿宋_GB2312" w:eastAsia="仿宋_GB2312" w:cs="仿宋_GB2312"/>
          <w:color w:val="auto"/>
          <w:spacing w:val="0"/>
          <w:w w:val="100"/>
          <w:position w:val="0"/>
          <w:sz w:val="32"/>
          <w:szCs w:val="32"/>
          <w:lang w:val="en-US" w:eastAsia="zh-CN"/>
        </w:rPr>
        <w:t>效</w:t>
      </w:r>
      <w:r>
        <w:rPr>
          <w:rFonts w:hint="eastAsia" w:ascii="仿宋_GB2312" w:hAnsi="仿宋_GB2312" w:eastAsia="仿宋_GB2312" w:cs="仿宋_GB2312"/>
          <w:color w:val="auto"/>
          <w:spacing w:val="0"/>
          <w:w w:val="100"/>
          <w:position w:val="0"/>
          <w:sz w:val="32"/>
          <w:szCs w:val="32"/>
        </w:rPr>
        <w:t>目标、开展绩效目标执行情况监控和绩效评价等工作，绩效评价结果作为农业</w:t>
      </w:r>
      <w:r>
        <w:rPr>
          <w:rFonts w:hint="eastAsia" w:ascii="仿宋_GB2312" w:hAnsi="仿宋_GB2312" w:eastAsia="仿宋_GB2312" w:cs="仿宋_GB2312"/>
          <w:color w:val="auto"/>
          <w:spacing w:val="0"/>
          <w:w w:val="100"/>
          <w:position w:val="0"/>
          <w:sz w:val="32"/>
          <w:szCs w:val="32"/>
          <w:lang w:eastAsia="zh-CN"/>
        </w:rPr>
        <w:t>资源及生态保护补助</w:t>
      </w:r>
      <w:r>
        <w:rPr>
          <w:rFonts w:hint="eastAsia" w:ascii="仿宋_GB2312" w:hAnsi="仿宋_GB2312" w:eastAsia="仿宋_GB2312" w:cs="仿宋_GB2312"/>
          <w:color w:val="auto"/>
          <w:spacing w:val="0"/>
          <w:w w:val="100"/>
          <w:position w:val="0"/>
          <w:sz w:val="32"/>
          <w:szCs w:val="32"/>
        </w:rPr>
        <w:t>资金分配的重要依据。</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仿宋_GB2312" w:eastAsia="仿宋_GB2312" w:cs="仿宋_GB2312"/>
          <w:b/>
          <w:bCs/>
          <w:color w:val="auto"/>
          <w:spacing w:val="0"/>
          <w:w w:val="100"/>
          <w:kern w:val="0"/>
          <w:position w:val="0"/>
          <w:sz w:val="32"/>
          <w:szCs w:val="32"/>
          <w:highlight w:val="none"/>
          <w:u w:val="none"/>
          <w:shd w:val="clear" w:color="auto" w:fill="auto"/>
          <w:lang w:val="en-US" w:eastAsia="zh-CN" w:bidi="ar-SA"/>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第二十五条 </w:t>
      </w:r>
      <w:r>
        <w:rPr>
          <w:rFonts w:hint="eastAsia" w:ascii="仿宋_GB2312" w:hAnsi="仿宋_GB2312" w:eastAsia="仿宋_GB2312" w:cs="仿宋_GB2312"/>
          <w:color w:val="auto"/>
          <w:spacing w:val="0"/>
          <w:w w:val="100"/>
          <w:position w:val="0"/>
          <w:sz w:val="32"/>
          <w:szCs w:val="32"/>
        </w:rPr>
        <w:t>各级财政、</w:t>
      </w:r>
      <w:r>
        <w:rPr>
          <w:rFonts w:hint="eastAsia" w:ascii="仿宋_GB2312" w:hAnsi="仿宋_GB2312" w:eastAsia="仿宋_GB2312" w:cs="仿宋_GB2312"/>
          <w:color w:val="auto"/>
          <w:spacing w:val="0"/>
          <w:w w:val="100"/>
          <w:position w:val="0"/>
          <w:sz w:val="32"/>
          <w:szCs w:val="32"/>
          <w:lang w:eastAsia="zh-CN"/>
        </w:rPr>
        <w:t>农业农村部</w:t>
      </w:r>
      <w:r>
        <w:rPr>
          <w:rFonts w:hint="eastAsia" w:ascii="仿宋_GB2312" w:hAnsi="仿宋_GB2312" w:eastAsia="仿宋_GB2312" w:cs="仿宋_GB2312"/>
          <w:color w:val="auto"/>
          <w:spacing w:val="0"/>
          <w:w w:val="100"/>
          <w:position w:val="0"/>
          <w:sz w:val="32"/>
          <w:szCs w:val="32"/>
        </w:rPr>
        <w:t>门及其工作人员在资金分配、审核等工作中，存在违反规定分配资金、向不符合条件的单位、个人（或项目）分配资金或者擅自超出规定的范围、标准分配或使用资金，以及存在其他滥用职权、玩忽职守、徇私舞弊等违法违规行为的，依法追究相应责任；涉嫌犯罪的，依法移送有关机关处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ar-SA"/>
        </w:rPr>
        <w:t xml:space="preserve">第二十六条 </w:t>
      </w:r>
      <w:r>
        <w:rPr>
          <w:rFonts w:hint="eastAsia" w:ascii="仿宋_GB2312" w:hAnsi="仿宋_GB2312" w:eastAsia="仿宋_GB2312" w:cs="仿宋_GB2312"/>
          <w:color w:val="auto"/>
          <w:spacing w:val="0"/>
          <w:w w:val="100"/>
          <w:position w:val="0"/>
          <w:sz w:val="32"/>
          <w:szCs w:val="32"/>
        </w:rPr>
        <w:t>资金使用单位和个人虚报冒领、骗取套取、挤占挪用农业资源及生态保护补助资金，以及存在其他违反本</w:t>
      </w:r>
      <w:r>
        <w:rPr>
          <w:rFonts w:hint="eastAsia" w:ascii="仿宋_GB2312" w:hAnsi="仿宋_GB2312" w:eastAsia="仿宋_GB2312" w:cs="仿宋_GB2312"/>
          <w:color w:val="auto"/>
          <w:spacing w:val="0"/>
          <w:w w:val="100"/>
          <w:position w:val="0"/>
          <w:sz w:val="32"/>
          <w:szCs w:val="32"/>
          <w:lang w:val="en-US" w:eastAsia="zh-CN"/>
        </w:rPr>
        <w:t>办法</w:t>
      </w:r>
      <w:r>
        <w:rPr>
          <w:rFonts w:hint="eastAsia" w:ascii="仿宋_GB2312" w:hAnsi="仿宋_GB2312" w:eastAsia="仿宋_GB2312" w:cs="仿宋_GB2312"/>
          <w:color w:val="auto"/>
          <w:spacing w:val="0"/>
          <w:w w:val="100"/>
          <w:position w:val="0"/>
          <w:sz w:val="32"/>
          <w:szCs w:val="32"/>
        </w:rPr>
        <w:t>规定行为的，依法追究相应责任。</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592" w:beforeLines="100" w:after="592" w:afterLines="100" w:line="590" w:lineRule="exact"/>
        <w:ind w:left="0" w:right="0" w:firstLine="0"/>
        <w:jc w:val="center"/>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pacing w:val="0"/>
          <w:w w:val="100"/>
          <w:position w:val="0"/>
          <w:sz w:val="32"/>
          <w:szCs w:val="32"/>
        </w:rPr>
        <w:t>第</w:t>
      </w:r>
      <w:r>
        <w:rPr>
          <w:rFonts w:hint="eastAsia" w:ascii="黑体" w:hAnsi="黑体" w:eastAsia="黑体" w:cs="黑体"/>
          <w:b w:val="0"/>
          <w:bCs w:val="0"/>
          <w:color w:val="000000"/>
          <w:spacing w:val="0"/>
          <w:w w:val="100"/>
          <w:position w:val="0"/>
          <w:sz w:val="32"/>
          <w:szCs w:val="32"/>
          <w:lang w:eastAsia="zh-CN"/>
        </w:rPr>
        <w:t>七</w:t>
      </w:r>
      <w:r>
        <w:rPr>
          <w:rFonts w:hint="eastAsia" w:ascii="黑体" w:hAnsi="黑体" w:eastAsia="黑体" w:cs="黑体"/>
          <w:b w:val="0"/>
          <w:bCs w:val="0"/>
          <w:color w:val="000000"/>
          <w:spacing w:val="0"/>
          <w:w w:val="100"/>
          <w:position w:val="0"/>
          <w:sz w:val="32"/>
          <w:szCs w:val="32"/>
        </w:rPr>
        <w:t>章</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position w:val="0"/>
          <w:sz w:val="32"/>
          <w:szCs w:val="32"/>
        </w:rPr>
        <w:t>附则</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highlight w:val="none"/>
          <w:lang w:val="en-US" w:eastAsia="zh-CN" w:bidi="ar-SA"/>
        </w:rPr>
        <w:t>第二十七条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本</w:t>
      </w:r>
      <w:r>
        <w:rPr>
          <w:rFonts w:hint="eastAsia" w:ascii="仿宋_GB2312" w:hAnsi="仿宋_GB2312" w:eastAsia="仿宋_GB2312" w:cs="仿宋_GB2312"/>
          <w:color w:val="auto"/>
          <w:spacing w:val="0"/>
          <w:w w:val="100"/>
          <w:position w:val="0"/>
          <w:sz w:val="32"/>
          <w:szCs w:val="32"/>
          <w:lang w:val="en-US" w:eastAsia="zh-CN"/>
        </w:rPr>
        <w:t>办法</w:t>
      </w:r>
      <w:r>
        <w:rPr>
          <w:rFonts w:hint="eastAsia" w:ascii="仿宋_GB2312" w:hAnsi="仿宋_GB2312" w:eastAsia="仿宋_GB2312" w:cs="仿宋_GB2312"/>
          <w:color w:val="auto"/>
          <w:spacing w:val="0"/>
          <w:w w:val="100"/>
          <w:position w:val="0"/>
          <w:sz w:val="32"/>
          <w:szCs w:val="32"/>
        </w:rPr>
        <w:t>由</w:t>
      </w: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rPr>
        <w:t>会同</w:t>
      </w:r>
      <w:r>
        <w:rPr>
          <w:rFonts w:hint="eastAsia" w:ascii="仿宋_GB2312" w:hAnsi="仿宋_GB2312" w:eastAsia="仿宋_GB2312" w:cs="仿宋_GB2312"/>
          <w:color w:val="auto"/>
          <w:spacing w:val="0"/>
          <w:w w:val="100"/>
          <w:position w:val="0"/>
          <w:sz w:val="32"/>
          <w:szCs w:val="32"/>
          <w:lang w:eastAsia="zh-CN"/>
        </w:rPr>
        <w:t>省农业农村厅</w:t>
      </w:r>
      <w:r>
        <w:rPr>
          <w:rFonts w:hint="eastAsia" w:ascii="仿宋_GB2312" w:hAnsi="仿宋_GB2312" w:eastAsia="仿宋_GB2312" w:cs="仿宋_GB2312"/>
          <w:color w:val="auto"/>
          <w:spacing w:val="0"/>
          <w:w w:val="100"/>
          <w:position w:val="0"/>
          <w:sz w:val="32"/>
          <w:szCs w:val="32"/>
        </w:rPr>
        <w:t>负责解释。</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8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0"/>
          <w:w w:val="100"/>
          <w:position w:val="0"/>
          <w:sz w:val="32"/>
          <w:szCs w:val="32"/>
          <w:highlight w:val="none"/>
          <w:lang w:val="en-US" w:eastAsia="zh-CN" w:bidi="ar-SA"/>
        </w:rPr>
        <w:t>第二十八条</w:t>
      </w:r>
      <w:r>
        <w:rPr>
          <w:rFonts w:hint="eastAsia" w:ascii="仿宋_GB2312" w:hAnsi="仿宋_GB2312" w:eastAsia="仿宋_GB2312" w:cs="仿宋_GB2312"/>
          <w:color w:val="auto"/>
          <w:spacing w:val="0"/>
          <w:w w:val="100"/>
          <w:position w:val="0"/>
          <w:sz w:val="32"/>
          <w:szCs w:val="32"/>
        </w:rPr>
        <w:t xml:space="preserve"> 本</w:t>
      </w:r>
      <w:r>
        <w:rPr>
          <w:rFonts w:hint="eastAsia" w:ascii="仿宋_GB2312" w:hAnsi="仿宋_GB2312" w:eastAsia="仿宋_GB2312" w:cs="仿宋_GB2312"/>
          <w:color w:val="auto"/>
          <w:spacing w:val="0"/>
          <w:w w:val="100"/>
          <w:position w:val="0"/>
          <w:sz w:val="32"/>
          <w:szCs w:val="32"/>
          <w:lang w:val="en-US" w:eastAsia="zh-CN"/>
        </w:rPr>
        <w:t>办法</w:t>
      </w:r>
      <w:r>
        <w:rPr>
          <w:rFonts w:hint="eastAsia" w:ascii="仿宋_GB2312" w:hAnsi="仿宋_GB2312" w:eastAsia="仿宋_GB2312" w:cs="仿宋_GB2312"/>
          <w:color w:val="auto"/>
          <w:spacing w:val="0"/>
          <w:w w:val="100"/>
          <w:position w:val="0"/>
          <w:sz w:val="32"/>
          <w:szCs w:val="32"/>
        </w:rPr>
        <w:t>自印发之日起施</w:t>
      </w:r>
      <w:r>
        <w:rPr>
          <w:rFonts w:hint="eastAsia" w:ascii="仿宋_GB2312" w:hAnsi="仿宋_GB2312" w:eastAsia="仿宋_GB2312" w:cs="仿宋_GB2312"/>
          <w:color w:val="auto"/>
          <w:spacing w:val="0"/>
          <w:w w:val="100"/>
          <w:position w:val="0"/>
          <w:sz w:val="32"/>
          <w:szCs w:val="32"/>
          <w:lang w:eastAsia="zh-CN"/>
        </w:rPr>
        <w:t>行，</w:t>
      </w:r>
      <w:r>
        <w:rPr>
          <w:rFonts w:hint="eastAsia" w:ascii="仿宋_GB2312" w:hAnsi="仿宋_GB2312" w:eastAsia="仿宋_GB2312" w:cs="仿宋_GB2312"/>
          <w:color w:val="auto"/>
          <w:spacing w:val="0"/>
          <w:w w:val="100"/>
          <w:position w:val="0"/>
          <w:sz w:val="32"/>
          <w:szCs w:val="32"/>
          <w:lang w:val="en-US" w:eastAsia="zh-CN"/>
        </w:rPr>
        <w:t>有效期至2025年12月31日。</w:t>
      </w:r>
      <w:r>
        <w:rPr>
          <w:rFonts w:hint="eastAsia" w:ascii="仿宋_GB2312" w:hAnsi="仿宋_GB2312" w:eastAsia="仿宋_GB2312" w:cs="仿宋_GB2312"/>
          <w:color w:val="auto"/>
          <w:spacing w:val="0"/>
          <w:w w:val="100"/>
          <w:position w:val="0"/>
          <w:sz w:val="32"/>
          <w:szCs w:val="32"/>
          <w:lang w:eastAsia="zh-CN"/>
        </w:rPr>
        <w:t>《贵州省财政</w:t>
      </w:r>
      <w:r>
        <w:rPr>
          <w:rFonts w:hint="eastAsia" w:ascii="仿宋_GB2312" w:hAnsi="仿宋_GB2312" w:eastAsia="仿宋_GB2312" w:cs="仿宋_GB2312"/>
          <w:color w:val="auto"/>
          <w:spacing w:val="0"/>
          <w:w w:val="100"/>
          <w:position w:val="0"/>
          <w:sz w:val="32"/>
          <w:szCs w:val="32"/>
          <w:lang w:val="en-US" w:eastAsia="zh-CN"/>
        </w:rPr>
        <w:t>厅 贵州省农业农村厅关于印发〈贵州省</w:t>
      </w:r>
      <w:r>
        <w:rPr>
          <w:rFonts w:hint="eastAsia" w:ascii="仿宋_GB2312" w:hAnsi="仿宋_GB2312" w:eastAsia="仿宋_GB2312" w:cs="仿宋_GB2312"/>
          <w:color w:val="auto"/>
          <w:spacing w:val="0"/>
          <w:w w:val="100"/>
          <w:position w:val="0"/>
          <w:sz w:val="32"/>
          <w:szCs w:val="32"/>
        </w:rPr>
        <w:t>农业资源及生态保护补助资金</w:t>
      </w:r>
      <w:r>
        <w:rPr>
          <w:rFonts w:hint="eastAsia" w:ascii="仿宋_GB2312" w:hAnsi="仿宋_GB2312" w:eastAsia="仿宋_GB2312" w:cs="仿宋_GB2312"/>
          <w:color w:val="auto"/>
          <w:spacing w:val="0"/>
          <w:w w:val="100"/>
          <w:position w:val="0"/>
          <w:sz w:val="32"/>
          <w:szCs w:val="32"/>
          <w:lang w:val="en-US" w:eastAsia="zh-CN"/>
        </w:rPr>
        <w:t>管理实施细则〉的通知</w:t>
      </w:r>
      <w:r>
        <w:rPr>
          <w:rFonts w:hint="eastAsia" w:ascii="仿宋_GB2312" w:hAnsi="仿宋_GB2312" w:eastAsia="仿宋_GB2312" w:cs="仿宋_GB2312"/>
          <w:color w:val="auto"/>
          <w:spacing w:val="0"/>
          <w:w w:val="100"/>
          <w:position w:val="0"/>
          <w:sz w:val="32"/>
          <w:szCs w:val="32"/>
          <w:lang w:eastAsia="zh-CN"/>
        </w:rPr>
        <w:t>》（黔财农〔</w:t>
      </w:r>
      <w:r>
        <w:rPr>
          <w:rFonts w:hint="eastAsia" w:ascii="仿宋_GB2312" w:hAnsi="仿宋_GB2312" w:eastAsia="仿宋_GB2312" w:cs="仿宋_GB2312"/>
          <w:color w:val="auto"/>
          <w:spacing w:val="0"/>
          <w:w w:val="100"/>
          <w:position w:val="0"/>
          <w:sz w:val="32"/>
          <w:szCs w:val="32"/>
          <w:lang w:val="en-US" w:eastAsia="zh-CN"/>
        </w:rPr>
        <w:t>2020</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250号</w:t>
      </w:r>
      <w:r>
        <w:rPr>
          <w:rFonts w:hint="eastAsia" w:ascii="仿宋_GB2312" w:hAnsi="仿宋_GB2312" w:eastAsia="仿宋_GB2312" w:cs="仿宋_GB2312"/>
          <w:color w:val="auto"/>
          <w:spacing w:val="0"/>
          <w:w w:val="100"/>
          <w:position w:val="0"/>
          <w:sz w:val="32"/>
          <w:szCs w:val="32"/>
          <w:lang w:eastAsia="zh-CN"/>
        </w:rPr>
        <w:t>）同时废止。</w:t>
      </w:r>
    </w:p>
    <w:p>
      <w:pPr>
        <w:pStyle w:val="13"/>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90" w:lineRule="exact"/>
        <w:ind w:left="0" w:right="0" w:firstLine="800"/>
        <w:jc w:val="both"/>
        <w:textAlignment w:val="auto"/>
        <w:rPr>
          <w:rFonts w:hint="eastAsia" w:ascii="仿宋_GB2312" w:hAnsi="仿宋_GB2312" w:eastAsia="仿宋_GB2312" w:cs="仿宋_GB2312"/>
          <w:color w:val="auto"/>
          <w:spacing w:val="0"/>
          <w:w w:val="100"/>
          <w:position w:val="0"/>
          <w:sz w:val="32"/>
          <w:szCs w:val="32"/>
          <w:lang w:eastAsia="zh-CN"/>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60"/>
        <w:jc w:val="both"/>
        <w:textAlignment w:val="auto"/>
        <w:rPr>
          <w:rFonts w:hint="eastAsia" w:ascii="仿宋_GB2312" w:hAnsi="仿宋_GB2312" w:eastAsia="仿宋_GB2312" w:cs="仿宋_GB2312"/>
          <w:color w:val="auto"/>
          <w:spacing w:val="0"/>
          <w:w w:val="100"/>
          <w:position w:val="0"/>
          <w:sz w:val="32"/>
          <w:szCs w:val="32"/>
          <w:lang w:val="en-US"/>
        </w:rPr>
      </w:pPr>
    </w:p>
    <w:p>
      <w:pPr>
        <w:pStyle w:val="13"/>
        <w:keepNext w:val="0"/>
        <w:keepLines w:val="0"/>
        <w:pageBreakBefore w:val="0"/>
        <w:widowControl w:val="0"/>
        <w:shd w:val="clear" w:color="auto" w:fill="auto"/>
        <w:tabs>
          <w:tab w:val="left" w:pos="1590"/>
        </w:tabs>
        <w:kinsoku/>
        <w:wordWrap/>
        <w:overflowPunct/>
        <w:topLinePunct w:val="0"/>
        <w:autoSpaceDE/>
        <w:autoSpaceDN/>
        <w:bidi w:val="0"/>
        <w:adjustRightInd/>
        <w:snapToGrid/>
        <w:spacing w:before="0" w:after="0" w:line="590" w:lineRule="exact"/>
        <w:ind w:left="0" w:right="0" w:firstLine="780"/>
        <w:jc w:val="both"/>
        <w:textAlignment w:val="auto"/>
        <w:rPr>
          <w:rFonts w:hint="eastAsia" w:ascii="仿宋_GB2312" w:hAnsi="仿宋_GB2312" w:eastAsia="仿宋_GB2312" w:cs="仿宋_GB2312"/>
          <w:color w:val="auto"/>
          <w:spacing w:val="0"/>
          <w:w w:val="100"/>
          <w:position w:val="0"/>
          <w:sz w:val="32"/>
          <w:szCs w:val="32"/>
          <w:lang w:eastAsia="zh-CN"/>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000000"/>
          <w:spacing w:val="0"/>
          <w:w w:val="100"/>
          <w:position w:val="0"/>
          <w:sz w:val="32"/>
          <w:szCs w:val="32"/>
          <w:lang w:val="zh-TW" w:eastAsia="zh-CN"/>
        </w:rPr>
      </w:pP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sectPr>
      <w:footerReference r:id="rId5" w:type="first"/>
      <w:footerReference r:id="rId3" w:type="default"/>
      <w:footerReference r:id="rId4" w:type="even"/>
      <w:pgSz w:w="11906" w:h="16838"/>
      <w:pgMar w:top="1701" w:right="1474" w:bottom="1701" w:left="1588" w:header="851" w:footer="1474" w:gutter="0"/>
      <w:pgNumType w:fmt="decimal" w:start="1"/>
      <w:cols w:space="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right"/>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-28575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5pt;margin-top:-2.25pt;height:144pt;width:144pt;mso-position-horizontal-relative:margin;mso-wrap-style:none;z-index:251659264;mso-width-relative:page;mso-height-relative:page;" filled="f" stroked="f" coordsize="21600,21600" o:gfxdata="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1ydN1gAA&#10;AAkBAAAPAAAAAAAAAAEAIAAAACIAAABkcnMvZG93bnJldi54bWxQSwECFAAUAAAACACHTuJA4cw9&#10;va4BAABLAwAADgAAAAAAAAABACAAAAAlAQAAZHJzL2Uyb0RvYy54bWxQSwUGAAAAAAYABgBZAQAA&#10;RQU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4774565</wp:posOffset>
              </wp:positionH>
              <wp:positionV relativeFrom="paragraph">
                <wp:posOffset>-95250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75.95pt;margin-top:-7.5pt;height:144pt;width:144pt;mso-position-horizontal-relative:margin;mso-wrap-style:none;z-index:251660288;mso-width-relative:page;mso-height-relative:page;" filled="f" stroked="f" coordsize="21600,21600" o:gfxdata="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XO2D9cA&#10;AAAMAQAADwAAAAAAAAABACAAAAAiAAAAZHJzL2Rvd25yZXYueG1sUEsBAhQAFAAAAAgAh07iQBGq&#10;ioquAQAASwMAAA4AAAAAAAAAAQAgAAAAJgEAAGRycy9lMm9Eb2MueG1sUEsFBgAAAAAGAAYAWQEA&#10;AEY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3B8D2"/>
    <w:multiLevelType w:val="singleLevel"/>
    <w:tmpl w:val="49D3B8D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77FBD"/>
    <w:rsid w:val="00DE22DA"/>
    <w:rsid w:val="01EF7914"/>
    <w:rsid w:val="021D6939"/>
    <w:rsid w:val="02AA1AC4"/>
    <w:rsid w:val="02E75A99"/>
    <w:rsid w:val="03100A7F"/>
    <w:rsid w:val="037F61B5"/>
    <w:rsid w:val="03925C31"/>
    <w:rsid w:val="03A922DC"/>
    <w:rsid w:val="046F307B"/>
    <w:rsid w:val="049A410A"/>
    <w:rsid w:val="04AE7109"/>
    <w:rsid w:val="04B74CF8"/>
    <w:rsid w:val="04DC1C72"/>
    <w:rsid w:val="05420B53"/>
    <w:rsid w:val="055A5C0A"/>
    <w:rsid w:val="05937D37"/>
    <w:rsid w:val="06AE46D8"/>
    <w:rsid w:val="07001738"/>
    <w:rsid w:val="099054D8"/>
    <w:rsid w:val="0B646FBC"/>
    <w:rsid w:val="0BB854AC"/>
    <w:rsid w:val="0C6439C7"/>
    <w:rsid w:val="0CCC3A81"/>
    <w:rsid w:val="0CD212E8"/>
    <w:rsid w:val="0DDA254B"/>
    <w:rsid w:val="0E200A4D"/>
    <w:rsid w:val="0EC937B9"/>
    <w:rsid w:val="0F3F7ED0"/>
    <w:rsid w:val="0F6040F7"/>
    <w:rsid w:val="0FC63F00"/>
    <w:rsid w:val="11073924"/>
    <w:rsid w:val="12946EEC"/>
    <w:rsid w:val="12DB2C55"/>
    <w:rsid w:val="136C7020"/>
    <w:rsid w:val="149928F6"/>
    <w:rsid w:val="160F4237"/>
    <w:rsid w:val="165024D5"/>
    <w:rsid w:val="173C2635"/>
    <w:rsid w:val="18F25749"/>
    <w:rsid w:val="19A41510"/>
    <w:rsid w:val="19E10F3A"/>
    <w:rsid w:val="1AC03D6B"/>
    <w:rsid w:val="1AF44BC6"/>
    <w:rsid w:val="1B163429"/>
    <w:rsid w:val="1C893E56"/>
    <w:rsid w:val="1D520E8A"/>
    <w:rsid w:val="1DB916E9"/>
    <w:rsid w:val="1DF6328F"/>
    <w:rsid w:val="1E4148BF"/>
    <w:rsid w:val="1E55034F"/>
    <w:rsid w:val="1E6139DF"/>
    <w:rsid w:val="20AC3385"/>
    <w:rsid w:val="21233FFD"/>
    <w:rsid w:val="21AB530B"/>
    <w:rsid w:val="22425C00"/>
    <w:rsid w:val="228E550C"/>
    <w:rsid w:val="232447D6"/>
    <w:rsid w:val="233C1535"/>
    <w:rsid w:val="236278DD"/>
    <w:rsid w:val="244A41F5"/>
    <w:rsid w:val="248E274A"/>
    <w:rsid w:val="24BA01E4"/>
    <w:rsid w:val="24CF4751"/>
    <w:rsid w:val="252E6B33"/>
    <w:rsid w:val="256F6C7F"/>
    <w:rsid w:val="276012DF"/>
    <w:rsid w:val="2855075A"/>
    <w:rsid w:val="28BF3FAC"/>
    <w:rsid w:val="28E045E5"/>
    <w:rsid w:val="2917061A"/>
    <w:rsid w:val="2BC5286B"/>
    <w:rsid w:val="2C371925"/>
    <w:rsid w:val="2DE702F5"/>
    <w:rsid w:val="2E5E5E0C"/>
    <w:rsid w:val="2F8D295A"/>
    <w:rsid w:val="322D2EE6"/>
    <w:rsid w:val="32656E5F"/>
    <w:rsid w:val="32B639B8"/>
    <w:rsid w:val="32D65099"/>
    <w:rsid w:val="33581325"/>
    <w:rsid w:val="347368D4"/>
    <w:rsid w:val="34B76121"/>
    <w:rsid w:val="34D22F9A"/>
    <w:rsid w:val="35F15331"/>
    <w:rsid w:val="362A7FF3"/>
    <w:rsid w:val="369E3A71"/>
    <w:rsid w:val="36A131EB"/>
    <w:rsid w:val="370A0168"/>
    <w:rsid w:val="38077FBD"/>
    <w:rsid w:val="38402D71"/>
    <w:rsid w:val="390D6FCE"/>
    <w:rsid w:val="39CA02D5"/>
    <w:rsid w:val="3A4B4710"/>
    <w:rsid w:val="3A71485A"/>
    <w:rsid w:val="3A8974C3"/>
    <w:rsid w:val="3C183929"/>
    <w:rsid w:val="3CAE04B6"/>
    <w:rsid w:val="3E224D51"/>
    <w:rsid w:val="3E4B142B"/>
    <w:rsid w:val="3EBE5D10"/>
    <w:rsid w:val="3F84331A"/>
    <w:rsid w:val="3FDE8DAE"/>
    <w:rsid w:val="3FEB5D81"/>
    <w:rsid w:val="41636372"/>
    <w:rsid w:val="41653C5F"/>
    <w:rsid w:val="41C116DB"/>
    <w:rsid w:val="421554A1"/>
    <w:rsid w:val="42661F5F"/>
    <w:rsid w:val="43283A21"/>
    <w:rsid w:val="43B70825"/>
    <w:rsid w:val="43D5438D"/>
    <w:rsid w:val="45586168"/>
    <w:rsid w:val="4615013C"/>
    <w:rsid w:val="46F5460F"/>
    <w:rsid w:val="46FD7075"/>
    <w:rsid w:val="47467749"/>
    <w:rsid w:val="495F37B4"/>
    <w:rsid w:val="49E11C27"/>
    <w:rsid w:val="4A87163B"/>
    <w:rsid w:val="4AD760BF"/>
    <w:rsid w:val="4AE752F1"/>
    <w:rsid w:val="4C4F3F12"/>
    <w:rsid w:val="4CA4502C"/>
    <w:rsid w:val="4DEB2FDA"/>
    <w:rsid w:val="4E7262EA"/>
    <w:rsid w:val="4EF8531C"/>
    <w:rsid w:val="4FA13658"/>
    <w:rsid w:val="4FEC23F2"/>
    <w:rsid w:val="50B05F44"/>
    <w:rsid w:val="50D815EA"/>
    <w:rsid w:val="5113390F"/>
    <w:rsid w:val="522D0EA4"/>
    <w:rsid w:val="52751AC8"/>
    <w:rsid w:val="52D7660A"/>
    <w:rsid w:val="53A9608B"/>
    <w:rsid w:val="5436132F"/>
    <w:rsid w:val="54687BD9"/>
    <w:rsid w:val="55026FEB"/>
    <w:rsid w:val="55D77021"/>
    <w:rsid w:val="564331FA"/>
    <w:rsid w:val="56D27982"/>
    <w:rsid w:val="56F32106"/>
    <w:rsid w:val="58863B4E"/>
    <w:rsid w:val="59C9583C"/>
    <w:rsid w:val="5A026DBC"/>
    <w:rsid w:val="5A4470E5"/>
    <w:rsid w:val="5A4B6AE2"/>
    <w:rsid w:val="5A621F23"/>
    <w:rsid w:val="5B630249"/>
    <w:rsid w:val="5B922D9F"/>
    <w:rsid w:val="5C257DA4"/>
    <w:rsid w:val="5CB24880"/>
    <w:rsid w:val="5CE20ECB"/>
    <w:rsid w:val="5D2240EC"/>
    <w:rsid w:val="610E0D77"/>
    <w:rsid w:val="6121203C"/>
    <w:rsid w:val="61B42522"/>
    <w:rsid w:val="61F1616A"/>
    <w:rsid w:val="61F80523"/>
    <w:rsid w:val="63395A5C"/>
    <w:rsid w:val="635E08B2"/>
    <w:rsid w:val="63CB46C8"/>
    <w:rsid w:val="63E46578"/>
    <w:rsid w:val="63EA604A"/>
    <w:rsid w:val="64AC6B1D"/>
    <w:rsid w:val="65442CEE"/>
    <w:rsid w:val="656348B2"/>
    <w:rsid w:val="65A9614B"/>
    <w:rsid w:val="65B72D5A"/>
    <w:rsid w:val="662F47EE"/>
    <w:rsid w:val="663351F2"/>
    <w:rsid w:val="664A6304"/>
    <w:rsid w:val="66DE5057"/>
    <w:rsid w:val="6717546A"/>
    <w:rsid w:val="67804870"/>
    <w:rsid w:val="67FC477B"/>
    <w:rsid w:val="6B1159B1"/>
    <w:rsid w:val="6C0B15A5"/>
    <w:rsid w:val="6C8163DA"/>
    <w:rsid w:val="6DE12F07"/>
    <w:rsid w:val="6ED274FC"/>
    <w:rsid w:val="6F92076F"/>
    <w:rsid w:val="6FDD61B0"/>
    <w:rsid w:val="705941C8"/>
    <w:rsid w:val="714B30A7"/>
    <w:rsid w:val="71653FFA"/>
    <w:rsid w:val="71AF5914"/>
    <w:rsid w:val="722C017F"/>
    <w:rsid w:val="7355612F"/>
    <w:rsid w:val="738D4C9C"/>
    <w:rsid w:val="74484F18"/>
    <w:rsid w:val="744B7564"/>
    <w:rsid w:val="74C55315"/>
    <w:rsid w:val="75117A05"/>
    <w:rsid w:val="751B3012"/>
    <w:rsid w:val="76EC58B4"/>
    <w:rsid w:val="79005FBC"/>
    <w:rsid w:val="7940398D"/>
    <w:rsid w:val="79670DA5"/>
    <w:rsid w:val="7A66226B"/>
    <w:rsid w:val="7C595419"/>
    <w:rsid w:val="7C5A697D"/>
    <w:rsid w:val="7CE47486"/>
    <w:rsid w:val="7E2C4E9F"/>
    <w:rsid w:val="7E497938"/>
    <w:rsid w:val="7E8454DA"/>
    <w:rsid w:val="7F547877"/>
    <w:rsid w:val="7FEB2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Times New Roman" w:hAnsi="Times New Roman"/>
      <w:szCs w:val="20"/>
    </w:rPr>
  </w:style>
  <w:style w:type="paragraph" w:styleId="3">
    <w:name w:val="Body Text"/>
    <w:basedOn w:val="1"/>
    <w:next w:val="4"/>
    <w:unhideWhenUsed/>
    <w:qFormat/>
    <w:uiPriority w:val="1"/>
    <w:pPr>
      <w:spacing w:before="28" w:beforeLines="0" w:afterLines="0"/>
      <w:ind w:left="108"/>
    </w:pPr>
    <w:rPr>
      <w:rFonts w:hint="eastAsia" w:ascii="仿宋_GB2312" w:hAnsi="仿宋_GB2312" w:eastAsia="仿宋_GB2312"/>
      <w:sz w:val="32"/>
    </w:rPr>
  </w:style>
  <w:style w:type="paragraph" w:customStyle="1" w:styleId="4">
    <w:name w:val="p0"/>
    <w:basedOn w:val="1"/>
    <w:qFormat/>
    <w:uiPriority w:val="0"/>
    <w:pPr>
      <w:widowControl/>
      <w:spacing w:line="240" w:lineRule="auto"/>
    </w:pPr>
    <w:rPr>
      <w:rFonts w:ascii="Times New Roman" w:hAnsi="Times New Roman" w:eastAsia="宋体" w:cs="Times New Roman"/>
      <w:kern w:val="0"/>
      <w:lang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footnote text"/>
    <w:basedOn w:val="1"/>
    <w:qFormat/>
    <w:uiPriority w:val="0"/>
    <w:pPr>
      <w:snapToGrid w:val="0"/>
      <w:jc w:val="left"/>
    </w:pPr>
    <w:rPr>
      <w:sz w:val="18"/>
      <w:szCs w:val="18"/>
    </w:rPr>
  </w:style>
  <w:style w:type="paragraph" w:customStyle="1" w:styleId="9">
    <w:name w:val="table of authorities1"/>
    <w:basedOn w:val="1"/>
    <w:next w:val="1"/>
    <w:qFormat/>
    <w:uiPriority w:val="0"/>
    <w:pPr>
      <w:ind w:left="200" w:leftChars="200"/>
    </w:pPr>
    <w:rPr>
      <w:rFonts w:cs="Times New Roman"/>
    </w:rPr>
  </w:style>
  <w:style w:type="paragraph" w:customStyle="1" w:styleId="10">
    <w:name w:val="列表接续 21"/>
    <w:qFormat/>
    <w:uiPriority w:val="0"/>
    <w:pPr>
      <w:widowControl w:val="0"/>
      <w:spacing w:after="120"/>
      <w:ind w:left="840" w:leftChars="400"/>
      <w:jc w:val="both"/>
    </w:pPr>
    <w:rPr>
      <w:rFonts w:ascii="Times New Roman" w:hAnsi="Times New Roman" w:eastAsia="仿宋_GB2312" w:cs="Times New Roman"/>
      <w:kern w:val="2"/>
      <w:sz w:val="32"/>
      <w:szCs w:val="22"/>
      <w:lang w:val="en-US" w:eastAsia="zh-CN" w:bidi="ar-SA"/>
    </w:rPr>
  </w:style>
  <w:style w:type="paragraph" w:customStyle="1" w:styleId="11">
    <w:name w:val="Body Text First Indent 21"/>
    <w:basedOn w:val="12"/>
    <w:qFormat/>
    <w:uiPriority w:val="0"/>
    <w:pPr>
      <w:ind w:left="200" w:firstLine="420"/>
    </w:pPr>
    <w:rPr>
      <w:rFonts w:ascii="仿宋_GB2312" w:eastAsia="仿宋_GB2312" w:cs="仿宋_GB2312"/>
      <w:sz w:val="32"/>
      <w:szCs w:val="32"/>
    </w:rPr>
  </w:style>
  <w:style w:type="paragraph" w:customStyle="1" w:styleId="12">
    <w:name w:val="Body Text Indent1"/>
    <w:basedOn w:val="1"/>
    <w:qFormat/>
    <w:uiPriority w:val="0"/>
    <w:pPr>
      <w:ind w:left="420" w:leftChars="200"/>
    </w:pPr>
  </w:style>
  <w:style w:type="paragraph" w:customStyle="1" w:styleId="13">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4">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2022-05-26T11:09:00Z</dcterms:created>
  <dc:creator>黎东</dc:creator>
  <cp:lastModifiedBy>黎东</cp:lastModifiedBy>
  <cp:lastPrinted>2022-10-14T22:44:00Z</cp:lastPrinted>
  <dcterms:modified xsi:type="dcterms:W3CDTF">2022-11-09T09:10:23Z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