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/>
        </w:rPr>
        <w:t>4</w:t>
      </w:r>
    </w:p>
    <w:p>
      <w:pPr>
        <w:widowControl/>
        <w:spacing w:line="560" w:lineRule="exact"/>
        <w:jc w:val="both"/>
        <w:rPr>
          <w:rFonts w:hint="default" w:ascii="华文中宋" w:hAnsi="华文中宋" w:eastAsia="华文中宋" w:cs="宋体"/>
          <w:color w:val="auto"/>
          <w:kern w:val="0"/>
          <w:sz w:val="30"/>
          <w:szCs w:val="30"/>
          <w:highlight w:val="none"/>
          <w:lang w:val="en-US" w:eastAsia="zh-CN"/>
        </w:rPr>
      </w:pPr>
    </w:p>
    <w:p>
      <w:pPr>
        <w:widowControl/>
        <w:spacing w:line="590" w:lineRule="exact"/>
        <w:ind w:firstLine="872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highlight w:val="none"/>
          <w:lang w:val="en-US" w:eastAsia="zh-CN"/>
        </w:rPr>
        <w:t>贵州省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highlight w:val="none"/>
        </w:rPr>
        <w:t>农业资源及生态保护补助资金分配测算方法及标准</w:t>
      </w:r>
    </w:p>
    <w:p>
      <w:pPr>
        <w:widowControl/>
        <w:spacing w:line="590" w:lineRule="exact"/>
        <w:ind w:firstLine="592" w:firstLineChars="200"/>
        <w:jc w:val="center"/>
        <w:rPr>
          <w:rFonts w:ascii="宋体" w:hAnsi="宋体" w:eastAsia="宋体" w:cs="宋体"/>
          <w:color w:val="auto"/>
          <w:kern w:val="0"/>
          <w:sz w:val="30"/>
          <w:szCs w:val="30"/>
          <w:highlight w:val="none"/>
        </w:rPr>
      </w:pPr>
    </w:p>
    <w:p>
      <w:pPr>
        <w:widowControl/>
        <w:spacing w:line="590" w:lineRule="exact"/>
        <w:ind w:firstLine="632" w:firstLineChars="200"/>
        <w:rPr>
          <w:rFonts w:ascii="宋体" w:hAnsi="宋体" w:eastAsia="宋体" w:cs="宋体"/>
          <w:color w:val="auto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——</w:t>
      </w: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</w:rPr>
        <w:t>耕地资源保护支出。</w:t>
      </w:r>
      <w:r>
        <w:rPr>
          <w:rFonts w:hint="eastAsia" w:ascii="仿宋_GB2312" w:hAnsi="宋体" w:eastAsia="仿宋_GB2312" w:cs="宋体"/>
          <w:b/>
          <w:bCs/>
          <w:color w:val="auto"/>
          <w:kern w:val="0"/>
          <w:sz w:val="32"/>
          <w:szCs w:val="32"/>
          <w:highlight w:val="none"/>
        </w:rPr>
        <w:t>约束性任务：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耕地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轮作等农业结构调整，根据任务面积、补助标准以及承担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特定试点任务的定额资金量测算，补助标准按照有关规定执行</w:t>
      </w:r>
      <w:r>
        <w:rPr>
          <w:rFonts w:hint="eastAsia" w:ascii="仿宋_GB2312" w:hAnsi="宋体" w:eastAsia="仿宋_GB2312" w:cs="宋体"/>
          <w:color w:val="auto"/>
          <w:sz w:val="32"/>
          <w:szCs w:val="32"/>
          <w:highlight w:val="none"/>
        </w:rPr>
        <w:t>；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特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定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试点任务是按照党中央、国务院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和省委、省政府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部署确定的试点任务。</w:t>
      </w:r>
      <w:r>
        <w:rPr>
          <w:rFonts w:hint="eastAsia" w:ascii="仿宋_GB2312" w:hAnsi="宋体" w:eastAsia="仿宋_GB2312" w:cs="宋体"/>
          <w:b/>
          <w:bCs/>
          <w:color w:val="auto"/>
          <w:kern w:val="0"/>
          <w:sz w:val="32"/>
          <w:szCs w:val="32"/>
          <w:highlight w:val="none"/>
        </w:rPr>
        <w:t>指导性任务：</w:t>
      </w:r>
      <w:r>
        <w:rPr>
          <w:rFonts w:hint="eastAsia" w:ascii="仿宋_GB2312" w:hAnsi="宋体" w:eastAsia="仿宋_GB2312" w:cs="宋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包括退化耕地治理、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耕地保护与质量提升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、耕地生产障碍治理、耕地质量等级调查评价等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，根据基础资源（40%）、政策任务（55%）、脱贫地区（5%）等因素测算。其中基础资源因素包括耕地面积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、粮食产量、农林牧渔业产值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等，政策任务因素包括退化耕地治理实施面积</w:t>
      </w:r>
      <w:r>
        <w:rPr>
          <w:rFonts w:hint="eastAsia" w:ascii="仿宋_GB2312" w:hAnsi="宋体" w:eastAsia="仿宋_GB2312" w:cs="宋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、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耕地保护与质量提升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任务面积、生产障碍耕地治理任务面积、耕地质量等级调查评价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任务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数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等。</w:t>
      </w:r>
    </w:p>
    <w:p>
      <w:pPr>
        <w:widowControl/>
        <w:spacing w:line="590" w:lineRule="exact"/>
        <w:ind w:firstLine="632" w:firstLineChars="200"/>
        <w:rPr>
          <w:rFonts w:ascii="宋体" w:hAnsi="宋体" w:eastAsia="宋体" w:cs="宋体"/>
          <w:color w:val="auto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</w:rPr>
        <w:t>计算方法：补助经费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=轮作面积×补助标准+承担特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定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试点任务的定额资金量+∑耕地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资源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保护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指导性任务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资金规模×（基础资源因素×40%+政策任务因素×55%+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脱贫地区因素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×5%）</w:t>
      </w:r>
    </w:p>
    <w:p>
      <w:pPr>
        <w:widowControl/>
        <w:spacing w:line="590" w:lineRule="exact"/>
        <w:ind w:firstLine="632" w:firstLineChars="200"/>
        <w:rPr>
          <w:rFonts w:ascii="宋体" w:hAnsi="宋体" w:eastAsia="宋体" w:cs="宋体"/>
          <w:color w:val="auto"/>
          <w:kern w:val="0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color w:val="auto"/>
          <w:kern w:val="0"/>
          <w:sz w:val="32"/>
          <w:szCs w:val="32"/>
          <w:highlight w:val="none"/>
        </w:rPr>
        <w:t> </w:t>
      </w:r>
    </w:p>
    <w:p>
      <w:pPr>
        <w:widowControl/>
        <w:spacing w:line="590" w:lineRule="exact"/>
        <w:ind w:firstLine="632" w:firstLineChars="200"/>
        <w:rPr>
          <w:rFonts w:ascii="宋体" w:hAnsi="宋体" w:eastAsia="宋体" w:cs="宋体"/>
          <w:color w:val="auto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——</w:t>
      </w: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</w:rPr>
        <w:t>渔业资源保护支出。</w:t>
      </w:r>
      <w:r>
        <w:rPr>
          <w:rFonts w:hint="eastAsia" w:ascii="仿宋_GB2312" w:hAnsi="宋体" w:eastAsia="仿宋_GB2312" w:cs="宋体"/>
          <w:b/>
          <w:bCs/>
          <w:color w:val="auto"/>
          <w:kern w:val="0"/>
          <w:sz w:val="32"/>
          <w:szCs w:val="32"/>
          <w:highlight w:val="none"/>
        </w:rPr>
        <w:t>为指导性任务</w:t>
      </w:r>
      <w:r>
        <w:rPr>
          <w:rFonts w:hint="eastAsia" w:ascii="仿宋_GB2312" w:hAnsi="宋体" w:eastAsia="仿宋_GB2312" w:cs="宋体"/>
          <w:bCs/>
          <w:color w:val="auto"/>
          <w:kern w:val="0"/>
          <w:sz w:val="32"/>
          <w:szCs w:val="32"/>
          <w:highlight w:val="none"/>
        </w:rPr>
        <w:t>，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渔业增殖放流根据基础资源（40%）、政策任务（55%）、脱贫地区（5%）等因素测算。其中基础资源因素包括适宜放流水域面积、水生生物保护区面积、水生生物保护区数量等，政策任务因素包括放流水生动物物种数量等。</w:t>
      </w:r>
    </w:p>
    <w:p>
      <w:pPr>
        <w:widowControl/>
        <w:spacing w:line="590" w:lineRule="exact"/>
        <w:ind w:firstLine="632" w:firstLineChars="200"/>
        <w:rPr>
          <w:rFonts w:ascii="宋体" w:hAnsi="宋体" w:eastAsia="宋体" w:cs="宋体"/>
          <w:color w:val="auto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</w:rPr>
        <w:t>计算方法：补助经费</w:t>
      </w:r>
      <w:r>
        <w:rPr>
          <w:rFonts w:hint="eastAsia" w:ascii="仿宋_GB2312" w:hAnsi="宋体" w:eastAsia="仿宋_GB2312" w:cs="宋体"/>
          <w:b/>
          <w:bCs/>
          <w:color w:val="auto"/>
          <w:kern w:val="0"/>
          <w:sz w:val="32"/>
          <w:szCs w:val="32"/>
          <w:highlight w:val="none"/>
        </w:rPr>
        <w:t>=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渔业增殖放流资金规模×（基础资源因素×40%+政策任务因素×55%+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脱贫地区因素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×5%）</w:t>
      </w:r>
    </w:p>
    <w:p>
      <w:pPr>
        <w:widowControl/>
        <w:spacing w:line="590" w:lineRule="exact"/>
        <w:ind w:firstLine="632" w:firstLineChars="200"/>
        <w:rPr>
          <w:rFonts w:ascii="宋体" w:hAnsi="宋体" w:eastAsia="宋体" w:cs="宋体"/>
          <w:color w:val="auto"/>
          <w:kern w:val="0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32"/>
          <w:szCs w:val="32"/>
          <w:highlight w:val="none"/>
        </w:rPr>
        <w:t> </w:t>
      </w:r>
    </w:p>
    <w:p>
      <w:pPr>
        <w:widowControl/>
        <w:spacing w:line="590" w:lineRule="exact"/>
        <w:ind w:firstLine="632" w:firstLineChars="200"/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——</w:t>
      </w: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</w:rPr>
        <w:t>农业废弃物资源化利用支出。</w:t>
      </w:r>
      <w:r>
        <w:rPr>
          <w:rFonts w:hint="eastAsia" w:ascii="仿宋_GB2312" w:hAnsi="宋体" w:eastAsia="仿宋_GB2312" w:cs="宋体"/>
          <w:b/>
          <w:bCs/>
          <w:color w:val="auto"/>
          <w:kern w:val="0"/>
          <w:sz w:val="32"/>
          <w:szCs w:val="32"/>
          <w:highlight w:val="none"/>
        </w:rPr>
        <w:t>约束性任务：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秸秆综合利用，根据基础资源因素（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0%）、政策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任务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因素（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0%）测算，基础资源因素包括秸秆综合利用量等，政策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任务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因素包括秸秆综合利用重点县数、重点难点地区等。地膜科学使用回收，根据推广应用面积测算。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废旧农膜回收利用，根据基础资源因素（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val="en-US" w:eastAsia="zh-CN"/>
        </w:rPr>
        <w:t>75%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）、政策任务因素（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val="en-US" w:eastAsia="zh-CN"/>
        </w:rPr>
        <w:t>25%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）测算，基础资源因素包括地膜覆盖面积、农膜使用总量等，政策任务因素包括农膜回收率、农膜回收网点数量等。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特定试点任务是按照党中央、国务院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和省委、省政府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部署确定的试点任务。绿色种养循环农业试点，按每个试点县实施定额补助。</w:t>
      </w:r>
    </w:p>
    <w:p>
      <w:pPr>
        <w:widowControl/>
        <w:spacing w:line="590" w:lineRule="exact"/>
        <w:ind w:firstLine="632" w:firstLineChars="200"/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</w:rPr>
        <w:t>计算方法：补助经费</w:t>
      </w:r>
      <w:r>
        <w:rPr>
          <w:rFonts w:hint="eastAsia" w:ascii="仿宋_GB2312" w:hAnsi="宋体" w:eastAsia="仿宋_GB2312" w:cs="宋体"/>
          <w:b/>
          <w:bCs/>
          <w:color w:val="auto"/>
          <w:kern w:val="0"/>
          <w:sz w:val="32"/>
          <w:szCs w:val="32"/>
          <w:highlight w:val="none"/>
        </w:rPr>
        <w:t>=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秸秆综合利用资金规模×（基础资源因素×</w:t>
      </w:r>
      <w:r>
        <w:rPr>
          <w:rFonts w:ascii="仿宋_GB2312" w:hAnsi="宋体" w:eastAsia="仿宋_GB2312" w:cs="宋体"/>
          <w:color w:val="auto"/>
          <w:kern w:val="0"/>
          <w:sz w:val="32"/>
          <w:szCs w:val="32"/>
          <w:highlight w:val="none"/>
        </w:rPr>
        <w:t>70%+政策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任务</w:t>
      </w:r>
      <w:r>
        <w:rPr>
          <w:rFonts w:ascii="仿宋_GB2312" w:hAnsi="宋体" w:eastAsia="仿宋_GB2312" w:cs="宋体"/>
          <w:color w:val="auto"/>
          <w:kern w:val="0"/>
          <w:sz w:val="32"/>
          <w:szCs w:val="32"/>
          <w:highlight w:val="none"/>
        </w:rPr>
        <w:t>因素×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val="en-US" w:eastAsia="zh-CN"/>
        </w:rPr>
        <w:t>3</w:t>
      </w:r>
      <w:r>
        <w:rPr>
          <w:rFonts w:ascii="仿宋_GB2312" w:hAnsi="宋体" w:eastAsia="仿宋_GB2312" w:cs="宋体"/>
          <w:color w:val="auto"/>
          <w:kern w:val="0"/>
          <w:sz w:val="32"/>
          <w:szCs w:val="32"/>
          <w:highlight w:val="none"/>
        </w:rPr>
        <w:t>0%)+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地膜科学使用回收面积×补助标准+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废旧农膜回收利用资金规模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×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（基础资源因素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×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val="en-US" w:eastAsia="zh-CN"/>
        </w:rPr>
        <w:t>75%</w:t>
      </w:r>
      <w:r>
        <w:rPr>
          <w:rFonts w:ascii="仿宋_GB2312" w:hAnsi="宋体" w:eastAsia="仿宋_GB2312" w:cs="宋体"/>
          <w:color w:val="auto"/>
          <w:kern w:val="0"/>
          <w:sz w:val="32"/>
          <w:szCs w:val="32"/>
          <w:highlight w:val="none"/>
        </w:rPr>
        <w:t>+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政策任务因素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×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val="en-US" w:eastAsia="zh-CN"/>
        </w:rPr>
        <w:t>25%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+承担特定试点任务的定额资金量+绿色种养循环农业试点县数量×定额补助金额</w:t>
      </w:r>
    </w:p>
    <w:p>
      <w:pPr>
        <w:widowControl/>
        <w:spacing w:line="590" w:lineRule="exact"/>
        <w:ind w:firstLine="632" w:firstLineChars="200"/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</w:pPr>
    </w:p>
    <w:p>
      <w:pPr>
        <w:widowControl/>
        <w:spacing w:line="590" w:lineRule="exact"/>
        <w:ind w:firstLine="632" w:firstLineChars="200"/>
        <w:rPr>
          <w:rFonts w:hint="eastAsia" w:ascii="仿宋_GB2312" w:hAnsi="宋体" w:eastAsia="仿宋_GB2312" w:cs="宋体"/>
          <w:b/>
          <w:bCs/>
          <w:color w:val="auto"/>
          <w:kern w:val="0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u w:val="none"/>
          <w:lang w:val="en-US" w:eastAsia="zh-CN"/>
        </w:rPr>
        <w:t>——农业生物多样性保护支出。</w:t>
      </w:r>
      <w:r>
        <w:rPr>
          <w:rFonts w:hint="eastAsia" w:ascii="仿宋_GB2312" w:hAnsi="宋体" w:eastAsia="仿宋_GB2312" w:cs="宋体"/>
          <w:b/>
          <w:bCs/>
          <w:color w:val="auto"/>
          <w:kern w:val="0"/>
          <w:sz w:val="32"/>
          <w:szCs w:val="32"/>
          <w:highlight w:val="none"/>
          <w:u w:val="none"/>
          <w:lang w:val="en-US" w:eastAsia="zh-CN"/>
        </w:rPr>
        <w:t>为指导性任务</w:t>
      </w:r>
      <w:r>
        <w:rPr>
          <w:rFonts w:hint="eastAsia" w:ascii="仿宋_GB2312" w:hAnsi="宋体" w:eastAsia="仿宋_GB2312" w:cs="宋体"/>
          <w:b w:val="0"/>
          <w:bCs w:val="0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，农业外来入侵物种监测与防控，根据基础资源因素（40%）、政策任务（55%）、脱贫地区（5%）等因素测算。其中基础资源因素包括入侵物种数量、发生面积、防控难易程度等；政策任务因素包括监测点数量、监测面积、防控面积、防治率等。农业野生生物保护，根据基础资源因素（</w:t>
      </w:r>
      <w:r>
        <w:rPr>
          <w:rFonts w:hint="eastAsia" w:hAnsi="宋体" w:cs="宋体"/>
          <w:b w:val="0"/>
          <w:bCs w:val="0"/>
          <w:color w:val="auto"/>
          <w:kern w:val="0"/>
          <w:sz w:val="32"/>
          <w:szCs w:val="32"/>
          <w:highlight w:val="none"/>
          <w:u w:val="none"/>
          <w:lang w:val="en-US" w:eastAsia="zh-CN"/>
        </w:rPr>
        <w:t>40</w:t>
      </w:r>
      <w:r>
        <w:rPr>
          <w:rFonts w:hint="eastAsia" w:ascii="仿宋_GB2312" w:hAnsi="宋体" w:eastAsia="仿宋_GB2312" w:cs="宋体"/>
          <w:b w:val="0"/>
          <w:bCs w:val="0"/>
          <w:color w:val="auto"/>
          <w:kern w:val="0"/>
          <w:sz w:val="32"/>
          <w:szCs w:val="32"/>
          <w:highlight w:val="none"/>
          <w:u w:val="none"/>
          <w:lang w:val="en-US" w:eastAsia="zh-CN"/>
        </w:rPr>
        <w:t>%）、政策任务（</w:t>
      </w:r>
      <w:r>
        <w:rPr>
          <w:rFonts w:hint="eastAsia" w:hAnsi="宋体" w:cs="宋体"/>
          <w:b w:val="0"/>
          <w:bCs w:val="0"/>
          <w:color w:val="auto"/>
          <w:kern w:val="0"/>
          <w:sz w:val="32"/>
          <w:szCs w:val="32"/>
          <w:highlight w:val="none"/>
          <w:u w:val="none"/>
          <w:lang w:val="en-US" w:eastAsia="zh-CN"/>
        </w:rPr>
        <w:t>5</w:t>
      </w:r>
      <w:r>
        <w:rPr>
          <w:rFonts w:hint="eastAsia" w:ascii="仿宋_GB2312" w:hAnsi="宋体" w:eastAsia="仿宋_GB2312" w:cs="宋体"/>
          <w:b w:val="0"/>
          <w:bCs w:val="0"/>
          <w:color w:val="auto"/>
          <w:kern w:val="0"/>
          <w:sz w:val="32"/>
          <w:szCs w:val="32"/>
          <w:highlight w:val="none"/>
          <w:u w:val="none"/>
          <w:lang w:val="en-US" w:eastAsia="zh-CN"/>
        </w:rPr>
        <w:t>5%）、脱贫地区（5%）等因素测算。其中基础资源因素包括农业野生生物分布面积、原生境保护区（点）数量、原生境保护区（点）面积等；政策任务因素包括农业野生生物调查监管面积、保护物种数量等。</w:t>
      </w:r>
    </w:p>
    <w:p>
      <w:pPr>
        <w:widowControl/>
        <w:spacing w:line="590" w:lineRule="exact"/>
        <w:ind w:firstLine="632" w:firstLineChars="200"/>
        <w:rPr>
          <w:rFonts w:hint="eastAsia" w:ascii="仿宋_GB2312" w:hAnsi="宋体" w:eastAsia="仿宋_GB2312" w:cs="宋体"/>
          <w:b w:val="0"/>
          <w:bCs w:val="0"/>
          <w:color w:val="FF0000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  <w:highlight w:val="none"/>
          <w:u w:val="none"/>
          <w:lang w:val="en-US" w:eastAsia="zh-CN"/>
        </w:rPr>
        <w:t>计算方法：补助经费</w:t>
      </w:r>
      <w:r>
        <w:rPr>
          <w:rFonts w:hint="eastAsia" w:ascii="仿宋_GB2312" w:hAnsi="宋体" w:eastAsia="仿宋_GB2312" w:cs="宋体"/>
          <w:b w:val="0"/>
          <w:bCs w:val="0"/>
          <w:color w:val="auto"/>
          <w:kern w:val="0"/>
          <w:sz w:val="32"/>
          <w:szCs w:val="32"/>
          <w:highlight w:val="none"/>
          <w:u w:val="none"/>
          <w:lang w:val="en-US" w:eastAsia="zh-CN"/>
        </w:rPr>
        <w:t>=农业外来入侵物种监测防控资金规模×（基础资源因素×40%+政策任务因素×55%+脱贫地区因素×5%）+农业野生生物保护资金规模×（基础资源因素×40%+政策任务因素×55%+脱贫地区因素×5%）</w:t>
      </w:r>
    </w:p>
    <w:p>
      <w:pPr>
        <w:widowControl/>
        <w:spacing w:line="590" w:lineRule="exact"/>
        <w:ind w:firstLine="632" w:firstLineChars="200"/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注：除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对农牧民直接补贴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、采取项目法管理、实行定额补助等任务资金外，其他资金测算原则上应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根据绩效评价结果等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合理设置调节系数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</w:rPr>
        <w:t>进行适当调节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highlight w:val="none"/>
          <w:lang w:eastAsia="zh-CN"/>
        </w:rPr>
        <w:t>。</w:t>
      </w:r>
    </w:p>
    <w:p>
      <w:pPr>
        <w:spacing w:line="590" w:lineRule="exact"/>
        <w:ind w:firstLine="632" w:firstLineChars="200"/>
        <w:rPr>
          <w:szCs w:val="32"/>
        </w:rPr>
      </w:pPr>
    </w:p>
    <w:p>
      <w:pPr>
        <w:spacing w:line="590" w:lineRule="exact"/>
        <w:ind w:firstLine="632" w:firstLineChars="200"/>
        <w:rPr>
          <w:rFonts w:hint="eastAsia"/>
          <w:szCs w:val="32"/>
        </w:rPr>
      </w:pPr>
    </w:p>
    <w:sectPr>
      <w:footerReference r:id="rId5" w:type="first"/>
      <w:footerReference r:id="rId3" w:type="default"/>
      <w:footerReference r:id="rId4" w:type="even"/>
      <w:pgSz w:w="11906" w:h="16838"/>
      <w:pgMar w:top="1701" w:right="1474" w:bottom="1701" w:left="1588" w:header="851" w:footer="1474" w:gutter="0"/>
      <w:pgNumType w:fmt="decimal" w:start="1"/>
      <w:cols w:space="0" w:num="1"/>
      <w:rtlGutter w:val="0"/>
      <w:docGrid w:type="linesAndChars" w:linePitch="590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left="320" w:leftChars="100" w:right="320" w:rightChars="100"/>
      <w:jc w:val="right"/>
      <w:rPr>
        <w:rFonts w:ascii="宋体" w:hAnsi="宋体" w:eastAsia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ind w:left="320" w:leftChars="100" w:right="320" w:rightChars="100"/>
                            <w:textAlignment w:val="auto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ind w:left="320" w:leftChars="100" w:right="320" w:rightChars="100"/>
                      <w:textAlignment w:val="auto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left="320" w:leftChars="100" w:right="320" w:rightChars="100"/>
      <w:rPr>
        <w:rFonts w:ascii="宋体" w:hAnsi="宋体" w:eastAsia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190500</wp:posOffset>
              </wp:positionH>
              <wp:positionV relativeFrom="paragraph">
                <wp:posOffset>-28575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5pt;margin-top:-2.25pt;height:144pt;width:144pt;mso-position-horizontal-relative:margin;mso-wrap-style:none;z-index:251659264;mso-width-relative:page;mso-height-relative:page;" filled="f" stroked="f" coordsize="21600,21600" o:gfxdata="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4774565</wp:posOffset>
              </wp:positionH>
              <wp:positionV relativeFrom="paragraph">
                <wp:posOffset>-95250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75.95pt;margin-top:-7.5pt;height:144pt;width:144pt;mso-position-horizontal-relative:margin;mso-wrap-style:none;z-index:251660288;mso-width-relative:page;mso-height-relative:page;" filled="f" stroked="f" coordsize="21600,21600" o:gfxdata="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OXO2D9cA&#10;AAAMAQAADwAAAAAAAAABACAAAAAiAAAAZHJzL2Rvd25yZXYueG1sUEsBAhQAFAAAAAgAh07iQBGq&#10;ioquAQAASwMAAA4AAAAAAAAAAQAgAAAAJgEAAGRycy9lMm9Eb2MueG1sUEsFBgAAAAAGAAYAWQEA&#10;AEY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077FBD"/>
    <w:rsid w:val="00DE22DA"/>
    <w:rsid w:val="01EF7914"/>
    <w:rsid w:val="021D6939"/>
    <w:rsid w:val="02AA1AC4"/>
    <w:rsid w:val="02E75A99"/>
    <w:rsid w:val="03100A7F"/>
    <w:rsid w:val="037F61B5"/>
    <w:rsid w:val="03A922DC"/>
    <w:rsid w:val="046F307B"/>
    <w:rsid w:val="049A410A"/>
    <w:rsid w:val="04AE7109"/>
    <w:rsid w:val="04B74CF8"/>
    <w:rsid w:val="04DC1C72"/>
    <w:rsid w:val="05420B53"/>
    <w:rsid w:val="055A5C0A"/>
    <w:rsid w:val="05937D37"/>
    <w:rsid w:val="06AE46D8"/>
    <w:rsid w:val="07001738"/>
    <w:rsid w:val="099054D8"/>
    <w:rsid w:val="0B646FBC"/>
    <w:rsid w:val="0BB854AC"/>
    <w:rsid w:val="0C6439C7"/>
    <w:rsid w:val="0CCC3A81"/>
    <w:rsid w:val="0CD212E8"/>
    <w:rsid w:val="0DDA254B"/>
    <w:rsid w:val="0E200A4D"/>
    <w:rsid w:val="0EC937B9"/>
    <w:rsid w:val="0F3F7ED0"/>
    <w:rsid w:val="0F6040F7"/>
    <w:rsid w:val="0FC63F00"/>
    <w:rsid w:val="11073924"/>
    <w:rsid w:val="12946EEC"/>
    <w:rsid w:val="12DB2C55"/>
    <w:rsid w:val="136C7020"/>
    <w:rsid w:val="149928F6"/>
    <w:rsid w:val="160F4237"/>
    <w:rsid w:val="165024D5"/>
    <w:rsid w:val="173C2635"/>
    <w:rsid w:val="18F25749"/>
    <w:rsid w:val="19A41510"/>
    <w:rsid w:val="19E10F3A"/>
    <w:rsid w:val="1AC03D6B"/>
    <w:rsid w:val="1AF44BC6"/>
    <w:rsid w:val="1B163429"/>
    <w:rsid w:val="1C893E56"/>
    <w:rsid w:val="1D520E8A"/>
    <w:rsid w:val="1DB916E9"/>
    <w:rsid w:val="1DF6328F"/>
    <w:rsid w:val="1E4148BF"/>
    <w:rsid w:val="1E55034F"/>
    <w:rsid w:val="1E6139DF"/>
    <w:rsid w:val="1F3F2343"/>
    <w:rsid w:val="20AC3385"/>
    <w:rsid w:val="21233FFD"/>
    <w:rsid w:val="21AB530B"/>
    <w:rsid w:val="228E550C"/>
    <w:rsid w:val="232447D6"/>
    <w:rsid w:val="233C1535"/>
    <w:rsid w:val="236278DD"/>
    <w:rsid w:val="244A41F5"/>
    <w:rsid w:val="248E274A"/>
    <w:rsid w:val="24BA01E4"/>
    <w:rsid w:val="24CF4751"/>
    <w:rsid w:val="252E6B33"/>
    <w:rsid w:val="256F6C7F"/>
    <w:rsid w:val="276012DF"/>
    <w:rsid w:val="2855075A"/>
    <w:rsid w:val="28BF3FAC"/>
    <w:rsid w:val="28E045E5"/>
    <w:rsid w:val="2917061A"/>
    <w:rsid w:val="2BC5286B"/>
    <w:rsid w:val="2C371925"/>
    <w:rsid w:val="2E5E5E0C"/>
    <w:rsid w:val="2F8D295A"/>
    <w:rsid w:val="322D2EE6"/>
    <w:rsid w:val="32656E5F"/>
    <w:rsid w:val="32B639B8"/>
    <w:rsid w:val="32D65099"/>
    <w:rsid w:val="33581325"/>
    <w:rsid w:val="347368D4"/>
    <w:rsid w:val="34D22F9A"/>
    <w:rsid w:val="35F15331"/>
    <w:rsid w:val="362A7FF3"/>
    <w:rsid w:val="369E3A71"/>
    <w:rsid w:val="36A131EB"/>
    <w:rsid w:val="370A0168"/>
    <w:rsid w:val="38077FBD"/>
    <w:rsid w:val="38402D71"/>
    <w:rsid w:val="390D6FCE"/>
    <w:rsid w:val="39CA02D5"/>
    <w:rsid w:val="3A4B4710"/>
    <w:rsid w:val="3A71485A"/>
    <w:rsid w:val="3A8974C3"/>
    <w:rsid w:val="3C183929"/>
    <w:rsid w:val="3CAE04B6"/>
    <w:rsid w:val="3E224D51"/>
    <w:rsid w:val="3E4B142B"/>
    <w:rsid w:val="3EBE5D10"/>
    <w:rsid w:val="3F84331A"/>
    <w:rsid w:val="3FEB5D81"/>
    <w:rsid w:val="41636372"/>
    <w:rsid w:val="41653C5F"/>
    <w:rsid w:val="41C116DB"/>
    <w:rsid w:val="421554A1"/>
    <w:rsid w:val="42661F5F"/>
    <w:rsid w:val="43283A21"/>
    <w:rsid w:val="43B70825"/>
    <w:rsid w:val="43D5438D"/>
    <w:rsid w:val="45586168"/>
    <w:rsid w:val="4615013C"/>
    <w:rsid w:val="46F5460F"/>
    <w:rsid w:val="46FD7075"/>
    <w:rsid w:val="47467749"/>
    <w:rsid w:val="495F37B4"/>
    <w:rsid w:val="49E11C27"/>
    <w:rsid w:val="4A87163B"/>
    <w:rsid w:val="4AD760BF"/>
    <w:rsid w:val="4AE752F1"/>
    <w:rsid w:val="4C4F3F12"/>
    <w:rsid w:val="4CA4502C"/>
    <w:rsid w:val="4DEB2FDA"/>
    <w:rsid w:val="4E7262EA"/>
    <w:rsid w:val="4EF8531C"/>
    <w:rsid w:val="4FA13658"/>
    <w:rsid w:val="4FEC23F2"/>
    <w:rsid w:val="50B05F44"/>
    <w:rsid w:val="50D815EA"/>
    <w:rsid w:val="5113390F"/>
    <w:rsid w:val="522D0EA4"/>
    <w:rsid w:val="52751AC8"/>
    <w:rsid w:val="52D7660A"/>
    <w:rsid w:val="53A9608B"/>
    <w:rsid w:val="5436132F"/>
    <w:rsid w:val="55026FEB"/>
    <w:rsid w:val="55D77021"/>
    <w:rsid w:val="564331FA"/>
    <w:rsid w:val="56D27982"/>
    <w:rsid w:val="56F32106"/>
    <w:rsid w:val="58863B4E"/>
    <w:rsid w:val="59C9583C"/>
    <w:rsid w:val="5A026DBC"/>
    <w:rsid w:val="5A4470E5"/>
    <w:rsid w:val="5A4B6AE2"/>
    <w:rsid w:val="5A621F23"/>
    <w:rsid w:val="5B630249"/>
    <w:rsid w:val="5B922D9F"/>
    <w:rsid w:val="5C257DA4"/>
    <w:rsid w:val="5CB24880"/>
    <w:rsid w:val="5CE20ECB"/>
    <w:rsid w:val="5D2240EC"/>
    <w:rsid w:val="610E0D77"/>
    <w:rsid w:val="6121203C"/>
    <w:rsid w:val="61B42522"/>
    <w:rsid w:val="61F1616A"/>
    <w:rsid w:val="61F80523"/>
    <w:rsid w:val="63395A5C"/>
    <w:rsid w:val="633C726B"/>
    <w:rsid w:val="635E08B2"/>
    <w:rsid w:val="63CB46C8"/>
    <w:rsid w:val="63E46578"/>
    <w:rsid w:val="63EA604A"/>
    <w:rsid w:val="64AC6B1D"/>
    <w:rsid w:val="65442CEE"/>
    <w:rsid w:val="656348B2"/>
    <w:rsid w:val="65A9614B"/>
    <w:rsid w:val="65B72D5A"/>
    <w:rsid w:val="662F47EE"/>
    <w:rsid w:val="663351F2"/>
    <w:rsid w:val="664A6304"/>
    <w:rsid w:val="66DE5057"/>
    <w:rsid w:val="6717546A"/>
    <w:rsid w:val="67804870"/>
    <w:rsid w:val="67FC477B"/>
    <w:rsid w:val="6B1159B1"/>
    <w:rsid w:val="6C0B15A5"/>
    <w:rsid w:val="6C8163DA"/>
    <w:rsid w:val="6DE12F07"/>
    <w:rsid w:val="6ED274FC"/>
    <w:rsid w:val="6F92076F"/>
    <w:rsid w:val="6FDD61B0"/>
    <w:rsid w:val="705941C8"/>
    <w:rsid w:val="714B30A7"/>
    <w:rsid w:val="71653FFA"/>
    <w:rsid w:val="71AF5914"/>
    <w:rsid w:val="722C017F"/>
    <w:rsid w:val="7355612F"/>
    <w:rsid w:val="738D4C9C"/>
    <w:rsid w:val="74484F18"/>
    <w:rsid w:val="744B7564"/>
    <w:rsid w:val="74C55315"/>
    <w:rsid w:val="751B3012"/>
    <w:rsid w:val="76EC58B4"/>
    <w:rsid w:val="79005FBC"/>
    <w:rsid w:val="7940398D"/>
    <w:rsid w:val="79670DA5"/>
    <w:rsid w:val="7A66226B"/>
    <w:rsid w:val="7C595419"/>
    <w:rsid w:val="7C5A697D"/>
    <w:rsid w:val="7CE47486"/>
    <w:rsid w:val="7E2C4E9F"/>
    <w:rsid w:val="7E497938"/>
    <w:rsid w:val="7E8454DA"/>
    <w:rsid w:val="7EDD0E55"/>
    <w:rsid w:val="7F547877"/>
    <w:rsid w:val="7FB5B140"/>
    <w:rsid w:val="7FEB2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/>
    </w:pPr>
    <w:rPr>
      <w:rFonts w:ascii="Times New Roman" w:hAnsi="Times New Roman"/>
      <w:szCs w:val="20"/>
    </w:rPr>
  </w:style>
  <w:style w:type="paragraph" w:styleId="3">
    <w:name w:val="Body Text"/>
    <w:basedOn w:val="1"/>
    <w:next w:val="4"/>
    <w:unhideWhenUsed/>
    <w:qFormat/>
    <w:uiPriority w:val="1"/>
    <w:pPr>
      <w:spacing w:before="28" w:beforeLines="0" w:afterLines="0"/>
      <w:ind w:left="108"/>
    </w:pPr>
    <w:rPr>
      <w:rFonts w:hint="eastAsia" w:ascii="仿宋_GB2312" w:hAnsi="仿宋_GB2312" w:eastAsia="仿宋_GB2312"/>
      <w:sz w:val="32"/>
    </w:rPr>
  </w:style>
  <w:style w:type="paragraph" w:customStyle="1" w:styleId="4">
    <w:name w:val="p0"/>
    <w:basedOn w:val="1"/>
    <w:qFormat/>
    <w:uiPriority w:val="0"/>
    <w:pPr>
      <w:widowControl/>
      <w:spacing w:line="240" w:lineRule="auto"/>
    </w:pPr>
    <w:rPr>
      <w:rFonts w:ascii="Times New Roman" w:hAnsi="Times New Roman" w:eastAsia="宋体" w:cs="Times New Roman"/>
      <w:kern w:val="0"/>
      <w:lang w:bidi="ar-SA"/>
    </w:r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customStyle="1" w:styleId="9">
    <w:name w:val="table of authorities1"/>
    <w:basedOn w:val="1"/>
    <w:next w:val="1"/>
    <w:qFormat/>
    <w:uiPriority w:val="0"/>
    <w:pPr>
      <w:ind w:left="200" w:leftChars="200"/>
    </w:pPr>
    <w:rPr>
      <w:rFonts w:cs="Times New Roman"/>
    </w:rPr>
  </w:style>
  <w:style w:type="paragraph" w:customStyle="1" w:styleId="10">
    <w:name w:val="列表接续 21"/>
    <w:qFormat/>
    <w:uiPriority w:val="0"/>
    <w:pPr>
      <w:widowControl w:val="0"/>
      <w:spacing w:after="120"/>
      <w:ind w:left="840" w:leftChars="40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paragraph" w:customStyle="1" w:styleId="11">
    <w:name w:val="Body Text First Indent 21"/>
    <w:basedOn w:val="12"/>
    <w:qFormat/>
    <w:uiPriority w:val="0"/>
    <w:pPr>
      <w:ind w:left="200" w:firstLine="420"/>
    </w:pPr>
    <w:rPr>
      <w:rFonts w:ascii="仿宋_GB2312" w:eastAsia="仿宋_GB2312" w:cs="仿宋_GB2312"/>
      <w:sz w:val="32"/>
      <w:szCs w:val="32"/>
    </w:rPr>
  </w:style>
  <w:style w:type="paragraph" w:customStyle="1" w:styleId="12">
    <w:name w:val="Body Text Indent1"/>
    <w:basedOn w:val="1"/>
    <w:qFormat/>
    <w:uiPriority w:val="0"/>
    <w:pPr>
      <w:ind w:left="420" w:leftChars="200"/>
    </w:pPr>
  </w:style>
  <w:style w:type="paragraph" w:customStyle="1" w:styleId="13">
    <w:name w:val="Body text|1"/>
    <w:basedOn w:val="1"/>
    <w:qFormat/>
    <w:uiPriority w:val="0"/>
    <w:pPr>
      <w:widowControl w:val="0"/>
      <w:shd w:val="clear" w:color="auto" w:fill="auto"/>
      <w:spacing w:line="480" w:lineRule="auto"/>
      <w:ind w:firstLine="400"/>
    </w:pPr>
    <w:rPr>
      <w:rFonts w:ascii="宋体" w:hAnsi="宋体" w:eastAsia="宋体" w:cs="宋体"/>
      <w:sz w:val="26"/>
      <w:szCs w:val="26"/>
      <w:u w:val="none"/>
      <w:shd w:val="clear" w:color="auto" w:fill="auto"/>
      <w:lang w:val="zh-TW" w:eastAsia="zh-TW" w:bidi="zh-TW"/>
    </w:rPr>
  </w:style>
  <w:style w:type="paragraph" w:customStyle="1" w:styleId="14">
    <w:name w:val="正文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2022-05-26T11:09:00Z</dcterms:created>
  <dc:creator>黎东</dc:creator>
  <cp:lastModifiedBy>黎东</cp:lastModifiedBy>
  <cp:lastPrinted>2022-10-14T22:04:00Z</cp:lastPrinted>
  <dcterms:modified xsi:type="dcterms:W3CDTF">2022-11-09T09:10:58Z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