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黑体"/>
          <w:color w:val="auto"/>
          <w:kern w:val="0"/>
          <w:sz w:val="32"/>
          <w:szCs w:val="32"/>
          <w:highlight w:val="none"/>
          <w:lang w:val="en-US" w:eastAsia="zh-CN"/>
        </w:rPr>
      </w:pPr>
      <w:bookmarkStart w:id="0" w:name="_GoBack"/>
      <w:bookmarkEnd w:id="0"/>
      <w:r>
        <w:rPr>
          <w:rFonts w:hint="eastAsia" w:ascii="黑体" w:hAnsi="黑体" w:eastAsia="黑体" w:cs="黑体"/>
          <w:color w:val="auto"/>
          <w:kern w:val="0"/>
          <w:sz w:val="32"/>
          <w:szCs w:val="32"/>
          <w:highlight w:val="none"/>
          <w:lang w:eastAsia="zh-CN"/>
        </w:rPr>
        <w:t>附件</w:t>
      </w:r>
      <w:r>
        <w:rPr>
          <w:rFonts w:hint="eastAsia" w:ascii="黑体" w:hAnsi="黑体" w:eastAsia="黑体" w:cs="黑体"/>
          <w:color w:val="auto"/>
          <w:kern w:val="0"/>
          <w:sz w:val="32"/>
          <w:szCs w:val="32"/>
          <w:highlight w:val="none"/>
          <w:lang w:val="en-US" w:eastAsia="zh-CN"/>
        </w:rPr>
        <w:t>6</w:t>
      </w:r>
    </w:p>
    <w:p>
      <w:pPr>
        <w:spacing w:line="600" w:lineRule="exact"/>
        <w:ind w:firstLine="0" w:firstLineChars="0"/>
        <w:rPr>
          <w:rFonts w:ascii="黑体" w:eastAsia="黑体" w:cs="Times New Roman"/>
          <w:color w:val="auto"/>
          <w:sz w:val="32"/>
          <w:szCs w:val="32"/>
        </w:rPr>
      </w:pPr>
    </w:p>
    <w:p>
      <w:pPr>
        <w:spacing w:line="60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贵州省</w:t>
      </w:r>
      <w:r>
        <w:rPr>
          <w:rFonts w:hint="eastAsia" w:ascii="方正小标宋简体" w:hAnsi="方正小标宋简体" w:eastAsia="方正小标宋简体" w:cs="方正小标宋简体"/>
          <w:b w:val="0"/>
          <w:bCs w:val="0"/>
          <w:color w:val="auto"/>
          <w:sz w:val="44"/>
          <w:szCs w:val="44"/>
        </w:rPr>
        <w:t>动物防疫等补助经费分配测算方法及</w:t>
      </w:r>
    </w:p>
    <w:p>
      <w:pPr>
        <w:spacing w:line="60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标准</w:t>
      </w:r>
    </w:p>
    <w:p>
      <w:pPr>
        <w:tabs>
          <w:tab w:val="left" w:pos="4045"/>
        </w:tabs>
        <w:spacing w:line="600" w:lineRule="exact"/>
        <w:jc w:val="center"/>
        <w:rPr>
          <w:rFonts w:hint="eastAsia" w:ascii="仿宋_GB2312" w:hAnsi="仿宋_GB2312" w:eastAsia="仿宋_GB2312" w:cs="仿宋_GB2312"/>
          <w:color w:val="272D30"/>
          <w:spacing w:val="0"/>
          <w:w w:val="100"/>
          <w:position w:val="0"/>
          <w:sz w:val="32"/>
          <w:szCs w:val="32"/>
          <w:lang w:eastAsia="zh-CN"/>
        </w:rPr>
      </w:pPr>
    </w:p>
    <w:p>
      <w:pPr>
        <w:spacing w:line="590" w:lineRule="exact"/>
        <w:ind w:left="0" w:firstLine="705"/>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b w:val="0"/>
          <w:bCs w:val="0"/>
          <w:color w:val="auto"/>
          <w:sz w:val="32"/>
          <w:szCs w:val="32"/>
        </w:rPr>
        <w:t>——强制免疫补助。</w:t>
      </w:r>
      <w:r>
        <w:rPr>
          <w:rFonts w:hint="eastAsia" w:ascii="仿宋_GB2312" w:hAnsi="仿宋_GB2312" w:eastAsia="仿宋_GB2312" w:cs="仿宋_GB2312"/>
          <w:b/>
          <w:bCs/>
          <w:color w:val="auto"/>
          <w:kern w:val="0"/>
          <w:sz w:val="32"/>
          <w:szCs w:val="32"/>
        </w:rPr>
        <w:t>为指导性任务</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bCs w:val="0"/>
          <w:color w:val="auto"/>
          <w:kern w:val="0"/>
          <w:sz w:val="32"/>
          <w:szCs w:val="32"/>
        </w:rPr>
        <w:t>强制免疫补助经费</w:t>
      </w:r>
      <w:r>
        <w:rPr>
          <w:rFonts w:hint="eastAsia" w:ascii="仿宋_GB2312" w:hAnsi="仿宋_GB2312" w:eastAsia="仿宋_GB2312" w:cs="仿宋_GB2312"/>
          <w:color w:val="auto"/>
          <w:kern w:val="0"/>
          <w:sz w:val="32"/>
          <w:szCs w:val="32"/>
        </w:rPr>
        <w:t>根据基础资源（</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%）、政策任务（</w:t>
      </w:r>
      <w:r>
        <w:rPr>
          <w:rFonts w:hint="eastAsia" w:ascii="仿宋_GB2312" w:hAnsi="仿宋_GB2312" w:eastAsia="仿宋_GB2312" w:cs="仿宋_GB2312"/>
          <w:color w:val="auto"/>
          <w:kern w:val="0"/>
          <w:sz w:val="32"/>
          <w:szCs w:val="32"/>
          <w:lang w:val="en-US" w:eastAsia="zh-CN"/>
        </w:rPr>
        <w:t>50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工作绩效</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0%）等因素测算，其中基础资源因素包括</w:t>
      </w:r>
      <w:r>
        <w:rPr>
          <w:rFonts w:hint="eastAsia" w:ascii="仿宋_GB2312" w:hAnsi="仿宋_GB2312" w:eastAsia="仿宋_GB2312" w:cs="仿宋_GB2312"/>
          <w:color w:val="auto"/>
          <w:kern w:val="0"/>
          <w:sz w:val="32"/>
          <w:szCs w:val="32"/>
          <w:lang w:val="en-US" w:eastAsia="zh-CN"/>
        </w:rPr>
        <w:t>畜禽</w:t>
      </w:r>
      <w:r>
        <w:rPr>
          <w:rFonts w:hint="eastAsia" w:ascii="仿宋_GB2312" w:hAnsi="仿宋_GB2312" w:eastAsia="仿宋_GB2312" w:cs="仿宋_GB2312"/>
          <w:color w:val="auto"/>
          <w:kern w:val="0"/>
          <w:sz w:val="32"/>
          <w:szCs w:val="32"/>
        </w:rPr>
        <w:t>养殖量等，政策任务因素包括</w:t>
      </w:r>
      <w:r>
        <w:rPr>
          <w:rFonts w:hint="eastAsia" w:ascii="仿宋_GB2312" w:hAnsi="仿宋_GB2312" w:eastAsia="仿宋_GB2312" w:cs="仿宋_GB2312"/>
          <w:color w:val="auto"/>
          <w:kern w:val="0"/>
          <w:sz w:val="32"/>
          <w:szCs w:val="32"/>
          <w:lang w:val="en-US" w:eastAsia="zh-CN"/>
        </w:rPr>
        <w:t>承担重点工作任务、“先打后补”工作</w:t>
      </w:r>
      <w:r>
        <w:rPr>
          <w:rFonts w:hint="eastAsia" w:ascii="仿宋_GB2312" w:hAnsi="仿宋_GB2312" w:eastAsia="仿宋_GB2312" w:cs="仿宋_GB2312"/>
          <w:color w:val="auto"/>
          <w:kern w:val="0"/>
          <w:sz w:val="32"/>
          <w:szCs w:val="32"/>
        </w:rPr>
        <w:t>等</w:t>
      </w:r>
      <w:r>
        <w:rPr>
          <w:rFonts w:hint="eastAsia" w:ascii="仿宋_GB2312" w:hAnsi="仿宋_GB2312" w:eastAsia="仿宋_GB2312" w:cs="仿宋_GB2312"/>
          <w:color w:val="auto"/>
          <w:kern w:val="0"/>
          <w:sz w:val="32"/>
          <w:szCs w:val="32"/>
          <w:lang w:eastAsia="zh-CN"/>
        </w:rPr>
        <w:t>，工作</w:t>
      </w:r>
      <w:r>
        <w:rPr>
          <w:rFonts w:hint="eastAsia" w:ascii="仿宋_GB2312" w:hAnsi="仿宋_GB2312" w:eastAsia="仿宋_GB2312" w:cs="仿宋_GB2312"/>
          <w:color w:val="auto"/>
          <w:kern w:val="0"/>
          <w:sz w:val="32"/>
          <w:szCs w:val="32"/>
          <w:lang w:val="en-US" w:eastAsia="zh-CN"/>
        </w:rPr>
        <w:t>绩效因素包括</w:t>
      </w:r>
      <w:r>
        <w:rPr>
          <w:rFonts w:hint="eastAsia" w:ascii="仿宋_GB2312" w:hAnsi="仿宋_GB2312" w:eastAsia="仿宋_GB2312" w:cs="仿宋_GB2312"/>
          <w:color w:val="auto"/>
          <w:sz w:val="32"/>
          <w:szCs w:val="32"/>
          <w:lang w:eastAsia="zh-CN"/>
        </w:rPr>
        <w:t>资金执行率、工作绩效评价结果等；</w:t>
      </w:r>
      <w:r>
        <w:rPr>
          <w:rFonts w:hint="eastAsia" w:ascii="仿宋_GB2312" w:hAnsi="仿宋_GB2312" w:eastAsia="仿宋_GB2312" w:cs="仿宋_GB2312"/>
          <w:color w:val="auto"/>
          <w:kern w:val="0"/>
          <w:sz w:val="32"/>
          <w:szCs w:val="32"/>
          <w:lang w:val="en-US" w:eastAsia="zh-CN"/>
        </w:rPr>
        <w:t>强制免疫疫苗集中采购补助经费根据各地强制免疫疫苗需求量测算。</w:t>
      </w:r>
    </w:p>
    <w:p>
      <w:pPr>
        <w:spacing w:line="590" w:lineRule="exact"/>
        <w:ind w:firstLine="705"/>
        <w:rPr>
          <w:rFonts w:hint="eastAsia" w:ascii="仿宋_GB2312" w:hAnsi="仿宋_GB2312" w:eastAsia="仿宋_GB2312" w:cs="仿宋_GB2312"/>
          <w:b/>
          <w:bCs/>
          <w:color w:val="auto"/>
          <w:kern w:val="0"/>
          <w:sz w:val="32"/>
          <w:szCs w:val="32"/>
          <w:lang w:val="en-US" w:eastAsia="zh-CN"/>
        </w:rPr>
      </w:pPr>
      <w:r>
        <w:rPr>
          <w:rFonts w:hint="eastAsia" w:ascii="黑体" w:hAnsi="黑体" w:eastAsia="黑体" w:cs="黑体"/>
          <w:b w:val="0"/>
          <w:bCs w:val="0"/>
          <w:color w:val="auto"/>
          <w:kern w:val="0"/>
          <w:sz w:val="32"/>
          <w:szCs w:val="32"/>
        </w:rPr>
        <w:t>计算方法：</w:t>
      </w:r>
      <w:r>
        <w:rPr>
          <w:rFonts w:hint="eastAsia" w:ascii="黑体" w:hAnsi="黑体" w:eastAsia="黑体" w:cs="黑体"/>
          <w:b w:val="0"/>
          <w:bCs w:val="0"/>
          <w:color w:val="auto"/>
          <w:sz w:val="32"/>
          <w:szCs w:val="32"/>
        </w:rPr>
        <w:t>强制免疫</w:t>
      </w:r>
      <w:r>
        <w:rPr>
          <w:rFonts w:hint="eastAsia" w:ascii="黑体" w:hAnsi="黑体" w:eastAsia="黑体" w:cs="黑体"/>
          <w:b w:val="0"/>
          <w:bCs w:val="0"/>
          <w:color w:val="auto"/>
          <w:kern w:val="0"/>
          <w:sz w:val="32"/>
          <w:szCs w:val="32"/>
        </w:rPr>
        <w:t>补助经费</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强制免疫补助资金</w:t>
      </w:r>
      <w:r>
        <w:rPr>
          <w:rFonts w:hint="eastAsia" w:ascii="仿宋_GB2312" w:hAnsi="仿宋_GB2312" w:eastAsia="仿宋_GB2312" w:cs="仿宋_GB2312"/>
          <w:color w:val="auto"/>
          <w:kern w:val="0"/>
          <w:sz w:val="32"/>
          <w:szCs w:val="32"/>
        </w:rPr>
        <w:t>规模×（基础资源因素×</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%+政策任务因素×</w:t>
      </w:r>
      <w:r>
        <w:rPr>
          <w:rFonts w:hint="eastAsia" w:ascii="仿宋_GB2312" w:hAnsi="仿宋_GB2312" w:eastAsia="仿宋_GB2312" w:cs="仿宋_GB2312"/>
          <w:color w:val="auto"/>
          <w:kern w:val="0"/>
          <w:sz w:val="32"/>
          <w:szCs w:val="32"/>
          <w:lang w:val="en-US" w:eastAsia="zh-CN"/>
        </w:rPr>
        <w:t>50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工作</w:t>
      </w:r>
      <w:r>
        <w:rPr>
          <w:rFonts w:hint="eastAsia" w:ascii="仿宋_GB2312" w:hAnsi="仿宋_GB2312" w:eastAsia="仿宋_GB2312" w:cs="仿宋_GB2312"/>
          <w:color w:val="auto"/>
          <w:kern w:val="0"/>
          <w:sz w:val="32"/>
          <w:szCs w:val="32"/>
        </w:rPr>
        <w:t>绩效×</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0%）</w:t>
      </w:r>
    </w:p>
    <w:p>
      <w:pPr>
        <w:spacing w:line="590" w:lineRule="exact"/>
        <w:ind w:firstLine="705"/>
        <w:rPr>
          <w:rFonts w:hint="eastAsia" w:ascii="仿宋_GB2312" w:hAnsi="仿宋_GB2312" w:eastAsia="仿宋_GB2312" w:cs="仿宋_GB2312"/>
          <w:color w:val="auto"/>
          <w:kern w:val="0"/>
          <w:sz w:val="32"/>
          <w:szCs w:val="32"/>
          <w:lang w:eastAsia="zh-CN"/>
        </w:rPr>
      </w:pPr>
      <w:r>
        <w:rPr>
          <w:rFonts w:hint="eastAsia" w:ascii="黑体" w:hAnsi="黑体" w:eastAsia="黑体" w:cs="黑体"/>
          <w:b w:val="0"/>
          <w:bCs w:val="0"/>
          <w:color w:val="auto"/>
          <w:kern w:val="0"/>
          <w:sz w:val="32"/>
          <w:szCs w:val="32"/>
          <w:lang w:val="en-US" w:eastAsia="zh-CN"/>
        </w:rPr>
        <w:t>强制免疫疫苗集中采购</w:t>
      </w:r>
      <w:r>
        <w:rPr>
          <w:rFonts w:hint="eastAsia" w:ascii="黑体" w:hAnsi="黑体" w:eastAsia="黑体" w:cs="黑体"/>
          <w:b w:val="0"/>
          <w:bCs w:val="0"/>
          <w:color w:val="auto"/>
          <w:kern w:val="0"/>
          <w:sz w:val="32"/>
          <w:szCs w:val="32"/>
        </w:rPr>
        <w:t>补助经费</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各地某类强制免疫疫苗需求量</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上一年该类疫苗省级招标采购中标价</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各级配套系数</w:t>
      </w:r>
    </w:p>
    <w:p>
      <w:pPr>
        <w:keepNext w:val="0"/>
        <w:keepLines w:val="0"/>
        <w:widowControl/>
        <w:suppressLineNumbers w:val="0"/>
        <w:spacing w:line="590" w:lineRule="exact"/>
        <w:ind w:left="0" w:firstLine="1264" w:firstLineChars="400"/>
        <w:rPr>
          <w:rFonts w:hint="eastAsia" w:ascii="仿宋_GB2312" w:hAnsi="仿宋_GB2312" w:eastAsia="仿宋_GB2312" w:cs="仿宋_GB2312"/>
          <w:b/>
          <w:bCs/>
          <w:color w:val="auto"/>
          <w:kern w:val="2"/>
          <w:sz w:val="32"/>
          <w:szCs w:val="32"/>
          <w:lang w:val="en-US" w:eastAsia="zh-CN" w:bidi="ar-SA"/>
        </w:rPr>
      </w:pPr>
    </w:p>
    <w:p>
      <w:pPr>
        <w:keepNext w:val="0"/>
        <w:keepLines w:val="0"/>
        <w:widowControl/>
        <w:suppressLineNumbers w:val="0"/>
        <w:spacing w:line="590" w:lineRule="exact"/>
        <w:ind w:left="0" w:firstLine="632" w:firstLineChars="200"/>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b w:val="0"/>
          <w:bCs w:val="0"/>
          <w:color w:val="auto"/>
          <w:kern w:val="2"/>
          <w:sz w:val="32"/>
          <w:szCs w:val="32"/>
          <w:lang w:val="en-US" w:eastAsia="zh-CN" w:bidi="ar-SA"/>
        </w:rPr>
        <w:t>——强制扑杀和销毁补助。</w:t>
      </w:r>
      <w:r>
        <w:rPr>
          <w:rFonts w:hint="eastAsia" w:ascii="仿宋_GB2312" w:hAnsi="仿宋_GB2312" w:eastAsia="仿宋_GB2312" w:cs="仿宋_GB2312"/>
          <w:b/>
          <w:bCs/>
          <w:color w:val="auto"/>
          <w:kern w:val="0"/>
          <w:sz w:val="32"/>
          <w:szCs w:val="32"/>
          <w:lang w:val="en-US" w:eastAsia="zh-CN" w:bidi="ar-SA"/>
        </w:rPr>
        <w:t>为约束性任务。</w:t>
      </w:r>
      <w:r>
        <w:rPr>
          <w:rFonts w:hint="eastAsia" w:ascii="仿宋_GB2312" w:hAnsi="仿宋_GB2312" w:eastAsia="仿宋_GB2312" w:cs="仿宋_GB2312"/>
          <w:color w:val="auto"/>
          <w:kern w:val="0"/>
          <w:sz w:val="32"/>
          <w:szCs w:val="32"/>
          <w:lang w:val="en-US" w:eastAsia="zh-CN" w:bidi="ar-SA"/>
        </w:rPr>
        <w:t>根据强制扑杀畜禽数量、单个畜禽扑杀补助标准、销毁的动物产品和相关物品的实际重量、单种动物产品和物品销毁补助标准、地区补助系数测算，其中扑杀和销毁补助标准、地区补助系数按照有关规定执行。</w:t>
      </w:r>
    </w:p>
    <w:p>
      <w:pPr>
        <w:keepNext w:val="0"/>
        <w:keepLines w:val="0"/>
        <w:widowControl/>
        <w:suppressLineNumbers w:val="0"/>
        <w:spacing w:line="590" w:lineRule="exact"/>
        <w:ind w:left="0" w:firstLine="632" w:firstLineChars="200"/>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计算方法：补助经费</w:t>
      </w:r>
      <w:r>
        <w:rPr>
          <w:rFonts w:hint="eastAsia" w:ascii="仿宋_GB2312" w:hAnsi="仿宋_GB2312" w:eastAsia="仿宋_GB2312" w:cs="仿宋_GB2312"/>
          <w:color w:val="auto"/>
          <w:kern w:val="0"/>
          <w:sz w:val="32"/>
          <w:szCs w:val="32"/>
          <w:lang w:val="en-US" w:eastAsia="zh-CN" w:bidi="ar-SA"/>
        </w:rPr>
        <w:t>=∑强制扑杀某类畜禽数量×单个畜禽扑杀补助标准×</w:t>
      </w:r>
      <w:r>
        <w:rPr>
          <w:rFonts w:hint="eastAsia" w:ascii="仿宋_GB2312" w:hAnsi="仿宋_GB2312" w:eastAsia="仿宋_GB2312" w:cs="仿宋_GB2312"/>
          <w:color w:val="auto"/>
          <w:kern w:val="0"/>
          <w:sz w:val="32"/>
          <w:szCs w:val="32"/>
          <w:lang w:eastAsia="zh-CN"/>
        </w:rPr>
        <w:t>各级配套系数</w:t>
      </w:r>
      <w:r>
        <w:rPr>
          <w:rFonts w:hint="eastAsia" w:ascii="仿宋_GB2312" w:hAnsi="仿宋_GB2312" w:eastAsia="仿宋_GB2312" w:cs="仿宋_GB2312"/>
          <w:color w:val="auto"/>
          <w:kern w:val="0"/>
          <w:sz w:val="32"/>
          <w:szCs w:val="32"/>
          <w:lang w:val="en-US" w:eastAsia="zh-CN" w:bidi="ar-SA"/>
        </w:rPr>
        <w:t>+∑销毁某种动物产品重量×单种产品销毁补助标准×</w:t>
      </w:r>
      <w:r>
        <w:rPr>
          <w:rFonts w:hint="eastAsia" w:ascii="仿宋_GB2312" w:hAnsi="仿宋_GB2312" w:eastAsia="仿宋_GB2312" w:cs="仿宋_GB2312"/>
          <w:color w:val="auto"/>
          <w:kern w:val="0"/>
          <w:sz w:val="32"/>
          <w:szCs w:val="32"/>
          <w:lang w:eastAsia="zh-CN"/>
        </w:rPr>
        <w:t>各级配套系数</w:t>
      </w:r>
      <w:r>
        <w:rPr>
          <w:rFonts w:hint="eastAsia" w:ascii="仿宋_GB2312" w:hAnsi="仿宋_GB2312" w:eastAsia="仿宋_GB2312" w:cs="仿宋_GB2312"/>
          <w:color w:val="auto"/>
          <w:kern w:val="0"/>
          <w:sz w:val="32"/>
          <w:szCs w:val="32"/>
          <w:lang w:val="en-US" w:eastAsia="zh-CN" w:bidi="ar-SA"/>
        </w:rPr>
        <w:t>+∑销毁某种相关物品重量×单种物品销毁补助标准×</w:t>
      </w:r>
      <w:r>
        <w:rPr>
          <w:rFonts w:hint="eastAsia" w:ascii="仿宋_GB2312" w:hAnsi="仿宋_GB2312" w:eastAsia="仿宋_GB2312" w:cs="仿宋_GB2312"/>
          <w:color w:val="auto"/>
          <w:kern w:val="0"/>
          <w:sz w:val="32"/>
          <w:szCs w:val="32"/>
          <w:lang w:eastAsia="zh-CN"/>
        </w:rPr>
        <w:t>各级配套系数</w:t>
      </w:r>
    </w:p>
    <w:p>
      <w:pPr>
        <w:spacing w:line="590" w:lineRule="exact"/>
        <w:ind w:firstLine="705"/>
        <w:rPr>
          <w:rFonts w:hint="eastAsia" w:ascii="仿宋_GB2312" w:hAnsi="仿宋_GB2312" w:eastAsia="仿宋_GB2312" w:cs="仿宋_GB2312"/>
          <w:color w:val="auto"/>
          <w:sz w:val="32"/>
          <w:szCs w:val="32"/>
        </w:rPr>
      </w:pPr>
    </w:p>
    <w:p>
      <w:pPr>
        <w:spacing w:line="590" w:lineRule="exact"/>
        <w:ind w:firstLine="705"/>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b w:val="0"/>
          <w:bCs w:val="0"/>
          <w:color w:val="auto"/>
          <w:sz w:val="32"/>
          <w:szCs w:val="32"/>
        </w:rPr>
        <w:t>——养殖环节无害化处理补助。</w:t>
      </w:r>
      <w:r>
        <w:rPr>
          <w:rFonts w:hint="eastAsia" w:ascii="仿宋_GB2312" w:hAnsi="仿宋_GB2312" w:eastAsia="仿宋_GB2312" w:cs="仿宋_GB2312"/>
          <w:b/>
          <w:bCs/>
          <w:color w:val="auto"/>
          <w:kern w:val="0"/>
          <w:sz w:val="32"/>
          <w:szCs w:val="32"/>
        </w:rPr>
        <w:t>为指导性任务。</w:t>
      </w:r>
      <w:r>
        <w:rPr>
          <w:rFonts w:hint="eastAsia" w:ascii="仿宋_GB2312" w:hAnsi="仿宋_GB2312" w:eastAsia="仿宋_GB2312" w:cs="仿宋_GB2312"/>
          <w:color w:val="auto"/>
          <w:kern w:val="0"/>
          <w:sz w:val="32"/>
          <w:szCs w:val="32"/>
        </w:rPr>
        <w:t>根据</w:t>
      </w:r>
      <w:r>
        <w:rPr>
          <w:rFonts w:hint="eastAsia" w:ascii="仿宋_GB2312" w:hAnsi="仿宋_GB2312" w:eastAsia="仿宋_GB2312" w:cs="仿宋_GB2312"/>
          <w:color w:val="auto"/>
          <w:kern w:val="0"/>
          <w:sz w:val="32"/>
          <w:szCs w:val="32"/>
          <w:lang w:val="en-US" w:eastAsia="zh-CN"/>
        </w:rPr>
        <w:t>病死猪</w:t>
      </w:r>
      <w:r>
        <w:rPr>
          <w:rFonts w:hint="eastAsia" w:ascii="仿宋_GB2312" w:hAnsi="仿宋_GB2312" w:eastAsia="仿宋_GB2312" w:cs="仿宋_GB2312"/>
          <w:color w:val="auto"/>
          <w:kern w:val="0"/>
          <w:sz w:val="32"/>
          <w:szCs w:val="32"/>
        </w:rPr>
        <w:t>无害化处理量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病死猪无害化处理补助标准测算，其中每头病死猪无害化处理补助地方配套部分由省、市、县三级财政分别补助8元、6元、6元。</w:t>
      </w:r>
    </w:p>
    <w:p>
      <w:pPr>
        <w:spacing w:line="590" w:lineRule="exact"/>
        <w:ind w:firstLine="705"/>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rPr>
        <w:t>计算方法：补助经费</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kern w:val="0"/>
          <w:sz w:val="32"/>
          <w:szCs w:val="32"/>
          <w:lang w:val="en-US" w:eastAsia="zh-CN"/>
        </w:rPr>
        <w:t>病死猪</w:t>
      </w:r>
      <w:r>
        <w:rPr>
          <w:rFonts w:hint="eastAsia" w:ascii="仿宋_GB2312" w:hAnsi="仿宋_GB2312" w:eastAsia="仿宋_GB2312" w:cs="仿宋_GB2312"/>
          <w:color w:val="auto"/>
          <w:kern w:val="0"/>
          <w:sz w:val="32"/>
          <w:szCs w:val="32"/>
        </w:rPr>
        <w:t>无害化处理量×</w:t>
      </w:r>
      <w:r>
        <w:rPr>
          <w:rFonts w:hint="eastAsia" w:ascii="仿宋_GB2312" w:hAnsi="仿宋_GB2312" w:eastAsia="仿宋_GB2312" w:cs="仿宋_GB2312"/>
          <w:color w:val="auto"/>
          <w:kern w:val="0"/>
          <w:sz w:val="32"/>
          <w:szCs w:val="32"/>
          <w:lang w:val="en-US" w:eastAsia="zh-CN"/>
        </w:rPr>
        <w:t>病死猪无害化处理补助标准</w:t>
      </w:r>
    </w:p>
    <w:p>
      <w:pPr>
        <w:spacing w:line="590" w:lineRule="exact"/>
        <w:ind w:firstLine="0"/>
        <w:rPr>
          <w:rFonts w:hint="eastAsia" w:ascii="仿宋_GB2312" w:hAnsi="仿宋_GB2312" w:eastAsia="仿宋_GB2312" w:cs="仿宋_GB2312"/>
          <w:b w:val="0"/>
          <w:i w:val="0"/>
          <w:caps w:val="0"/>
          <w:smallCaps w:val="0"/>
          <w:color w:val="auto"/>
          <w:spacing w:val="0"/>
          <w:sz w:val="32"/>
          <w:szCs w:val="32"/>
          <w:shd w:val="clear" w:color="080000" w:fill="FFFFFF"/>
          <w:lang w:eastAsia="zh-CN"/>
        </w:rPr>
      </w:pPr>
      <w:r>
        <w:rPr>
          <w:rFonts w:hint="eastAsia" w:hAnsi="仿宋_GB2312" w:cs="仿宋_GB2312"/>
          <w:color w:val="auto"/>
          <w:kern w:val="0"/>
          <w:sz w:val="32"/>
          <w:szCs w:val="32"/>
          <w:lang w:val="en-US" w:eastAsia="zh-CN"/>
        </w:rPr>
        <w:t xml:space="preserve">    </w:t>
      </w:r>
      <w:r>
        <w:rPr>
          <w:rFonts w:hint="eastAsia" w:ascii="仿宋_GB2312" w:hAnsi="仿宋_GB2312" w:eastAsia="仿宋_GB2312" w:cs="仿宋_GB2312"/>
          <w:b w:val="0"/>
          <w:i w:val="0"/>
          <w:caps w:val="0"/>
          <w:smallCaps w:val="0"/>
          <w:color w:val="auto"/>
          <w:spacing w:val="0"/>
          <w:sz w:val="32"/>
          <w:szCs w:val="32"/>
          <w:shd w:val="clear" w:color="080000" w:fill="FFFFFF"/>
          <w:lang w:eastAsia="zh-CN"/>
        </w:rPr>
        <w:t>注：</w:t>
      </w:r>
    </w:p>
    <w:p>
      <w:pPr>
        <w:spacing w:line="590" w:lineRule="exact"/>
        <w:ind w:firstLine="705"/>
        <w:rPr>
          <w:rFonts w:hint="eastAsia" w:ascii="仿宋_GB2312" w:hAnsi="仿宋_GB2312" w:eastAsia="仿宋_GB2312" w:cs="仿宋_GB2312"/>
          <w:b w:val="0"/>
          <w:i w:val="0"/>
          <w:caps w:val="0"/>
          <w:smallCaps w:val="0"/>
          <w:color w:val="auto"/>
          <w:spacing w:val="0"/>
          <w:sz w:val="32"/>
          <w:szCs w:val="32"/>
          <w:shd w:val="clear" w:color="080000" w:fill="FFFFFF"/>
          <w:lang w:val="en-US" w:eastAsia="zh-CN"/>
        </w:rPr>
      </w:pPr>
      <w:r>
        <w:rPr>
          <w:rFonts w:hint="eastAsia" w:ascii="仿宋_GB2312" w:hAnsi="仿宋_GB2312" w:eastAsia="仿宋_GB2312" w:cs="仿宋_GB2312"/>
          <w:b w:val="0"/>
          <w:i w:val="0"/>
          <w:caps w:val="0"/>
          <w:smallCaps w:val="0"/>
          <w:color w:val="auto"/>
          <w:spacing w:val="0"/>
          <w:sz w:val="32"/>
          <w:szCs w:val="32"/>
          <w:shd w:val="clear" w:color="080000" w:fill="FFFFFF"/>
          <w:lang w:val="en-US" w:eastAsia="zh-CN"/>
        </w:rPr>
        <w:t>1.</w:t>
      </w:r>
      <w:r>
        <w:rPr>
          <w:rFonts w:hint="eastAsia" w:ascii="仿宋_GB2312" w:hAnsi="仿宋_GB2312" w:eastAsia="仿宋_GB2312" w:cs="仿宋_GB2312"/>
          <w:color w:val="auto"/>
          <w:kern w:val="0"/>
          <w:sz w:val="32"/>
          <w:szCs w:val="32"/>
          <w:lang w:eastAsia="zh-CN"/>
        </w:rPr>
        <w:t>各级配套系数</w:t>
      </w:r>
      <w:r>
        <w:rPr>
          <w:rFonts w:hint="eastAsia" w:ascii="仿宋_GB2312" w:hAnsi="仿宋_GB2312" w:eastAsia="仿宋_GB2312" w:cs="仿宋_GB2312"/>
          <w:color w:val="auto"/>
          <w:kern w:val="0"/>
          <w:sz w:val="32"/>
          <w:szCs w:val="32"/>
          <w:lang w:val="en-US" w:eastAsia="zh-CN"/>
        </w:rPr>
        <w:t>是指</w:t>
      </w:r>
      <w:r>
        <w:rPr>
          <w:rFonts w:hint="eastAsia" w:ascii="仿宋_GB2312" w:hAnsi="仿宋_GB2312" w:eastAsia="仿宋_GB2312" w:cs="仿宋_GB2312"/>
          <w:color w:val="auto"/>
          <w:kern w:val="0"/>
          <w:sz w:val="32"/>
          <w:szCs w:val="32"/>
        </w:rPr>
        <w:t>动物防疫等补助经费</w:t>
      </w:r>
      <w:r>
        <w:rPr>
          <w:rFonts w:hint="eastAsia" w:ascii="仿宋_GB2312" w:hAnsi="仿宋_GB2312" w:eastAsia="仿宋_GB2312" w:cs="仿宋_GB2312"/>
          <w:b w:val="0"/>
          <w:i w:val="0"/>
          <w:caps w:val="0"/>
          <w:smallCaps w:val="0"/>
          <w:color w:val="auto"/>
          <w:spacing w:val="0"/>
          <w:sz w:val="32"/>
          <w:szCs w:val="32"/>
          <w:shd w:val="clear" w:color="080000" w:fill="FFFFFF"/>
          <w:lang w:val="en-US" w:eastAsia="zh-CN"/>
        </w:rPr>
        <w:t>地方配套部分由省、市、县三级按4：3：3比例进行配套。</w:t>
      </w:r>
    </w:p>
    <w:p>
      <w:pPr>
        <w:keepNext w:val="0"/>
        <w:keepLines w:val="0"/>
        <w:widowControl/>
        <w:suppressLineNumbers w:val="0"/>
        <w:spacing w:line="590" w:lineRule="exact"/>
        <w:ind w:firstLine="632" w:firstLineChars="200"/>
        <w:jc w:val="left"/>
        <w:rPr>
          <w:rFonts w:hint="eastAsia" w:ascii="仿宋_GB2312" w:hAnsi="仿宋_GB2312" w:eastAsia="仿宋_GB2312" w:cs="仿宋_GB2312"/>
          <w:color w:val="auto"/>
          <w:sz w:val="32"/>
          <w:szCs w:val="32"/>
          <w:shd w:val="clear" w:color="080000" w:fill="FFFFFF"/>
        </w:rPr>
      </w:pPr>
      <w:r>
        <w:rPr>
          <w:rFonts w:hint="eastAsia" w:ascii="仿宋_GB2312" w:hAnsi="仿宋_GB2312" w:eastAsia="仿宋_GB2312" w:cs="仿宋_GB2312"/>
          <w:b w:val="0"/>
          <w:i w:val="0"/>
          <w:caps w:val="0"/>
          <w:smallCaps w:val="0"/>
          <w:color w:val="auto"/>
          <w:spacing w:val="0"/>
          <w:sz w:val="32"/>
          <w:szCs w:val="32"/>
          <w:shd w:val="clear" w:color="080000" w:fill="FFFFFF"/>
          <w:lang w:val="en-US"/>
        </w:rPr>
        <w:t>2.</w:t>
      </w:r>
      <w:r>
        <w:rPr>
          <w:rFonts w:hint="eastAsia" w:ascii="仿宋_GB2312" w:hAnsi="仿宋_GB2312" w:eastAsia="仿宋_GB2312" w:cs="仿宋_GB2312"/>
          <w:i w:val="0"/>
          <w:caps w:val="0"/>
          <w:smallCaps w:val="0"/>
          <w:color w:val="auto"/>
          <w:spacing w:val="0"/>
          <w:kern w:val="2"/>
          <w:sz w:val="32"/>
          <w:szCs w:val="32"/>
          <w:shd w:val="clear" w:color="080000" w:fill="FFFFFF"/>
          <w:lang w:val="en-US" w:eastAsia="zh-CN"/>
        </w:rPr>
        <w:t>除强制扑杀和销毁补助资金外，其他资金测算原则上应根据绩效评价结果等合理设置调节系数进行适当调节。</w:t>
      </w:r>
    </w:p>
    <w:p>
      <w:pPr>
        <w:spacing w:line="590" w:lineRule="exact"/>
        <w:ind w:firstLine="632" w:firstLineChars="200"/>
        <w:rPr>
          <w:rFonts w:hint="eastAsia"/>
          <w:szCs w:val="32"/>
        </w:rPr>
      </w:pPr>
    </w:p>
    <w:sectPr>
      <w:footerReference r:id="rId5" w:type="first"/>
      <w:footerReference r:id="rId3" w:type="default"/>
      <w:footerReference r:id="rId4" w:type="even"/>
      <w:pgSz w:w="11906" w:h="16838"/>
      <w:pgMar w:top="1701" w:right="1474" w:bottom="1701" w:left="1588" w:header="851" w:footer="1474" w:gutter="0"/>
      <w:pgNumType w:fmt="decimal" w:start="1"/>
      <w:cols w:space="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right"/>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-28575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5pt;margin-top:-2.25pt;height:144pt;width:144pt;mso-position-horizontal-relative:margin;mso-wrap-style:none;z-index:251659264;mso-width-relative:page;mso-height-relative:page;" filled="f" stroked="f" coordsize="21600,21600" o:gfxdata="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1ydN1gAA&#10;AAkBAAAPAAAAAAAAAAEAIAAAACIAAABkcnMvZG93bnJldi54bWxQSwECFAAUAAAACACHTuJA4cw9&#10;va4BAABLAwAADgAAAAAAAAABACAAAAAlAQAAZHJzL2Uyb0RvYy54bWxQSwUGAAAAAAYABgBZAQAA&#10;RQ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4774565</wp:posOffset>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75.95pt;margin-top:-7.5pt;height:144pt;width:144pt;mso-position-horizontal-relative:margin;mso-wrap-style:none;z-index:251660288;mso-width-relative:page;mso-height-relative:page;" filled="f" stroked="f" coordsize="21600,21600" o:gfxdata="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XO2D9cA&#10;AAAMAQAADwAAAAAAAAABACAAAAAiAAAAZHJzL2Rvd25yZXYueG1sUEsBAhQAFAAAAAgAh07iQBGq&#10;ioquAQAASwMAAA4AAAAAAAAAAQAgAAAAJgEAAGRycy9lMm9Eb2MueG1sUEsFBgAAAAAGAAYAWQEA&#10;AEY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77FBD"/>
    <w:rsid w:val="00A6346B"/>
    <w:rsid w:val="00DE22DA"/>
    <w:rsid w:val="01EF7914"/>
    <w:rsid w:val="021D6939"/>
    <w:rsid w:val="02AA1AC4"/>
    <w:rsid w:val="02E75A99"/>
    <w:rsid w:val="03100A7F"/>
    <w:rsid w:val="037F61B5"/>
    <w:rsid w:val="03A922DC"/>
    <w:rsid w:val="046F307B"/>
    <w:rsid w:val="049A410A"/>
    <w:rsid w:val="04AE7109"/>
    <w:rsid w:val="04B74CF8"/>
    <w:rsid w:val="04DC1C72"/>
    <w:rsid w:val="05420B53"/>
    <w:rsid w:val="055A5C0A"/>
    <w:rsid w:val="05937D37"/>
    <w:rsid w:val="06AE46D8"/>
    <w:rsid w:val="07001738"/>
    <w:rsid w:val="099054D8"/>
    <w:rsid w:val="0B646FBC"/>
    <w:rsid w:val="0BB854AC"/>
    <w:rsid w:val="0C6439C7"/>
    <w:rsid w:val="0CCC3A81"/>
    <w:rsid w:val="0CD212E8"/>
    <w:rsid w:val="0DDA254B"/>
    <w:rsid w:val="0E200A4D"/>
    <w:rsid w:val="0EC937B9"/>
    <w:rsid w:val="0F3F7ED0"/>
    <w:rsid w:val="0F6040F7"/>
    <w:rsid w:val="0FC63F00"/>
    <w:rsid w:val="11073924"/>
    <w:rsid w:val="12946EEC"/>
    <w:rsid w:val="12DB2C55"/>
    <w:rsid w:val="136C7020"/>
    <w:rsid w:val="149928F6"/>
    <w:rsid w:val="160F4237"/>
    <w:rsid w:val="165024D5"/>
    <w:rsid w:val="173C2635"/>
    <w:rsid w:val="18F25749"/>
    <w:rsid w:val="19A41510"/>
    <w:rsid w:val="19E10F3A"/>
    <w:rsid w:val="1AC03D6B"/>
    <w:rsid w:val="1AF44BC6"/>
    <w:rsid w:val="1B163429"/>
    <w:rsid w:val="1C893E56"/>
    <w:rsid w:val="1D520E8A"/>
    <w:rsid w:val="1DB916E9"/>
    <w:rsid w:val="1DF6328F"/>
    <w:rsid w:val="1E4148BF"/>
    <w:rsid w:val="1E55034F"/>
    <w:rsid w:val="1E6139DF"/>
    <w:rsid w:val="1F3F2343"/>
    <w:rsid w:val="20AC3385"/>
    <w:rsid w:val="21233FFD"/>
    <w:rsid w:val="21AB530B"/>
    <w:rsid w:val="228E550C"/>
    <w:rsid w:val="232447D6"/>
    <w:rsid w:val="233C1535"/>
    <w:rsid w:val="236278DD"/>
    <w:rsid w:val="244A41F5"/>
    <w:rsid w:val="248E274A"/>
    <w:rsid w:val="24BA01E4"/>
    <w:rsid w:val="24CF4751"/>
    <w:rsid w:val="252E6B33"/>
    <w:rsid w:val="256F6C7F"/>
    <w:rsid w:val="274F667F"/>
    <w:rsid w:val="276012DF"/>
    <w:rsid w:val="2855075A"/>
    <w:rsid w:val="28BF3FAC"/>
    <w:rsid w:val="28E045E5"/>
    <w:rsid w:val="2917061A"/>
    <w:rsid w:val="2BC5286B"/>
    <w:rsid w:val="2C371925"/>
    <w:rsid w:val="2E5E5E0C"/>
    <w:rsid w:val="2F8D295A"/>
    <w:rsid w:val="322D2EE6"/>
    <w:rsid w:val="32656E5F"/>
    <w:rsid w:val="32B639B8"/>
    <w:rsid w:val="32D65099"/>
    <w:rsid w:val="33581325"/>
    <w:rsid w:val="347368D4"/>
    <w:rsid w:val="34D22F9A"/>
    <w:rsid w:val="35F15331"/>
    <w:rsid w:val="362A7FF3"/>
    <w:rsid w:val="369E3A71"/>
    <w:rsid w:val="36A131EB"/>
    <w:rsid w:val="370A0168"/>
    <w:rsid w:val="38077FBD"/>
    <w:rsid w:val="38402D71"/>
    <w:rsid w:val="390D6FCE"/>
    <w:rsid w:val="39CA02D5"/>
    <w:rsid w:val="3A4B4710"/>
    <w:rsid w:val="3A71485A"/>
    <w:rsid w:val="3A8974C3"/>
    <w:rsid w:val="3C183929"/>
    <w:rsid w:val="3CAE04B6"/>
    <w:rsid w:val="3E224D51"/>
    <w:rsid w:val="3E4B142B"/>
    <w:rsid w:val="3EBE5D10"/>
    <w:rsid w:val="3F84331A"/>
    <w:rsid w:val="3FEB5D81"/>
    <w:rsid w:val="40FF4F1D"/>
    <w:rsid w:val="41636372"/>
    <w:rsid w:val="41653C5F"/>
    <w:rsid w:val="41C116DB"/>
    <w:rsid w:val="421554A1"/>
    <w:rsid w:val="42661F5F"/>
    <w:rsid w:val="43283A21"/>
    <w:rsid w:val="43B70825"/>
    <w:rsid w:val="43D5438D"/>
    <w:rsid w:val="45586168"/>
    <w:rsid w:val="4615013C"/>
    <w:rsid w:val="46F5460F"/>
    <w:rsid w:val="46FD7075"/>
    <w:rsid w:val="47467749"/>
    <w:rsid w:val="488C57F2"/>
    <w:rsid w:val="495F37B4"/>
    <w:rsid w:val="49E11C27"/>
    <w:rsid w:val="4A87163B"/>
    <w:rsid w:val="4AD760BF"/>
    <w:rsid w:val="4AE752F1"/>
    <w:rsid w:val="4C4F3F12"/>
    <w:rsid w:val="4CA4502C"/>
    <w:rsid w:val="4DEB2FDA"/>
    <w:rsid w:val="4E7262EA"/>
    <w:rsid w:val="4EF8531C"/>
    <w:rsid w:val="4FA13658"/>
    <w:rsid w:val="4FEC23F2"/>
    <w:rsid w:val="50B05F44"/>
    <w:rsid w:val="50D815EA"/>
    <w:rsid w:val="5113390F"/>
    <w:rsid w:val="522D0EA4"/>
    <w:rsid w:val="52751AC8"/>
    <w:rsid w:val="52D7660A"/>
    <w:rsid w:val="53A9608B"/>
    <w:rsid w:val="5436132F"/>
    <w:rsid w:val="54D37C48"/>
    <w:rsid w:val="55026FEB"/>
    <w:rsid w:val="55D77021"/>
    <w:rsid w:val="564331FA"/>
    <w:rsid w:val="56D27982"/>
    <w:rsid w:val="56F32106"/>
    <w:rsid w:val="58863B4E"/>
    <w:rsid w:val="59C9583C"/>
    <w:rsid w:val="5A026DBC"/>
    <w:rsid w:val="5A4470E5"/>
    <w:rsid w:val="5A4B6AE2"/>
    <w:rsid w:val="5A621F23"/>
    <w:rsid w:val="5B35398A"/>
    <w:rsid w:val="5B630249"/>
    <w:rsid w:val="5B922D9F"/>
    <w:rsid w:val="5C257DA4"/>
    <w:rsid w:val="5CB24880"/>
    <w:rsid w:val="5CE20ECB"/>
    <w:rsid w:val="5D2240EC"/>
    <w:rsid w:val="610E0D77"/>
    <w:rsid w:val="6121203C"/>
    <w:rsid w:val="61B42522"/>
    <w:rsid w:val="61F1616A"/>
    <w:rsid w:val="61F80523"/>
    <w:rsid w:val="63395A5C"/>
    <w:rsid w:val="635E08B2"/>
    <w:rsid w:val="63CB46C8"/>
    <w:rsid w:val="63E46578"/>
    <w:rsid w:val="63EA604A"/>
    <w:rsid w:val="64AC6B1D"/>
    <w:rsid w:val="65442CEE"/>
    <w:rsid w:val="656348B2"/>
    <w:rsid w:val="65A9614B"/>
    <w:rsid w:val="65B72D5A"/>
    <w:rsid w:val="662F47EE"/>
    <w:rsid w:val="663351F2"/>
    <w:rsid w:val="664A6304"/>
    <w:rsid w:val="66DE5057"/>
    <w:rsid w:val="6717546A"/>
    <w:rsid w:val="67804870"/>
    <w:rsid w:val="67FC477B"/>
    <w:rsid w:val="69814DF7"/>
    <w:rsid w:val="6B1159B1"/>
    <w:rsid w:val="6C0B15A5"/>
    <w:rsid w:val="6C8163DA"/>
    <w:rsid w:val="6DE12F07"/>
    <w:rsid w:val="6ED274FC"/>
    <w:rsid w:val="6F92076F"/>
    <w:rsid w:val="6FDD61B0"/>
    <w:rsid w:val="705941C8"/>
    <w:rsid w:val="714B30A7"/>
    <w:rsid w:val="71653FFA"/>
    <w:rsid w:val="71AF5914"/>
    <w:rsid w:val="722C017F"/>
    <w:rsid w:val="7355612F"/>
    <w:rsid w:val="738D4C9C"/>
    <w:rsid w:val="74484F18"/>
    <w:rsid w:val="744B7564"/>
    <w:rsid w:val="74C55315"/>
    <w:rsid w:val="751B3012"/>
    <w:rsid w:val="76EC58B4"/>
    <w:rsid w:val="79005FBC"/>
    <w:rsid w:val="7940398D"/>
    <w:rsid w:val="79670DA5"/>
    <w:rsid w:val="7A66226B"/>
    <w:rsid w:val="7C595419"/>
    <w:rsid w:val="7C5A697D"/>
    <w:rsid w:val="7CE47486"/>
    <w:rsid w:val="7E2C4E9F"/>
    <w:rsid w:val="7E497938"/>
    <w:rsid w:val="7E8454DA"/>
    <w:rsid w:val="7EDD0E55"/>
    <w:rsid w:val="7F547877"/>
    <w:rsid w:val="7FEB2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szCs w:val="20"/>
    </w:rPr>
  </w:style>
  <w:style w:type="paragraph" w:styleId="3">
    <w:name w:val="Body Text"/>
    <w:basedOn w:val="1"/>
    <w:next w:val="4"/>
    <w:unhideWhenUsed/>
    <w:qFormat/>
    <w:uiPriority w:val="1"/>
    <w:pPr>
      <w:spacing w:before="28" w:beforeLines="0" w:afterLines="0"/>
      <w:ind w:left="108"/>
    </w:pPr>
    <w:rPr>
      <w:rFonts w:hint="eastAsia" w:ascii="仿宋_GB2312" w:hAnsi="仿宋_GB2312" w:eastAsia="仿宋_GB2312"/>
      <w:sz w:val="32"/>
    </w:rPr>
  </w:style>
  <w:style w:type="paragraph" w:customStyle="1" w:styleId="4">
    <w:name w:val="p0"/>
    <w:basedOn w:val="1"/>
    <w:qFormat/>
    <w:uiPriority w:val="0"/>
    <w:pPr>
      <w:widowControl/>
      <w:spacing w:line="240" w:lineRule="auto"/>
    </w:pPr>
    <w:rPr>
      <w:rFonts w:ascii="Times New Roman" w:hAnsi="Times New Roman" w:eastAsia="宋体" w:cs="Times New Roman"/>
      <w:kern w:val="0"/>
      <w:lang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footnote text"/>
    <w:basedOn w:val="1"/>
    <w:qFormat/>
    <w:uiPriority w:val="0"/>
    <w:pPr>
      <w:snapToGrid w:val="0"/>
      <w:jc w:val="left"/>
    </w:pPr>
    <w:rPr>
      <w:sz w:val="18"/>
      <w:szCs w:val="18"/>
    </w:rPr>
  </w:style>
  <w:style w:type="paragraph" w:customStyle="1" w:styleId="9">
    <w:name w:val="table of authorities1"/>
    <w:basedOn w:val="1"/>
    <w:next w:val="1"/>
    <w:qFormat/>
    <w:uiPriority w:val="0"/>
    <w:pPr>
      <w:ind w:left="200" w:leftChars="200"/>
    </w:pPr>
    <w:rPr>
      <w:rFonts w:cs="Times New Roman"/>
    </w:rPr>
  </w:style>
  <w:style w:type="paragraph" w:customStyle="1" w:styleId="10">
    <w:name w:val="列表接续 21"/>
    <w:qFormat/>
    <w:uiPriority w:val="0"/>
    <w:pPr>
      <w:widowControl w:val="0"/>
      <w:spacing w:after="120"/>
      <w:ind w:left="840" w:leftChars="400"/>
      <w:jc w:val="both"/>
    </w:pPr>
    <w:rPr>
      <w:rFonts w:ascii="Times New Roman" w:hAnsi="Times New Roman" w:eastAsia="仿宋_GB2312" w:cs="Times New Roman"/>
      <w:kern w:val="2"/>
      <w:sz w:val="32"/>
      <w:szCs w:val="22"/>
      <w:lang w:val="en-US" w:eastAsia="zh-CN" w:bidi="ar-SA"/>
    </w:rPr>
  </w:style>
  <w:style w:type="paragraph" w:customStyle="1" w:styleId="11">
    <w:name w:val="Body Text First Indent 21"/>
    <w:basedOn w:val="12"/>
    <w:qFormat/>
    <w:uiPriority w:val="0"/>
    <w:pPr>
      <w:ind w:left="200" w:firstLine="420"/>
    </w:pPr>
    <w:rPr>
      <w:rFonts w:ascii="仿宋_GB2312" w:eastAsia="仿宋_GB2312" w:cs="仿宋_GB2312"/>
      <w:sz w:val="32"/>
      <w:szCs w:val="32"/>
    </w:rPr>
  </w:style>
  <w:style w:type="paragraph" w:customStyle="1" w:styleId="12">
    <w:name w:val="Body Text Indent1"/>
    <w:basedOn w:val="1"/>
    <w:qFormat/>
    <w:uiPriority w:val="0"/>
    <w:pPr>
      <w:ind w:left="420" w:leftChars="200"/>
    </w:pPr>
  </w:style>
  <w:style w:type="paragraph" w:customStyle="1" w:styleId="13">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2022-05-26T11:09:00Z</dcterms:created>
  <dc:creator>黎东</dc:creator>
  <cp:lastModifiedBy>黎东</cp:lastModifiedBy>
  <cp:lastPrinted>2022-10-14T22:04:00Z</cp:lastPrinted>
  <dcterms:modified xsi:type="dcterms:W3CDTF">2022-11-09T09:12:03Z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